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DE3" w:rsidRDefault="00A26DE3" w:rsidP="00A26DE3">
      <w:pPr>
        <w:rPr>
          <w:noProof/>
        </w:rPr>
      </w:pPr>
      <w:r w:rsidRPr="003C4389">
        <w:rPr>
          <w:noProof/>
        </w:rPr>
        <w:drawing>
          <wp:anchor distT="0" distB="0" distL="114300" distR="114300" simplePos="0" relativeHeight="251659264" behindDoc="0" locked="0" layoutInCell="1" allowOverlap="1" wp14:anchorId="42E12431" wp14:editId="52364976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274310" cy="3260725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DE3" w:rsidRDefault="00A26DE3" w:rsidP="00A26DE3"/>
    <w:p w:rsidR="00A26DE3" w:rsidRPr="00A26DE3" w:rsidRDefault="00A26DE3" w:rsidP="00A26DE3">
      <w:r w:rsidRPr="00A26DE3">
        <w:t xml:space="preserve">Supplementary Figure 1. </w:t>
      </w:r>
      <w:r w:rsidRPr="00A26DE3">
        <w:t xml:space="preserve">The distribution curve </w:t>
      </w:r>
      <w:r w:rsidRPr="00A26DE3">
        <w:t>of</w:t>
      </w:r>
      <w:r w:rsidRPr="00A26DE3">
        <w:t xml:space="preserve"> CD4 counts at baseline</w:t>
      </w:r>
      <w:r w:rsidRPr="00A26DE3">
        <w:t xml:space="preserve"> among persons newly diagnosed with HIV</w:t>
      </w:r>
    </w:p>
    <w:p w:rsidR="00A26DE3" w:rsidRPr="00A26DE3" w:rsidRDefault="00A26DE3" w:rsidP="00A26DE3"/>
    <w:p w:rsidR="00A26DE3" w:rsidRDefault="00A26DE3" w:rsidP="00A26DE3"/>
    <w:p w:rsidR="00A26DE3" w:rsidRPr="00A26DE3" w:rsidRDefault="00A26DE3" w:rsidP="00A26DE3">
      <w:bookmarkStart w:id="0" w:name="_GoBack"/>
      <w:bookmarkEnd w:id="0"/>
    </w:p>
    <w:sectPr w:rsidR="00A26DE3" w:rsidRPr="00A26D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3"/>
    <w:rsid w:val="00A2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11E3"/>
  <w15:chartTrackingRefBased/>
  <w15:docId w15:val="{448660C7-0828-4B61-8695-C467A1F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2022-09-29T06:32:00Z</dcterms:created>
  <dcterms:modified xsi:type="dcterms:W3CDTF">2022-09-29T06:34:00Z</dcterms:modified>
</cp:coreProperties>
</file>