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344E" w14:textId="12F09394" w:rsidR="006E5C52" w:rsidRPr="00A15294" w:rsidRDefault="00A15294">
      <w:pPr>
        <w:rPr>
          <w:b/>
          <w:bCs/>
        </w:rPr>
      </w:pPr>
      <w:r>
        <w:rPr>
          <w:b/>
          <w:bCs/>
        </w:rPr>
        <w:t>Supplementary Data</w:t>
      </w:r>
    </w:p>
    <w:p w14:paraId="34C15141" w14:textId="455FA872" w:rsidR="004734E0" w:rsidRDefault="00570B37" w:rsidP="00456F93">
      <w:pPr>
        <w:spacing w:after="0" w:line="240" w:lineRule="auto"/>
        <w:ind w:left="-567" w:right="-578"/>
        <w:jc w:val="center"/>
      </w:pPr>
      <w:r>
        <w:object w:dxaOrig="8985" w:dyaOrig="11775" w14:anchorId="5161F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469.5pt" o:ole="" o:bordertopcolor="this" o:borderleftcolor="this" o:borderbottomcolor="this" o:borderrightcolor="this">
            <v:imagedata r:id="rId7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25" DrawAspect="Content" ObjectID="_1720947833" r:id="rId8"/>
        </w:object>
      </w:r>
      <w:r>
        <w:object w:dxaOrig="9195" w:dyaOrig="11085" w14:anchorId="317CE5B7">
          <v:shape id="_x0000_i1026" type="#_x0000_t75" style="width:387.75pt;height:469.5pt" o:ole="" o:bordertopcolor="this" o:borderleftcolor="this" o:borderbottomcolor="this" o:borderrightcolor="this">
            <v:imagedata r:id="rId9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26" DrawAspect="Content" ObjectID="_1720947834" r:id="rId10"/>
        </w:object>
      </w:r>
    </w:p>
    <w:p w14:paraId="30059445" w14:textId="35679388" w:rsidR="000F7A20" w:rsidRDefault="007F6758" w:rsidP="00456F93">
      <w:pPr>
        <w:spacing w:after="0" w:line="240" w:lineRule="auto"/>
        <w:ind w:left="-567" w:right="-578"/>
        <w:jc w:val="center"/>
      </w:pPr>
      <w:bookmarkStart w:id="0" w:name="_Toc109034771"/>
      <w:r w:rsidRPr="006E5C52">
        <w:rPr>
          <w:rStyle w:val="Heading1Char"/>
        </w:rPr>
        <w:lastRenderedPageBreak/>
        <w:t>Figure S1. Perspectives on lithium monitoring survey</w:t>
      </w:r>
      <w:r>
        <w:rPr>
          <w:rStyle w:val="Heading1Char"/>
        </w:rPr>
        <w:t xml:space="preserve"> (continued next page)</w:t>
      </w:r>
      <w:bookmarkEnd w:id="0"/>
    </w:p>
    <w:p w14:paraId="5E0B2210" w14:textId="3466081F" w:rsidR="004734E0" w:rsidRDefault="00311E30" w:rsidP="00311E30">
      <w:pPr>
        <w:spacing w:after="0"/>
        <w:jc w:val="center"/>
      </w:pPr>
      <w:r>
        <w:object w:dxaOrig="9285" w:dyaOrig="12345" w14:anchorId="2B8BD7CA">
          <v:shape id="_x0000_i1027" type="#_x0000_t75" style="width:348pt;height:461.25pt" o:ole="" o:bordertopcolor="this" o:borderleftcolor="this" o:borderbottomcolor="this" o:borderrightcolor="this">
            <v:imagedata r:id="rId11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27" DrawAspect="Content" ObjectID="_1720947835" r:id="rId12"/>
        </w:object>
      </w:r>
      <w:r>
        <w:object w:dxaOrig="9285" w:dyaOrig="10845" w14:anchorId="3396706C">
          <v:shape id="_x0000_i1028" type="#_x0000_t75" style="width:396.75pt;height:461.25pt" o:ole="" o:bordertopcolor="this" o:borderleftcolor="this" o:borderbottomcolor="this" o:borderrightcolor="this">
            <v:imagedata r:id="rId13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28" DrawAspect="Content" ObjectID="_1720947836" r:id="rId14"/>
        </w:object>
      </w:r>
    </w:p>
    <w:p w14:paraId="15E6FB46" w14:textId="33B05DB4" w:rsidR="00B25C17" w:rsidRDefault="005A2CDC">
      <w:bookmarkStart w:id="1" w:name="_Toc109034772"/>
      <w:r w:rsidRPr="006E5C52">
        <w:rPr>
          <w:rStyle w:val="Heading1Char"/>
        </w:rPr>
        <w:lastRenderedPageBreak/>
        <w:t>Figure S1. Perspectives on lithium monitoring survey.</w:t>
      </w:r>
      <w:bookmarkEnd w:id="1"/>
      <w:r>
        <w:rPr>
          <w:b/>
          <w:bCs/>
        </w:rPr>
        <w:t xml:space="preserve"> </w:t>
      </w:r>
      <w:r w:rsidR="00B25C17">
        <w:t>Questions indicated with an orange star were only presented if</w:t>
      </w:r>
      <w:r w:rsidR="004C3B0B">
        <w:t xml:space="preserve"> the respondent answered ‘Other’ to the preceding question</w:t>
      </w:r>
      <w:r>
        <w:t xml:space="preserve">. </w:t>
      </w:r>
      <w:r w:rsidR="00550573">
        <w:t>Questions paired with circle (</w:t>
      </w:r>
      <w:r w:rsidR="00550573">
        <w:rPr>
          <w:rFonts w:cstheme="minorHAnsi"/>
        </w:rPr>
        <w:t>○) response options allowed for single answers only; questions paired with square (</w:t>
      </w:r>
      <w:r w:rsidR="00550573" w:rsidRPr="00550573">
        <w:rPr>
          <w:rFonts w:ascii="Cambria Math" w:hAnsi="Cambria Math" w:cs="Cambria Math"/>
        </w:rPr>
        <w:t>◻</w:t>
      </w:r>
      <w:r w:rsidR="00550573">
        <w:rPr>
          <w:rFonts w:ascii="Cambria Math" w:hAnsi="Cambria Math" w:cs="Cambria Math"/>
        </w:rPr>
        <w:t xml:space="preserve">) response options </w:t>
      </w:r>
      <w:r w:rsidR="00550573" w:rsidRPr="00550573">
        <w:rPr>
          <w:rFonts w:cstheme="minorHAnsi"/>
        </w:rPr>
        <w:t>allowed for multiple options to be selected</w:t>
      </w:r>
      <w:r w:rsidR="00550573">
        <w:rPr>
          <w:rFonts w:cstheme="minorHAnsi"/>
        </w:rPr>
        <w:t>.</w:t>
      </w:r>
    </w:p>
    <w:p w14:paraId="23C19854" w14:textId="470B89FE" w:rsidR="00766259" w:rsidRDefault="00766259">
      <w:pPr>
        <w:sectPr w:rsidR="00766259" w:rsidSect="00EB2E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5D3D935" w14:textId="77777777" w:rsidR="00507C2D" w:rsidRPr="001A3878" w:rsidRDefault="00507C2D" w:rsidP="00507C2D">
      <w:pPr>
        <w:pStyle w:val="Heading1"/>
      </w:pPr>
      <w:bookmarkStart w:id="2" w:name="_Toc100584218"/>
      <w:bookmarkStart w:id="3" w:name="_Toc109034773"/>
      <w:r w:rsidRPr="006E5C52">
        <w:rPr>
          <w:rStyle w:val="Heading1Char"/>
          <w:b/>
          <w:bCs/>
        </w:rPr>
        <w:lastRenderedPageBreak/>
        <w:t>Table S1</w:t>
      </w:r>
      <w:r w:rsidRPr="006E5C52">
        <w:t>.</w:t>
      </w:r>
      <w:r w:rsidRPr="001A3878">
        <w:t xml:space="preserve"> Survey </w:t>
      </w:r>
      <w:proofErr w:type="gramStart"/>
      <w:r w:rsidRPr="001A3878">
        <w:t>contact</w:t>
      </w:r>
      <w:proofErr w:type="gramEnd"/>
      <w:r w:rsidRPr="001A3878">
        <w:t xml:space="preserve"> and response list</w:t>
      </w:r>
      <w:bookmarkEnd w:id="2"/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240"/>
        <w:gridCol w:w="1462"/>
        <w:gridCol w:w="2939"/>
      </w:tblGrid>
      <w:tr w:rsidR="00507C2D" w:rsidRPr="00704AB0" w14:paraId="7B044797" w14:textId="77777777" w:rsidTr="005D5741">
        <w:trPr>
          <w:trHeight w:val="300"/>
        </w:trPr>
        <w:tc>
          <w:tcPr>
            <w:tcW w:w="4815" w:type="dxa"/>
            <w:tcBorders>
              <w:bottom w:val="single" w:sz="4" w:space="0" w:color="auto"/>
            </w:tcBorders>
            <w:noWrap/>
            <w:hideMark/>
          </w:tcPr>
          <w:p w14:paraId="2B40899E" w14:textId="77777777" w:rsidR="00507C2D" w:rsidRPr="00704AB0" w:rsidRDefault="00507C2D" w:rsidP="005D57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4AB0">
              <w:rPr>
                <w:rFonts w:cstheme="minorHAnsi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hideMark/>
          </w:tcPr>
          <w:p w14:paraId="65EC3130" w14:textId="77777777" w:rsidR="00507C2D" w:rsidRPr="00704AB0" w:rsidRDefault="00507C2D" w:rsidP="005D57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4AB0">
              <w:rPr>
                <w:rFonts w:cstheme="minorHAnsi"/>
                <w:b/>
                <w:bCs/>
                <w:sz w:val="20"/>
                <w:szCs w:val="20"/>
              </w:rPr>
              <w:t>Contacted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noWrap/>
            <w:hideMark/>
          </w:tcPr>
          <w:p w14:paraId="3127E085" w14:textId="77777777" w:rsidR="00507C2D" w:rsidRPr="00704AB0" w:rsidRDefault="00507C2D" w:rsidP="005D57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4AB0">
              <w:rPr>
                <w:rFonts w:cstheme="minorHAnsi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noWrap/>
            <w:hideMark/>
          </w:tcPr>
          <w:p w14:paraId="61DD1F3D" w14:textId="5AB866D9" w:rsidR="00507C2D" w:rsidRPr="00704AB0" w:rsidRDefault="006C2DA3" w:rsidP="005D574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Last Received </w:t>
            </w:r>
            <w:r w:rsidR="00507C2D" w:rsidRPr="00704AB0">
              <w:rPr>
                <w:rFonts w:cstheme="minorHAnsi"/>
                <w:b/>
                <w:bCs/>
                <w:sz w:val="20"/>
                <w:szCs w:val="20"/>
              </w:rPr>
              <w:t>Response type</w:t>
            </w:r>
          </w:p>
        </w:tc>
      </w:tr>
      <w:tr w:rsidR="00507C2D" w:rsidRPr="00704AB0" w14:paraId="66110BF0" w14:textId="77777777" w:rsidTr="005D5741">
        <w:trPr>
          <w:trHeight w:val="300"/>
        </w:trPr>
        <w:tc>
          <w:tcPr>
            <w:tcW w:w="4815" w:type="dxa"/>
            <w:tcBorders>
              <w:top w:val="single" w:sz="4" w:space="0" w:color="auto"/>
            </w:tcBorders>
            <w:noWrap/>
            <w:hideMark/>
          </w:tcPr>
          <w:p w14:paraId="6E3B634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 xml:space="preserve">American Psychiatric </w:t>
            </w:r>
            <w:r>
              <w:rPr>
                <w:rFonts w:cstheme="minorHAnsi"/>
                <w:sz w:val="20"/>
                <w:szCs w:val="20"/>
              </w:rPr>
              <w:t>Association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hideMark/>
          </w:tcPr>
          <w:p w14:paraId="775CFC6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10/19/21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noWrap/>
            <w:hideMark/>
          </w:tcPr>
          <w:p w14:paraId="454BD24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  <w:noWrap/>
            <w:hideMark/>
          </w:tcPr>
          <w:p w14:paraId="08CE1BE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6399C50C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3703D7A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Orange County Psychiatric Society</w:t>
            </w:r>
          </w:p>
        </w:tc>
        <w:tc>
          <w:tcPr>
            <w:tcW w:w="1240" w:type="dxa"/>
            <w:noWrap/>
            <w:hideMark/>
          </w:tcPr>
          <w:p w14:paraId="2975A10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10/19/21</w:t>
            </w:r>
          </w:p>
        </w:tc>
        <w:tc>
          <w:tcPr>
            <w:tcW w:w="1462" w:type="dxa"/>
            <w:noWrap/>
            <w:hideMark/>
          </w:tcPr>
          <w:p w14:paraId="20AF3E3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7DF2B86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3405FF5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1D29580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Community Psychiatry</w:t>
            </w:r>
          </w:p>
        </w:tc>
        <w:tc>
          <w:tcPr>
            <w:tcW w:w="1240" w:type="dxa"/>
            <w:noWrap/>
            <w:hideMark/>
          </w:tcPr>
          <w:p w14:paraId="5622788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10/19/21</w:t>
            </w:r>
          </w:p>
        </w:tc>
        <w:tc>
          <w:tcPr>
            <w:tcW w:w="1462" w:type="dxa"/>
            <w:noWrap/>
            <w:hideMark/>
          </w:tcPr>
          <w:p w14:paraId="0377B70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22B5606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4CCBD2B3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77ADFC3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Southern California Psychiatric Society</w:t>
            </w:r>
          </w:p>
        </w:tc>
        <w:tc>
          <w:tcPr>
            <w:tcW w:w="1240" w:type="dxa"/>
            <w:noWrap/>
            <w:hideMark/>
          </w:tcPr>
          <w:p w14:paraId="68B29FE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10/19/21</w:t>
            </w:r>
          </w:p>
        </w:tc>
        <w:tc>
          <w:tcPr>
            <w:tcW w:w="1462" w:type="dxa"/>
            <w:noWrap/>
            <w:hideMark/>
          </w:tcPr>
          <w:p w14:paraId="27AC4DF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18388ED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79C9584F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425EF0A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Colorado Psychiatric Society</w:t>
            </w:r>
          </w:p>
        </w:tc>
        <w:tc>
          <w:tcPr>
            <w:tcW w:w="1240" w:type="dxa"/>
            <w:noWrap/>
            <w:hideMark/>
          </w:tcPr>
          <w:p w14:paraId="4F42DF0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10/19/21</w:t>
            </w:r>
          </w:p>
        </w:tc>
        <w:tc>
          <w:tcPr>
            <w:tcW w:w="1462" w:type="dxa"/>
            <w:noWrap/>
            <w:hideMark/>
          </w:tcPr>
          <w:p w14:paraId="5373F24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22217D1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0C23B3D2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3C4DD74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The Psychiatric Society of Virginia</w:t>
            </w:r>
          </w:p>
        </w:tc>
        <w:tc>
          <w:tcPr>
            <w:tcW w:w="1240" w:type="dxa"/>
            <w:noWrap/>
            <w:hideMark/>
          </w:tcPr>
          <w:p w14:paraId="1149372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10/19/21</w:t>
            </w:r>
          </w:p>
        </w:tc>
        <w:tc>
          <w:tcPr>
            <w:tcW w:w="1462" w:type="dxa"/>
            <w:noWrap/>
            <w:hideMark/>
          </w:tcPr>
          <w:p w14:paraId="40D6BED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9653EB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Approved</w:t>
            </w:r>
          </w:p>
        </w:tc>
      </w:tr>
      <w:tr w:rsidR="00507C2D" w:rsidRPr="00704AB0" w14:paraId="1BABBE63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50B641C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The Arizona Psychiatric Society</w:t>
            </w:r>
          </w:p>
        </w:tc>
        <w:tc>
          <w:tcPr>
            <w:tcW w:w="1240" w:type="dxa"/>
            <w:noWrap/>
            <w:hideMark/>
          </w:tcPr>
          <w:p w14:paraId="7B05410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10/19/21</w:t>
            </w:r>
          </w:p>
        </w:tc>
        <w:tc>
          <w:tcPr>
            <w:tcW w:w="1462" w:type="dxa"/>
            <w:noWrap/>
            <w:hideMark/>
          </w:tcPr>
          <w:p w14:paraId="139BD6E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5C90020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971FD9E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26B393A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The North Carolina Psychiatric Association</w:t>
            </w:r>
          </w:p>
        </w:tc>
        <w:tc>
          <w:tcPr>
            <w:tcW w:w="1240" w:type="dxa"/>
            <w:noWrap/>
            <w:hideMark/>
          </w:tcPr>
          <w:p w14:paraId="5233AC7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10/19/21</w:t>
            </w:r>
          </w:p>
        </w:tc>
        <w:tc>
          <w:tcPr>
            <w:tcW w:w="1462" w:type="dxa"/>
            <w:noWrap/>
            <w:hideMark/>
          </w:tcPr>
          <w:p w14:paraId="236CC37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1E93DC2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70A63179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151B5F6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The New York County Psychiatric Society</w:t>
            </w:r>
          </w:p>
        </w:tc>
        <w:tc>
          <w:tcPr>
            <w:tcW w:w="1240" w:type="dxa"/>
            <w:noWrap/>
            <w:hideMark/>
          </w:tcPr>
          <w:p w14:paraId="5626E2E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10/19/21</w:t>
            </w:r>
          </w:p>
        </w:tc>
        <w:tc>
          <w:tcPr>
            <w:tcW w:w="1462" w:type="dxa"/>
            <w:noWrap/>
            <w:hideMark/>
          </w:tcPr>
          <w:p w14:paraId="2CDCA45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10/19</w:t>
            </w:r>
            <w:r w:rsidRPr="00704AB0">
              <w:rPr>
                <w:rFonts w:cstheme="minorHAnsi"/>
                <w:sz w:val="20"/>
                <w:szCs w:val="20"/>
              </w:rPr>
              <w:t>/2021</w:t>
            </w:r>
          </w:p>
        </w:tc>
        <w:tc>
          <w:tcPr>
            <w:tcW w:w="2939" w:type="dxa"/>
            <w:noWrap/>
            <w:hideMark/>
          </w:tcPr>
          <w:p w14:paraId="279A972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Approved</w:t>
            </w:r>
          </w:p>
        </w:tc>
      </w:tr>
      <w:tr w:rsidR="00507C2D" w:rsidRPr="00704AB0" w14:paraId="5BA4F3C5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32C4DB8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Washington State Psychiatric Association</w:t>
            </w:r>
          </w:p>
        </w:tc>
        <w:tc>
          <w:tcPr>
            <w:tcW w:w="1240" w:type="dxa"/>
            <w:noWrap/>
            <w:hideMark/>
          </w:tcPr>
          <w:p w14:paraId="4526AB8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10/19/21</w:t>
            </w:r>
          </w:p>
        </w:tc>
        <w:tc>
          <w:tcPr>
            <w:tcW w:w="1462" w:type="dxa"/>
            <w:noWrap/>
            <w:hideMark/>
          </w:tcPr>
          <w:p w14:paraId="778F199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10/20</w:t>
            </w:r>
            <w:r w:rsidRPr="00704AB0">
              <w:rPr>
                <w:rFonts w:cstheme="minorHAnsi"/>
                <w:sz w:val="20"/>
                <w:szCs w:val="20"/>
              </w:rPr>
              <w:t>/2021</w:t>
            </w:r>
          </w:p>
        </w:tc>
        <w:tc>
          <w:tcPr>
            <w:tcW w:w="2939" w:type="dxa"/>
            <w:noWrap/>
            <w:hideMark/>
          </w:tcPr>
          <w:p w14:paraId="47D5442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Distributed in newsletter and website news section</w:t>
            </w:r>
          </w:p>
        </w:tc>
      </w:tr>
      <w:tr w:rsidR="00507C2D" w:rsidRPr="00704AB0" w14:paraId="5A9A57D7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6228B7B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Michigan Psychiatric Society</w:t>
            </w:r>
          </w:p>
        </w:tc>
        <w:tc>
          <w:tcPr>
            <w:tcW w:w="1240" w:type="dxa"/>
            <w:noWrap/>
            <w:hideMark/>
          </w:tcPr>
          <w:p w14:paraId="4F1CB79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10/20/21</w:t>
            </w:r>
          </w:p>
        </w:tc>
        <w:tc>
          <w:tcPr>
            <w:tcW w:w="1462" w:type="dxa"/>
            <w:noWrap/>
            <w:hideMark/>
          </w:tcPr>
          <w:p w14:paraId="1BBB894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48E1A7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3692D747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6E28C2A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Alabama Psychiatric Physicians Association</w:t>
            </w:r>
          </w:p>
        </w:tc>
        <w:tc>
          <w:tcPr>
            <w:tcW w:w="1240" w:type="dxa"/>
            <w:noWrap/>
            <w:hideMark/>
          </w:tcPr>
          <w:p w14:paraId="2CC12C1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10/20/21</w:t>
            </w:r>
          </w:p>
        </w:tc>
        <w:tc>
          <w:tcPr>
            <w:tcW w:w="1462" w:type="dxa"/>
            <w:noWrap/>
            <w:hideMark/>
          </w:tcPr>
          <w:p w14:paraId="09C4F52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63FE872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438E18B6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3A5993E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Massachusetts Psychiatric Society</w:t>
            </w:r>
          </w:p>
        </w:tc>
        <w:tc>
          <w:tcPr>
            <w:tcW w:w="1240" w:type="dxa"/>
            <w:noWrap/>
            <w:hideMark/>
          </w:tcPr>
          <w:p w14:paraId="198C38A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10/20/21</w:t>
            </w:r>
          </w:p>
        </w:tc>
        <w:tc>
          <w:tcPr>
            <w:tcW w:w="1462" w:type="dxa"/>
            <w:noWrap/>
            <w:hideMark/>
          </w:tcPr>
          <w:p w14:paraId="3366EEF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EEA09F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5DCB9D4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3D56C3E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The Federation of Texas Psychiatry</w:t>
            </w:r>
          </w:p>
        </w:tc>
        <w:tc>
          <w:tcPr>
            <w:tcW w:w="1240" w:type="dxa"/>
            <w:noWrap/>
            <w:hideMark/>
          </w:tcPr>
          <w:p w14:paraId="44A5465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1388228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68A1E50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73EC2FE4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1FD1C3E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The Florida Psychiatric Society</w:t>
            </w:r>
          </w:p>
        </w:tc>
        <w:tc>
          <w:tcPr>
            <w:tcW w:w="1240" w:type="dxa"/>
            <w:noWrap/>
            <w:hideMark/>
          </w:tcPr>
          <w:p w14:paraId="4D5505C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51CB781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5CBBBB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3C70FD8D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46F63FA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Alaska Psychiatric Society</w:t>
            </w:r>
          </w:p>
        </w:tc>
        <w:tc>
          <w:tcPr>
            <w:tcW w:w="1240" w:type="dxa"/>
            <w:noWrap/>
            <w:hideMark/>
          </w:tcPr>
          <w:p w14:paraId="6FF5C7C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42FF229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50E0001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EC7D6D7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55BBD9B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Arkansas Psychiatric Society</w:t>
            </w:r>
          </w:p>
        </w:tc>
        <w:tc>
          <w:tcPr>
            <w:tcW w:w="1240" w:type="dxa"/>
            <w:noWrap/>
            <w:hideMark/>
          </w:tcPr>
          <w:p w14:paraId="229C5D5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63B5588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3F11F3E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E79F6F5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4389C6B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San Diego Psychiatric Society</w:t>
            </w:r>
          </w:p>
        </w:tc>
        <w:tc>
          <w:tcPr>
            <w:tcW w:w="1240" w:type="dxa"/>
            <w:noWrap/>
            <w:hideMark/>
          </w:tcPr>
          <w:p w14:paraId="1799B87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7F479B5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791ED26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573269A4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1803EA8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North California Psychiatric Society</w:t>
            </w:r>
          </w:p>
        </w:tc>
        <w:tc>
          <w:tcPr>
            <w:tcW w:w="1240" w:type="dxa"/>
            <w:noWrap/>
            <w:hideMark/>
          </w:tcPr>
          <w:p w14:paraId="6947EDA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07748ED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1D977A1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B55E093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440B8A6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Central California Psychiatric Society</w:t>
            </w:r>
          </w:p>
        </w:tc>
        <w:tc>
          <w:tcPr>
            <w:tcW w:w="1240" w:type="dxa"/>
            <w:noWrap/>
            <w:hideMark/>
          </w:tcPr>
          <w:p w14:paraId="09C9526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0B6A3F9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61629F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37AEE40E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48951F1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Connecticut Psychiatric Society</w:t>
            </w:r>
          </w:p>
        </w:tc>
        <w:tc>
          <w:tcPr>
            <w:tcW w:w="1240" w:type="dxa"/>
            <w:noWrap/>
            <w:hideMark/>
          </w:tcPr>
          <w:p w14:paraId="1BD5F42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7A04EE6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2A3B155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6861C729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4B6FB61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Washington (D.C) Psychiatric Society</w:t>
            </w:r>
          </w:p>
        </w:tc>
        <w:tc>
          <w:tcPr>
            <w:tcW w:w="1240" w:type="dxa"/>
            <w:noWrap/>
            <w:hideMark/>
          </w:tcPr>
          <w:p w14:paraId="17A880D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3664A48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4E09C89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608F7794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0A225C7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Psychiatric Society of Delaware</w:t>
            </w:r>
          </w:p>
        </w:tc>
        <w:tc>
          <w:tcPr>
            <w:tcW w:w="1240" w:type="dxa"/>
            <w:noWrap/>
            <w:hideMark/>
          </w:tcPr>
          <w:p w14:paraId="634222A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7B37A62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20EDDEF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54709407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7AEB5E6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Georgia Psychiatric Physicians Association</w:t>
            </w:r>
          </w:p>
        </w:tc>
        <w:tc>
          <w:tcPr>
            <w:tcW w:w="1240" w:type="dxa"/>
            <w:noWrap/>
            <w:hideMark/>
          </w:tcPr>
          <w:p w14:paraId="3291760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1168BD1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7A2ABBB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5C398ECF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7DEBB91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Hawaii Psychiatric Medical Association</w:t>
            </w:r>
          </w:p>
        </w:tc>
        <w:tc>
          <w:tcPr>
            <w:tcW w:w="1240" w:type="dxa"/>
            <w:noWrap/>
            <w:hideMark/>
          </w:tcPr>
          <w:p w14:paraId="5727A9E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27AEC08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761D46F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61974ED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272883E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Idaho Psychiatric Association</w:t>
            </w:r>
          </w:p>
        </w:tc>
        <w:tc>
          <w:tcPr>
            <w:tcW w:w="1240" w:type="dxa"/>
            <w:noWrap/>
            <w:hideMark/>
          </w:tcPr>
          <w:p w14:paraId="5857F8B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41ECBA1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31AB5CF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74B90B1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69A766B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Illinois Psychiatric Society</w:t>
            </w:r>
          </w:p>
        </w:tc>
        <w:tc>
          <w:tcPr>
            <w:tcW w:w="1240" w:type="dxa"/>
            <w:noWrap/>
            <w:hideMark/>
          </w:tcPr>
          <w:p w14:paraId="561D34C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397F9C0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10/25</w:t>
            </w:r>
            <w:r w:rsidRPr="00704AB0">
              <w:rPr>
                <w:rFonts w:cstheme="minorHAnsi"/>
                <w:sz w:val="20"/>
                <w:szCs w:val="20"/>
              </w:rPr>
              <w:t>/2021</w:t>
            </w:r>
          </w:p>
        </w:tc>
        <w:tc>
          <w:tcPr>
            <w:tcW w:w="2939" w:type="dxa"/>
            <w:noWrap/>
            <w:hideMark/>
          </w:tcPr>
          <w:p w14:paraId="6F908BA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Denied request</w:t>
            </w:r>
          </w:p>
        </w:tc>
      </w:tr>
      <w:tr w:rsidR="00507C2D" w:rsidRPr="00704AB0" w14:paraId="5AB4564A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48FAA12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Indiana Psychiatric Society</w:t>
            </w:r>
          </w:p>
        </w:tc>
        <w:tc>
          <w:tcPr>
            <w:tcW w:w="1240" w:type="dxa"/>
            <w:noWrap/>
            <w:hideMark/>
          </w:tcPr>
          <w:p w14:paraId="5205409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10/21/21</w:t>
            </w:r>
          </w:p>
        </w:tc>
        <w:tc>
          <w:tcPr>
            <w:tcW w:w="1462" w:type="dxa"/>
            <w:noWrap/>
            <w:hideMark/>
          </w:tcPr>
          <w:p w14:paraId="2E8CB30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66BC23B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55EFF72C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535F310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Iowa Psychiatric Physicians Society</w:t>
            </w:r>
          </w:p>
        </w:tc>
        <w:tc>
          <w:tcPr>
            <w:tcW w:w="1240" w:type="dxa"/>
            <w:noWrap/>
            <w:hideMark/>
          </w:tcPr>
          <w:p w14:paraId="05E95CE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649CA3B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6842637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7CA6BFBE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71EA2C5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Kansas Psychiatric Society</w:t>
            </w:r>
          </w:p>
        </w:tc>
        <w:tc>
          <w:tcPr>
            <w:tcW w:w="1240" w:type="dxa"/>
            <w:noWrap/>
            <w:hideMark/>
          </w:tcPr>
          <w:p w14:paraId="3FB52D1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24900A3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44E4128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073DB4DB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2416D6E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Kentucky Psychiatric Medical Association</w:t>
            </w:r>
          </w:p>
        </w:tc>
        <w:tc>
          <w:tcPr>
            <w:tcW w:w="1240" w:type="dxa"/>
            <w:noWrap/>
            <w:hideMark/>
          </w:tcPr>
          <w:p w14:paraId="1B3F57E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681CEA2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38509A5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7A12973D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654FE05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Louisiana Psychiatric Medical Association</w:t>
            </w:r>
          </w:p>
        </w:tc>
        <w:tc>
          <w:tcPr>
            <w:tcW w:w="1240" w:type="dxa"/>
            <w:noWrap/>
            <w:hideMark/>
          </w:tcPr>
          <w:p w14:paraId="445E5EF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736D2E9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3EA2794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AA92F12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3640FD3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Maine Association of Psychiatric Physicians</w:t>
            </w:r>
          </w:p>
        </w:tc>
        <w:tc>
          <w:tcPr>
            <w:tcW w:w="1240" w:type="dxa"/>
            <w:noWrap/>
            <w:hideMark/>
          </w:tcPr>
          <w:p w14:paraId="763E085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44D376C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7F819E7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B780DF2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377F987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Maryland Psychiatric Society</w:t>
            </w:r>
          </w:p>
        </w:tc>
        <w:tc>
          <w:tcPr>
            <w:tcW w:w="1240" w:type="dxa"/>
            <w:noWrap/>
            <w:hideMark/>
          </w:tcPr>
          <w:p w14:paraId="3509A9C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4EC43F1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59B54DD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5FE434E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67BBB26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Minnesota Psychiatric Society</w:t>
            </w:r>
          </w:p>
        </w:tc>
        <w:tc>
          <w:tcPr>
            <w:tcW w:w="1240" w:type="dxa"/>
            <w:noWrap/>
            <w:hideMark/>
          </w:tcPr>
          <w:p w14:paraId="26B85A8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09750A7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6A1E430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30F96657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2668C00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Mississippi Psychiatric Association</w:t>
            </w:r>
          </w:p>
        </w:tc>
        <w:tc>
          <w:tcPr>
            <w:tcW w:w="1240" w:type="dxa"/>
            <w:noWrap/>
            <w:hideMark/>
          </w:tcPr>
          <w:p w14:paraId="1B9CC62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686BBE8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8794FD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4D803F47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6AD7F30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Missouri Psychiatric Physicians Association</w:t>
            </w:r>
          </w:p>
        </w:tc>
        <w:tc>
          <w:tcPr>
            <w:tcW w:w="1240" w:type="dxa"/>
            <w:noWrap/>
            <w:hideMark/>
          </w:tcPr>
          <w:p w14:paraId="7992D15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1076F92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3F41770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F7FFC46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4C086AA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Montana Psychiatric Association</w:t>
            </w:r>
          </w:p>
        </w:tc>
        <w:tc>
          <w:tcPr>
            <w:tcW w:w="1240" w:type="dxa"/>
            <w:noWrap/>
            <w:hideMark/>
          </w:tcPr>
          <w:p w14:paraId="79F1273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3379736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554DAA0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3A2D7BA3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0BFDD25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Nebraska Psychiatric Society</w:t>
            </w:r>
          </w:p>
        </w:tc>
        <w:tc>
          <w:tcPr>
            <w:tcW w:w="1240" w:type="dxa"/>
            <w:noWrap/>
            <w:hideMark/>
          </w:tcPr>
          <w:p w14:paraId="237AFCF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404773C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1030C62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2FA2BD1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7DECF70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Nevada Psychiatric Association</w:t>
            </w:r>
          </w:p>
        </w:tc>
        <w:tc>
          <w:tcPr>
            <w:tcW w:w="1240" w:type="dxa"/>
            <w:noWrap/>
            <w:hideMark/>
          </w:tcPr>
          <w:p w14:paraId="06CDA71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10/25/21</w:t>
            </w:r>
          </w:p>
        </w:tc>
        <w:tc>
          <w:tcPr>
            <w:tcW w:w="1462" w:type="dxa"/>
            <w:noWrap/>
            <w:hideMark/>
          </w:tcPr>
          <w:p w14:paraId="1A8F748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C75EC6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3844282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726FBDF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New Hampshire Psychiatric Society</w:t>
            </w:r>
          </w:p>
        </w:tc>
        <w:tc>
          <w:tcPr>
            <w:tcW w:w="1240" w:type="dxa"/>
            <w:noWrap/>
            <w:hideMark/>
          </w:tcPr>
          <w:p w14:paraId="43D708F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10/26/21</w:t>
            </w:r>
          </w:p>
        </w:tc>
        <w:tc>
          <w:tcPr>
            <w:tcW w:w="1462" w:type="dxa"/>
            <w:noWrap/>
            <w:hideMark/>
          </w:tcPr>
          <w:p w14:paraId="2B80B98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45A9EA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33C2CE02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23F83BA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New Jersey Psychiatric Association</w:t>
            </w:r>
          </w:p>
        </w:tc>
        <w:tc>
          <w:tcPr>
            <w:tcW w:w="1240" w:type="dxa"/>
            <w:noWrap/>
            <w:hideMark/>
          </w:tcPr>
          <w:p w14:paraId="0515925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10/26/21</w:t>
            </w:r>
          </w:p>
        </w:tc>
        <w:tc>
          <w:tcPr>
            <w:tcW w:w="1462" w:type="dxa"/>
            <w:noWrap/>
            <w:hideMark/>
          </w:tcPr>
          <w:p w14:paraId="279C0C8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2899EA6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616A28D8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5365F2F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Psychiatric Medical Association of New Mexico</w:t>
            </w:r>
          </w:p>
        </w:tc>
        <w:tc>
          <w:tcPr>
            <w:tcW w:w="1240" w:type="dxa"/>
            <w:noWrap/>
            <w:hideMark/>
          </w:tcPr>
          <w:p w14:paraId="092728E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10/26/21</w:t>
            </w:r>
          </w:p>
        </w:tc>
        <w:tc>
          <w:tcPr>
            <w:tcW w:w="1462" w:type="dxa"/>
            <w:noWrap/>
            <w:hideMark/>
          </w:tcPr>
          <w:p w14:paraId="3E58F5B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75D7587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D9659FF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40ADCF4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North Dakota Psychiatric Society</w:t>
            </w:r>
          </w:p>
        </w:tc>
        <w:tc>
          <w:tcPr>
            <w:tcW w:w="1240" w:type="dxa"/>
            <w:noWrap/>
            <w:hideMark/>
          </w:tcPr>
          <w:p w14:paraId="66F64E8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10/26/21</w:t>
            </w:r>
          </w:p>
        </w:tc>
        <w:tc>
          <w:tcPr>
            <w:tcW w:w="1462" w:type="dxa"/>
            <w:noWrap/>
            <w:hideMark/>
          </w:tcPr>
          <w:p w14:paraId="122E980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208B5DB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0680E256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2C07476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Ohio Psychiatric Physicians Association</w:t>
            </w:r>
          </w:p>
        </w:tc>
        <w:tc>
          <w:tcPr>
            <w:tcW w:w="1240" w:type="dxa"/>
            <w:noWrap/>
            <w:hideMark/>
          </w:tcPr>
          <w:p w14:paraId="2E4C1ED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10/26/21</w:t>
            </w:r>
          </w:p>
        </w:tc>
        <w:tc>
          <w:tcPr>
            <w:tcW w:w="1462" w:type="dxa"/>
            <w:noWrap/>
            <w:hideMark/>
          </w:tcPr>
          <w:p w14:paraId="39486D8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10/28/2021</w:t>
            </w:r>
          </w:p>
        </w:tc>
        <w:tc>
          <w:tcPr>
            <w:tcW w:w="2939" w:type="dxa"/>
            <w:noWrap/>
            <w:hideMark/>
          </w:tcPr>
          <w:p w14:paraId="2A9DE5A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Denied request</w:t>
            </w:r>
          </w:p>
        </w:tc>
      </w:tr>
    </w:tbl>
    <w:p w14:paraId="1977B178" w14:textId="2C07D4D1" w:rsidR="00507C2D" w:rsidRDefault="00507C2D" w:rsidP="00507C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240"/>
        <w:gridCol w:w="1462"/>
        <w:gridCol w:w="2939"/>
      </w:tblGrid>
      <w:tr w:rsidR="00507C2D" w:rsidRPr="00704AB0" w14:paraId="00060C29" w14:textId="77777777" w:rsidTr="005D5741">
        <w:trPr>
          <w:trHeight w:val="315"/>
        </w:trPr>
        <w:tc>
          <w:tcPr>
            <w:tcW w:w="4815" w:type="dxa"/>
            <w:tcBorders>
              <w:bottom w:val="single" w:sz="4" w:space="0" w:color="auto"/>
            </w:tcBorders>
            <w:noWrap/>
          </w:tcPr>
          <w:p w14:paraId="1FE0133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</w:tcPr>
          <w:p w14:paraId="724E483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b/>
                <w:bCs/>
                <w:sz w:val="20"/>
                <w:szCs w:val="20"/>
              </w:rPr>
              <w:t>Contacted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noWrap/>
          </w:tcPr>
          <w:p w14:paraId="4036913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noWrap/>
          </w:tcPr>
          <w:p w14:paraId="086E06C3" w14:textId="5D61E4EB" w:rsidR="00507C2D" w:rsidRPr="00704AB0" w:rsidRDefault="006C2DA3" w:rsidP="005D57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Last Received </w:t>
            </w:r>
            <w:r w:rsidR="00507C2D" w:rsidRPr="00704AB0">
              <w:rPr>
                <w:rFonts w:cstheme="minorHAnsi"/>
                <w:b/>
                <w:bCs/>
                <w:sz w:val="20"/>
                <w:szCs w:val="20"/>
              </w:rPr>
              <w:t>Response type</w:t>
            </w:r>
          </w:p>
        </w:tc>
      </w:tr>
      <w:tr w:rsidR="00507C2D" w:rsidRPr="00704AB0" w14:paraId="60849348" w14:textId="77777777" w:rsidTr="005D5741">
        <w:trPr>
          <w:trHeight w:val="315"/>
        </w:trPr>
        <w:tc>
          <w:tcPr>
            <w:tcW w:w="4815" w:type="dxa"/>
            <w:tcBorders>
              <w:top w:val="single" w:sz="4" w:space="0" w:color="auto"/>
            </w:tcBorders>
            <w:noWrap/>
            <w:hideMark/>
          </w:tcPr>
          <w:p w14:paraId="030D1F8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Oklahoma Psychiatric Physicians Association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hideMark/>
          </w:tcPr>
          <w:p w14:paraId="297FD62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11/2/21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noWrap/>
            <w:hideMark/>
          </w:tcPr>
          <w:p w14:paraId="2846DE8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  <w:noWrap/>
            <w:hideMark/>
          </w:tcPr>
          <w:p w14:paraId="41D3418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7171EE18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59130B7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Oregon Psychiatric Physicians Association</w:t>
            </w:r>
          </w:p>
        </w:tc>
        <w:tc>
          <w:tcPr>
            <w:tcW w:w="1240" w:type="dxa"/>
            <w:noWrap/>
            <w:hideMark/>
          </w:tcPr>
          <w:p w14:paraId="4AAAE98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11/2/21</w:t>
            </w:r>
          </w:p>
        </w:tc>
        <w:tc>
          <w:tcPr>
            <w:tcW w:w="1462" w:type="dxa"/>
            <w:noWrap/>
            <w:hideMark/>
          </w:tcPr>
          <w:p w14:paraId="19CDED6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C1A8BC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514DE60A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3AC7F88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 Pennsylvania Psychiatric Society</w:t>
            </w:r>
          </w:p>
        </w:tc>
        <w:tc>
          <w:tcPr>
            <w:tcW w:w="1240" w:type="dxa"/>
            <w:noWrap/>
            <w:hideMark/>
          </w:tcPr>
          <w:p w14:paraId="2495CC1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11/4/21</w:t>
            </w:r>
          </w:p>
        </w:tc>
        <w:tc>
          <w:tcPr>
            <w:tcW w:w="1462" w:type="dxa"/>
            <w:noWrap/>
            <w:hideMark/>
          </w:tcPr>
          <w:p w14:paraId="21C2D2D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4A20399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A15EBC4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347EF07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Rhode Island Psychiatric Society</w:t>
            </w:r>
          </w:p>
        </w:tc>
        <w:tc>
          <w:tcPr>
            <w:tcW w:w="1240" w:type="dxa"/>
            <w:noWrap/>
            <w:hideMark/>
          </w:tcPr>
          <w:p w14:paraId="04DBCF1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11/4/21</w:t>
            </w:r>
          </w:p>
        </w:tc>
        <w:tc>
          <w:tcPr>
            <w:tcW w:w="1462" w:type="dxa"/>
            <w:noWrap/>
            <w:hideMark/>
          </w:tcPr>
          <w:p w14:paraId="7FA542C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1FEE14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6B043A0E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260278C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College of Psychiatrists</w:t>
            </w:r>
          </w:p>
        </w:tc>
        <w:tc>
          <w:tcPr>
            <w:tcW w:w="1240" w:type="dxa"/>
            <w:noWrap/>
            <w:hideMark/>
          </w:tcPr>
          <w:p w14:paraId="47E11C9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2213086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4F3623B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9C19BBD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1C34157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Academy of Child and Adolescent Psychiatry</w:t>
            </w:r>
          </w:p>
        </w:tc>
        <w:tc>
          <w:tcPr>
            <w:tcW w:w="1240" w:type="dxa"/>
            <w:noWrap/>
            <w:hideMark/>
          </w:tcPr>
          <w:p w14:paraId="15290D3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62EBCDC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B42B90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781FF976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338052B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Association of Chairs of Departments of Psychiatry</w:t>
            </w:r>
          </w:p>
        </w:tc>
        <w:tc>
          <w:tcPr>
            <w:tcW w:w="1240" w:type="dxa"/>
            <w:noWrap/>
            <w:hideMark/>
          </w:tcPr>
          <w:p w14:paraId="5CF2F58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6FC1FFD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08136C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42CAC8D2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7DB21D6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Board of Psychiatry and Neurology</w:t>
            </w:r>
          </w:p>
        </w:tc>
        <w:tc>
          <w:tcPr>
            <w:tcW w:w="1240" w:type="dxa"/>
            <w:noWrap/>
            <w:hideMark/>
          </w:tcPr>
          <w:p w14:paraId="351ECF4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7A0204E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11/5/</w:t>
            </w:r>
            <w:r w:rsidRPr="00704AB0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2939" w:type="dxa"/>
            <w:noWrap/>
            <w:hideMark/>
          </w:tcPr>
          <w:p w14:paraId="3A82B0F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Denied request</w:t>
            </w:r>
          </w:p>
        </w:tc>
      </w:tr>
      <w:tr w:rsidR="00507C2D" w:rsidRPr="00704AB0" w14:paraId="6A684484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7886EDC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Foundation for Suicide Prevention</w:t>
            </w:r>
          </w:p>
        </w:tc>
        <w:tc>
          <w:tcPr>
            <w:tcW w:w="1240" w:type="dxa"/>
            <w:noWrap/>
            <w:hideMark/>
          </w:tcPr>
          <w:p w14:paraId="6B5C4AF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4EB60DE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394014B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072EB16D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3D195C1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Association of Women Psychiatrists</w:t>
            </w:r>
          </w:p>
        </w:tc>
        <w:tc>
          <w:tcPr>
            <w:tcW w:w="1240" w:type="dxa"/>
            <w:noWrap/>
            <w:hideMark/>
          </w:tcPr>
          <w:p w14:paraId="10EE938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2B9F871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11/14</w:t>
            </w:r>
            <w:r w:rsidRPr="00704AB0">
              <w:rPr>
                <w:rFonts w:cstheme="minorHAnsi"/>
                <w:sz w:val="20"/>
                <w:szCs w:val="20"/>
              </w:rPr>
              <w:t>/2021</w:t>
            </w:r>
          </w:p>
        </w:tc>
        <w:tc>
          <w:tcPr>
            <w:tcW w:w="2939" w:type="dxa"/>
            <w:noWrap/>
            <w:hideMark/>
          </w:tcPr>
          <w:p w14:paraId="220DD19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 xml:space="preserve">Survey distributed to </w:t>
            </w:r>
            <w:proofErr w:type="spellStart"/>
            <w:r w:rsidRPr="00704AB0">
              <w:rPr>
                <w:rFonts w:cstheme="minorHAnsi"/>
                <w:sz w:val="20"/>
                <w:szCs w:val="20"/>
              </w:rPr>
              <w:t>listserve</w:t>
            </w:r>
            <w:proofErr w:type="spellEnd"/>
          </w:p>
        </w:tc>
      </w:tr>
      <w:tr w:rsidR="00507C2D" w:rsidRPr="00704AB0" w14:paraId="0D85D8BC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25596A1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World Psychiatric Association</w:t>
            </w:r>
          </w:p>
        </w:tc>
        <w:tc>
          <w:tcPr>
            <w:tcW w:w="1240" w:type="dxa"/>
            <w:noWrap/>
            <w:hideMark/>
          </w:tcPr>
          <w:p w14:paraId="7247660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3822999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226B681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5827E6E3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62D8609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South Carolina Psychiatric Association</w:t>
            </w:r>
          </w:p>
        </w:tc>
        <w:tc>
          <w:tcPr>
            <w:tcW w:w="1240" w:type="dxa"/>
            <w:noWrap/>
            <w:hideMark/>
          </w:tcPr>
          <w:p w14:paraId="21FF495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59AD746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6E589A6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3D1D7D3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0DD1765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Tennessee Psychiatric Association</w:t>
            </w:r>
          </w:p>
        </w:tc>
        <w:tc>
          <w:tcPr>
            <w:tcW w:w="1240" w:type="dxa"/>
            <w:noWrap/>
            <w:hideMark/>
          </w:tcPr>
          <w:p w14:paraId="37B5ECA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5945997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5E1D444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4A958E77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445186A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Utah Psychiatric Association</w:t>
            </w:r>
          </w:p>
        </w:tc>
        <w:tc>
          <w:tcPr>
            <w:tcW w:w="1240" w:type="dxa"/>
            <w:noWrap/>
            <w:hideMark/>
          </w:tcPr>
          <w:p w14:paraId="06A8909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0BBEA58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2BDFFA6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08A173C7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668757A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Vermont Psychiatric Association</w:t>
            </w:r>
          </w:p>
        </w:tc>
        <w:tc>
          <w:tcPr>
            <w:tcW w:w="1240" w:type="dxa"/>
            <w:noWrap/>
            <w:hideMark/>
          </w:tcPr>
          <w:p w14:paraId="713A752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6AACA6E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7C8B574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0E769486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34E3595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West Virginia Psychiatric Association</w:t>
            </w:r>
          </w:p>
        </w:tc>
        <w:tc>
          <w:tcPr>
            <w:tcW w:w="1240" w:type="dxa"/>
            <w:noWrap/>
            <w:hideMark/>
          </w:tcPr>
          <w:p w14:paraId="10E7DD8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2A29C22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1F0B458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A6B62A1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762C9BA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Wyoming Medical Society</w:t>
            </w:r>
          </w:p>
        </w:tc>
        <w:tc>
          <w:tcPr>
            <w:tcW w:w="1240" w:type="dxa"/>
            <w:noWrap/>
            <w:hideMark/>
          </w:tcPr>
          <w:p w14:paraId="285CB16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070FBFB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23AF23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F1CB5CB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74B37FD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Wisconsin Psychiatric Association</w:t>
            </w:r>
          </w:p>
        </w:tc>
        <w:tc>
          <w:tcPr>
            <w:tcW w:w="1240" w:type="dxa"/>
            <w:noWrap/>
            <w:hideMark/>
          </w:tcPr>
          <w:p w14:paraId="253D868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11/6/21</w:t>
            </w:r>
          </w:p>
        </w:tc>
        <w:tc>
          <w:tcPr>
            <w:tcW w:w="1462" w:type="dxa"/>
            <w:noWrap/>
            <w:hideMark/>
          </w:tcPr>
          <w:p w14:paraId="445D92F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54DC365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67E27D7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2B76E39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 South Dakota Psychiatric Association</w:t>
            </w:r>
          </w:p>
        </w:tc>
        <w:tc>
          <w:tcPr>
            <w:tcW w:w="1240" w:type="dxa"/>
            <w:noWrap/>
            <w:hideMark/>
          </w:tcPr>
          <w:p w14:paraId="0B06169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039C4BB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11/05/2021</w:t>
            </w:r>
          </w:p>
        </w:tc>
        <w:tc>
          <w:tcPr>
            <w:tcW w:w="2939" w:type="dxa"/>
            <w:noWrap/>
            <w:hideMark/>
          </w:tcPr>
          <w:p w14:paraId="1E113DD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Secretary to check with President</w:t>
            </w:r>
          </w:p>
        </w:tc>
      </w:tr>
      <w:tr w:rsidR="00507C2D" w:rsidRPr="00704AB0" w14:paraId="49DAD60D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00CB289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Society of Uniformed Services Psychiatrists</w:t>
            </w:r>
          </w:p>
        </w:tc>
        <w:tc>
          <w:tcPr>
            <w:tcW w:w="1240" w:type="dxa"/>
            <w:noWrap/>
            <w:hideMark/>
          </w:tcPr>
          <w:p w14:paraId="0CE004C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11/5/21</w:t>
            </w:r>
          </w:p>
        </w:tc>
        <w:tc>
          <w:tcPr>
            <w:tcW w:w="1462" w:type="dxa"/>
            <w:noWrap/>
            <w:hideMark/>
          </w:tcPr>
          <w:p w14:paraId="09238EA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11/05/2021</w:t>
            </w:r>
          </w:p>
        </w:tc>
        <w:tc>
          <w:tcPr>
            <w:tcW w:w="2939" w:type="dxa"/>
            <w:noWrap/>
            <w:hideMark/>
          </w:tcPr>
          <w:p w14:paraId="342350A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Secretary to check with President</w:t>
            </w:r>
          </w:p>
        </w:tc>
      </w:tr>
      <w:tr w:rsidR="00507C2D" w:rsidRPr="00704AB0" w14:paraId="65329522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6B5280B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bookmarkStart w:id="4" w:name="_Hlk108440930"/>
            <w:r w:rsidRPr="00704AB0">
              <w:rPr>
                <w:rFonts w:cstheme="minorHAnsi"/>
                <w:sz w:val="20"/>
                <w:szCs w:val="20"/>
              </w:rPr>
              <w:t>American Psychiatric Nurses Association</w:t>
            </w:r>
            <w:bookmarkEnd w:id="4"/>
          </w:p>
        </w:tc>
        <w:tc>
          <w:tcPr>
            <w:tcW w:w="1240" w:type="dxa"/>
            <w:noWrap/>
            <w:hideMark/>
          </w:tcPr>
          <w:p w14:paraId="572088F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12/20/21</w:t>
            </w:r>
          </w:p>
        </w:tc>
        <w:tc>
          <w:tcPr>
            <w:tcW w:w="1462" w:type="dxa"/>
            <w:noWrap/>
            <w:hideMark/>
          </w:tcPr>
          <w:p w14:paraId="1632D36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12/22/2021</w:t>
            </w:r>
          </w:p>
        </w:tc>
        <w:tc>
          <w:tcPr>
            <w:tcW w:w="2939" w:type="dxa"/>
            <w:noWrap/>
            <w:hideMark/>
          </w:tcPr>
          <w:p w14:paraId="36E408C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Denied request</w:t>
            </w:r>
          </w:p>
        </w:tc>
      </w:tr>
      <w:tr w:rsidR="00507C2D" w:rsidRPr="00704AB0" w14:paraId="504B81A6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6090326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Association of Psychiatric Mental Health Nurse Practitioners</w:t>
            </w:r>
          </w:p>
        </w:tc>
        <w:tc>
          <w:tcPr>
            <w:tcW w:w="1240" w:type="dxa"/>
            <w:noWrap/>
            <w:hideMark/>
          </w:tcPr>
          <w:p w14:paraId="16EBBA8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6C6047C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44AD881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06C8ACC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7BB9913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Association of Directors of Psychiatric Residency Training</w:t>
            </w:r>
          </w:p>
        </w:tc>
        <w:tc>
          <w:tcPr>
            <w:tcW w:w="1240" w:type="dxa"/>
            <w:noWrap/>
            <w:hideMark/>
          </w:tcPr>
          <w:p w14:paraId="1905225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7502DCA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9D7372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A237CAF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7F15789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04AB0">
              <w:rPr>
                <w:rFonts w:cstheme="minorHAnsi"/>
                <w:sz w:val="20"/>
                <w:szCs w:val="20"/>
              </w:rPr>
              <w:t>AllHealth</w:t>
            </w:r>
            <w:proofErr w:type="spellEnd"/>
            <w:r w:rsidRPr="00704AB0">
              <w:rPr>
                <w:rFonts w:cstheme="minorHAnsi"/>
                <w:sz w:val="20"/>
                <w:szCs w:val="20"/>
              </w:rPr>
              <w:t xml:space="preserve"> Network Psychiatry Services</w:t>
            </w:r>
          </w:p>
        </w:tc>
        <w:tc>
          <w:tcPr>
            <w:tcW w:w="1240" w:type="dxa"/>
            <w:noWrap/>
            <w:hideMark/>
          </w:tcPr>
          <w:p w14:paraId="75C039C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6A7684E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5FD56F8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0D1295CA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5E7310B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Psychiatry Networks</w:t>
            </w:r>
          </w:p>
        </w:tc>
        <w:tc>
          <w:tcPr>
            <w:tcW w:w="1240" w:type="dxa"/>
            <w:noWrap/>
            <w:hideMark/>
          </w:tcPr>
          <w:p w14:paraId="7F55908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1096668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74E8410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30D5DC0C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1D09125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Neuro-Psychiatric Network, Inc.</w:t>
            </w:r>
          </w:p>
        </w:tc>
        <w:tc>
          <w:tcPr>
            <w:tcW w:w="1240" w:type="dxa"/>
            <w:noWrap/>
            <w:hideMark/>
          </w:tcPr>
          <w:p w14:paraId="00126B8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5DB3E98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5A13489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373C0645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17677B7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Progeny Psychiatry Group (Irvine)</w:t>
            </w:r>
          </w:p>
        </w:tc>
        <w:tc>
          <w:tcPr>
            <w:tcW w:w="1240" w:type="dxa"/>
            <w:noWrap/>
            <w:hideMark/>
          </w:tcPr>
          <w:p w14:paraId="77F9876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3ACBA90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3221014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68F27BD6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14C9655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Segal Neuropsychiatry</w:t>
            </w:r>
          </w:p>
        </w:tc>
        <w:tc>
          <w:tcPr>
            <w:tcW w:w="1240" w:type="dxa"/>
            <w:noWrap/>
            <w:hideMark/>
          </w:tcPr>
          <w:p w14:paraId="0D41F0D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35C0EBA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451C479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5A9A1CD7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3985ABB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Psychiatric Care</w:t>
            </w:r>
          </w:p>
        </w:tc>
        <w:tc>
          <w:tcPr>
            <w:tcW w:w="1240" w:type="dxa"/>
            <w:noWrap/>
            <w:hideMark/>
          </w:tcPr>
          <w:p w14:paraId="581A5A2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0602A5D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2EA066F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6CEB102B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6551568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Association for Academic Psychiatry</w:t>
            </w:r>
          </w:p>
        </w:tc>
        <w:tc>
          <w:tcPr>
            <w:tcW w:w="1240" w:type="dxa"/>
            <w:noWrap/>
            <w:hideMark/>
          </w:tcPr>
          <w:p w14:paraId="7C71142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191F860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696543E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54765021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10D8294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Academy of Organizational and Occupational Psychiatry</w:t>
            </w:r>
          </w:p>
        </w:tc>
        <w:tc>
          <w:tcPr>
            <w:tcW w:w="1240" w:type="dxa"/>
            <w:noWrap/>
            <w:hideMark/>
          </w:tcPr>
          <w:p w14:paraId="4FB337D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2971364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773C041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22DE8A84" w14:textId="77777777" w:rsidTr="005D5741">
        <w:trPr>
          <w:trHeight w:val="315"/>
        </w:trPr>
        <w:tc>
          <w:tcPr>
            <w:tcW w:w="4815" w:type="dxa"/>
            <w:noWrap/>
            <w:hideMark/>
          </w:tcPr>
          <w:p w14:paraId="59ECF76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Academy of Addiction Psychiatry</w:t>
            </w:r>
          </w:p>
        </w:tc>
        <w:tc>
          <w:tcPr>
            <w:tcW w:w="1240" w:type="dxa"/>
            <w:noWrap/>
            <w:hideMark/>
          </w:tcPr>
          <w:p w14:paraId="72DBF61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7B7CE21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0FA717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7F438903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4E749F9A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Association for Psychiatric Administration and Leadership</w:t>
            </w:r>
          </w:p>
        </w:tc>
        <w:tc>
          <w:tcPr>
            <w:tcW w:w="1240" w:type="dxa"/>
            <w:noWrap/>
            <w:hideMark/>
          </w:tcPr>
          <w:p w14:paraId="6B1BBE6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22639942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61FB42EE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195A1E1E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5CEC2F2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Society for Adolescent Psychiatry</w:t>
            </w:r>
          </w:p>
        </w:tc>
        <w:tc>
          <w:tcPr>
            <w:tcW w:w="1240" w:type="dxa"/>
            <w:noWrap/>
            <w:hideMark/>
          </w:tcPr>
          <w:p w14:paraId="6BD9B6C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1A4587F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787E1E3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343A7BD5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31421B5F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Society of Hispanic Society</w:t>
            </w:r>
          </w:p>
        </w:tc>
        <w:tc>
          <w:tcPr>
            <w:tcW w:w="1240" w:type="dxa"/>
            <w:noWrap/>
            <w:hideMark/>
          </w:tcPr>
          <w:p w14:paraId="5020E76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19591BE1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0A8F3D9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48552E91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42AD7A23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Association of Directors of Medical Student Education in Psychiatry</w:t>
            </w:r>
          </w:p>
        </w:tc>
        <w:tc>
          <w:tcPr>
            <w:tcW w:w="1240" w:type="dxa"/>
            <w:noWrap/>
            <w:hideMark/>
          </w:tcPr>
          <w:p w14:paraId="14336FC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1454D23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151100B7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6B0D6D93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06E8527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Association of American Medical Colleges</w:t>
            </w:r>
          </w:p>
        </w:tc>
        <w:tc>
          <w:tcPr>
            <w:tcW w:w="1240" w:type="dxa"/>
            <w:noWrap/>
            <w:hideMark/>
          </w:tcPr>
          <w:p w14:paraId="19B02DE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16DE5AE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6B5305A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45AE32DC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7D31955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International Association for Child and Adolescent Psychiatry and Allied Professions</w:t>
            </w:r>
          </w:p>
        </w:tc>
        <w:tc>
          <w:tcPr>
            <w:tcW w:w="1240" w:type="dxa"/>
            <w:noWrap/>
            <w:hideMark/>
          </w:tcPr>
          <w:p w14:paraId="723BFF74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02C3E9E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30F1C20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73389234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46E1ED0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Association for Emergency Psychiatry</w:t>
            </w:r>
          </w:p>
        </w:tc>
        <w:tc>
          <w:tcPr>
            <w:tcW w:w="1240" w:type="dxa"/>
            <w:noWrap/>
            <w:hideMark/>
          </w:tcPr>
          <w:p w14:paraId="644DF2F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1D6FB385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6146C67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C2D" w:rsidRPr="00704AB0" w14:paraId="71BB016F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5C4DBFF6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Academy of Clinical Psychiatrists</w:t>
            </w:r>
          </w:p>
        </w:tc>
        <w:tc>
          <w:tcPr>
            <w:tcW w:w="1240" w:type="dxa"/>
            <w:noWrap/>
            <w:hideMark/>
          </w:tcPr>
          <w:p w14:paraId="2DCA2FF0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409DCF6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01/20/22</w:t>
            </w:r>
          </w:p>
        </w:tc>
        <w:tc>
          <w:tcPr>
            <w:tcW w:w="2939" w:type="dxa"/>
            <w:noWrap/>
            <w:hideMark/>
          </w:tcPr>
          <w:p w14:paraId="012B35C9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Distributed via newsletter</w:t>
            </w:r>
          </w:p>
        </w:tc>
      </w:tr>
      <w:tr w:rsidR="00507C2D" w:rsidRPr="00704AB0" w14:paraId="6025984C" w14:textId="77777777" w:rsidTr="005D5741">
        <w:trPr>
          <w:trHeight w:val="300"/>
        </w:trPr>
        <w:tc>
          <w:tcPr>
            <w:tcW w:w="4815" w:type="dxa"/>
            <w:noWrap/>
            <w:hideMark/>
          </w:tcPr>
          <w:p w14:paraId="2E32FFFB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American Neuropsychiatric Association</w:t>
            </w:r>
          </w:p>
        </w:tc>
        <w:tc>
          <w:tcPr>
            <w:tcW w:w="1240" w:type="dxa"/>
            <w:noWrap/>
            <w:hideMark/>
          </w:tcPr>
          <w:p w14:paraId="7592FA8D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  <w:r w:rsidRPr="00704AB0">
              <w:rPr>
                <w:rFonts w:cstheme="minorHAnsi"/>
                <w:sz w:val="20"/>
                <w:szCs w:val="20"/>
              </w:rPr>
              <w:t>01/18/22</w:t>
            </w:r>
          </w:p>
        </w:tc>
        <w:tc>
          <w:tcPr>
            <w:tcW w:w="1462" w:type="dxa"/>
            <w:noWrap/>
            <w:hideMark/>
          </w:tcPr>
          <w:p w14:paraId="22A2E02C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9" w:type="dxa"/>
            <w:noWrap/>
            <w:hideMark/>
          </w:tcPr>
          <w:p w14:paraId="5D7EAFA8" w14:textId="77777777" w:rsidR="00507C2D" w:rsidRPr="00704AB0" w:rsidRDefault="00507C2D" w:rsidP="005D574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39C8AA" w14:textId="77777777" w:rsidR="00507C2D" w:rsidRDefault="00507C2D">
      <w:pPr>
        <w:rPr>
          <w:rFonts w:cstheme="minorHAnsi"/>
          <w:b/>
          <w:bCs/>
        </w:rPr>
      </w:pPr>
      <w:r>
        <w:br w:type="page"/>
      </w:r>
    </w:p>
    <w:p w14:paraId="2C295C90" w14:textId="18A9E0B3" w:rsidR="001A3878" w:rsidRPr="006A42B1" w:rsidRDefault="001A3878" w:rsidP="006E5C52">
      <w:pPr>
        <w:pStyle w:val="Heading1"/>
      </w:pPr>
      <w:bookmarkStart w:id="5" w:name="_Toc109034774"/>
      <w:r w:rsidRPr="006D063C">
        <w:lastRenderedPageBreak/>
        <w:t>Table S</w:t>
      </w:r>
      <w:r w:rsidR="00507C2D">
        <w:t>2</w:t>
      </w:r>
      <w:r w:rsidRPr="001A3878">
        <w:t>. Respondent</w:t>
      </w:r>
      <w:r>
        <w:t xml:space="preserve"> p</w:t>
      </w:r>
      <w:r w:rsidRPr="006A42B1">
        <w:t xml:space="preserve">erspectives on </w:t>
      </w:r>
      <w:r w:rsidR="001309D8">
        <w:t xml:space="preserve">the billing of </w:t>
      </w:r>
      <w:r w:rsidRPr="006A42B1">
        <w:t>point-of-care devices</w:t>
      </w:r>
      <w:bookmarkEnd w:id="5"/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592"/>
        <w:gridCol w:w="78"/>
        <w:gridCol w:w="3062"/>
      </w:tblGrid>
      <w:tr w:rsidR="00DC7A2A" w:rsidRPr="006A42B1" w14:paraId="1F5980FD" w14:textId="77777777" w:rsidTr="00DC7A2A"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9F0088" w14:textId="35B6DC19" w:rsidR="00DC7A2A" w:rsidRPr="00DC7A2A" w:rsidRDefault="00DC7A2A" w:rsidP="004450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C7A2A">
              <w:rPr>
                <w:rFonts w:cstheme="minorHAnsi"/>
                <w:b/>
                <w:bCs/>
                <w:sz w:val="20"/>
                <w:szCs w:val="20"/>
              </w:rPr>
              <w:t>Query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4EFEC85D" w14:textId="50224FEE" w:rsidR="00DC7A2A" w:rsidRPr="00510B9B" w:rsidRDefault="00DC7A2A" w:rsidP="004450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0B52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(%)</w:t>
            </w:r>
          </w:p>
        </w:tc>
      </w:tr>
      <w:tr w:rsidR="001A3878" w:rsidRPr="006A42B1" w14:paraId="681C7446" w14:textId="77777777" w:rsidTr="00445031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1A6188" w14:textId="77777777" w:rsidR="001A3878" w:rsidRPr="00510B9B" w:rsidRDefault="001A3878" w:rsidP="004450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6" w:name="_Hlk100050790"/>
            <w:r w:rsidRPr="00510B9B">
              <w:rPr>
                <w:rFonts w:cstheme="minorHAnsi"/>
                <w:b/>
                <w:bCs/>
                <w:sz w:val="20"/>
                <w:szCs w:val="20"/>
              </w:rPr>
              <w:t>How would you prefer to bill in-office point-of-care lithium monitoring?</w:t>
            </w:r>
          </w:p>
        </w:tc>
      </w:tr>
      <w:tr w:rsidR="001A3878" w:rsidRPr="006A42B1" w14:paraId="44073C93" w14:textId="77777777" w:rsidTr="00445031">
        <w:tc>
          <w:tcPr>
            <w:tcW w:w="284" w:type="dxa"/>
            <w:tcBorders>
              <w:top w:val="single" w:sz="4" w:space="0" w:color="auto"/>
            </w:tcBorders>
          </w:tcPr>
          <w:p w14:paraId="26A5816A" w14:textId="77777777" w:rsidR="001A3878" w:rsidRPr="006A42B1" w:rsidRDefault="001A3878" w:rsidP="00445031">
            <w:pPr>
              <w:jc w:val="both"/>
              <w:rPr>
                <w:rFonts w:cstheme="minorHAnsi"/>
              </w:rPr>
            </w:pPr>
          </w:p>
        </w:tc>
        <w:tc>
          <w:tcPr>
            <w:tcW w:w="5592" w:type="dxa"/>
            <w:tcBorders>
              <w:top w:val="single" w:sz="4" w:space="0" w:color="auto"/>
            </w:tcBorders>
          </w:tcPr>
          <w:p w14:paraId="36628D22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Office visit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</w:tcBorders>
          </w:tcPr>
          <w:p w14:paraId="7DCD3215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46 (70.8)</w:t>
            </w:r>
          </w:p>
        </w:tc>
      </w:tr>
      <w:tr w:rsidR="001A3878" w:rsidRPr="006A42B1" w14:paraId="57AB992A" w14:textId="77777777" w:rsidTr="00445031">
        <w:tc>
          <w:tcPr>
            <w:tcW w:w="284" w:type="dxa"/>
          </w:tcPr>
          <w:p w14:paraId="64ABB16F" w14:textId="77777777" w:rsidR="001A3878" w:rsidRPr="006A42B1" w:rsidRDefault="001A3878" w:rsidP="00445031">
            <w:pPr>
              <w:jc w:val="both"/>
              <w:rPr>
                <w:rFonts w:cstheme="minorHAnsi"/>
              </w:rPr>
            </w:pPr>
          </w:p>
        </w:tc>
        <w:tc>
          <w:tcPr>
            <w:tcW w:w="5592" w:type="dxa"/>
          </w:tcPr>
          <w:p w14:paraId="29C2EDF4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Pathology visit</w:t>
            </w:r>
          </w:p>
        </w:tc>
        <w:tc>
          <w:tcPr>
            <w:tcW w:w="3140" w:type="dxa"/>
            <w:gridSpan w:val="2"/>
          </w:tcPr>
          <w:p w14:paraId="362F826E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9 (13.8)</w:t>
            </w:r>
          </w:p>
        </w:tc>
      </w:tr>
      <w:tr w:rsidR="001A3878" w:rsidRPr="006A42B1" w14:paraId="0EEF1901" w14:textId="77777777" w:rsidTr="00445031">
        <w:tc>
          <w:tcPr>
            <w:tcW w:w="284" w:type="dxa"/>
            <w:tcBorders>
              <w:bottom w:val="single" w:sz="4" w:space="0" w:color="auto"/>
            </w:tcBorders>
          </w:tcPr>
          <w:p w14:paraId="6D1FCCFA" w14:textId="77777777" w:rsidR="001A3878" w:rsidRPr="006A42B1" w:rsidRDefault="001A3878" w:rsidP="00445031">
            <w:pPr>
              <w:jc w:val="both"/>
              <w:rPr>
                <w:rFonts w:cstheme="minorHAnsi"/>
              </w:rPr>
            </w:pPr>
          </w:p>
        </w:tc>
        <w:tc>
          <w:tcPr>
            <w:tcW w:w="5592" w:type="dxa"/>
            <w:tcBorders>
              <w:bottom w:val="single" w:sz="4" w:space="0" w:color="auto"/>
            </w:tcBorders>
          </w:tcPr>
          <w:p w14:paraId="78078229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Other (unsure/ not relevant/ not of concern)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</w:tcPr>
          <w:p w14:paraId="53195C19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10 (15.4)</w:t>
            </w:r>
          </w:p>
        </w:tc>
      </w:tr>
      <w:tr w:rsidR="001A3878" w:rsidRPr="006A42B1" w14:paraId="3FEC80DE" w14:textId="77777777" w:rsidTr="00445031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9F00C0" w14:textId="77777777" w:rsidR="001A3878" w:rsidRPr="00510B9B" w:rsidRDefault="001A3878" w:rsidP="004450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10B9B">
              <w:rPr>
                <w:rFonts w:cstheme="minorHAnsi"/>
                <w:b/>
                <w:bCs/>
                <w:sz w:val="20"/>
                <w:szCs w:val="20"/>
              </w:rPr>
              <w:t>If the cost of the device was not an issue, how much would you charge a patient, per use, for the point-of-care device?</w:t>
            </w:r>
          </w:p>
        </w:tc>
      </w:tr>
      <w:tr w:rsidR="001A3878" w:rsidRPr="006A42B1" w14:paraId="4D824C8F" w14:textId="77777777" w:rsidTr="00445031">
        <w:tc>
          <w:tcPr>
            <w:tcW w:w="284" w:type="dxa"/>
            <w:tcBorders>
              <w:top w:val="single" w:sz="4" w:space="0" w:color="auto"/>
            </w:tcBorders>
          </w:tcPr>
          <w:p w14:paraId="6F18AA8C" w14:textId="77777777" w:rsidR="001A3878" w:rsidRPr="006A42B1" w:rsidRDefault="001A3878" w:rsidP="00445031">
            <w:pPr>
              <w:jc w:val="both"/>
              <w:rPr>
                <w:rFonts w:cstheme="minorHAnsi"/>
              </w:rPr>
            </w:pPr>
          </w:p>
        </w:tc>
        <w:tc>
          <w:tcPr>
            <w:tcW w:w="5592" w:type="dxa"/>
            <w:tcBorders>
              <w:top w:val="single" w:sz="4" w:space="0" w:color="auto"/>
            </w:tcBorders>
          </w:tcPr>
          <w:p w14:paraId="2053BE43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≤$10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</w:tcBorders>
          </w:tcPr>
          <w:p w14:paraId="47B6DE7D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6 (40.0)</w:t>
            </w:r>
          </w:p>
        </w:tc>
      </w:tr>
      <w:tr w:rsidR="001A3878" w:rsidRPr="006A42B1" w14:paraId="509FC42F" w14:textId="77777777" w:rsidTr="00445031">
        <w:tc>
          <w:tcPr>
            <w:tcW w:w="284" w:type="dxa"/>
          </w:tcPr>
          <w:p w14:paraId="1ABFDA0D" w14:textId="77777777" w:rsidR="001A3878" w:rsidRPr="006A42B1" w:rsidRDefault="001A3878" w:rsidP="00445031">
            <w:pPr>
              <w:jc w:val="both"/>
              <w:rPr>
                <w:rFonts w:cstheme="minorHAnsi"/>
              </w:rPr>
            </w:pPr>
          </w:p>
        </w:tc>
        <w:tc>
          <w:tcPr>
            <w:tcW w:w="5592" w:type="dxa"/>
          </w:tcPr>
          <w:p w14:paraId="4D1CDEDE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≤$25</w:t>
            </w:r>
          </w:p>
        </w:tc>
        <w:tc>
          <w:tcPr>
            <w:tcW w:w="3140" w:type="dxa"/>
            <w:gridSpan w:val="2"/>
          </w:tcPr>
          <w:p w14:paraId="679EC2B0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7 (46.7)</w:t>
            </w:r>
          </w:p>
        </w:tc>
      </w:tr>
      <w:tr w:rsidR="001A3878" w:rsidRPr="006A42B1" w14:paraId="640362F9" w14:textId="77777777" w:rsidTr="00445031">
        <w:tc>
          <w:tcPr>
            <w:tcW w:w="284" w:type="dxa"/>
          </w:tcPr>
          <w:p w14:paraId="1C362EA5" w14:textId="77777777" w:rsidR="001A3878" w:rsidRPr="006A42B1" w:rsidRDefault="001A3878" w:rsidP="00445031">
            <w:pPr>
              <w:jc w:val="both"/>
              <w:rPr>
                <w:rFonts w:cstheme="minorHAnsi"/>
              </w:rPr>
            </w:pPr>
          </w:p>
        </w:tc>
        <w:tc>
          <w:tcPr>
            <w:tcW w:w="5592" w:type="dxa"/>
          </w:tcPr>
          <w:p w14:paraId="65A8352C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≤$50</w:t>
            </w:r>
          </w:p>
        </w:tc>
        <w:tc>
          <w:tcPr>
            <w:tcW w:w="3140" w:type="dxa"/>
            <w:gridSpan w:val="2"/>
          </w:tcPr>
          <w:p w14:paraId="010CD2E6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2 (13.3)</w:t>
            </w:r>
          </w:p>
        </w:tc>
      </w:tr>
      <w:tr w:rsidR="001A3878" w:rsidRPr="006A42B1" w14:paraId="3AEA7B72" w14:textId="77777777" w:rsidTr="00445031">
        <w:tc>
          <w:tcPr>
            <w:tcW w:w="284" w:type="dxa"/>
          </w:tcPr>
          <w:p w14:paraId="70F8C4BE" w14:textId="77777777" w:rsidR="001A3878" w:rsidRPr="006A42B1" w:rsidRDefault="001A3878" w:rsidP="00445031">
            <w:pPr>
              <w:jc w:val="both"/>
              <w:rPr>
                <w:rFonts w:cstheme="minorHAnsi"/>
              </w:rPr>
            </w:pPr>
          </w:p>
        </w:tc>
        <w:tc>
          <w:tcPr>
            <w:tcW w:w="5592" w:type="dxa"/>
          </w:tcPr>
          <w:p w14:paraId="12A0B3F9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≤$</w:t>
            </w: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3140" w:type="dxa"/>
            <w:gridSpan w:val="2"/>
          </w:tcPr>
          <w:p w14:paraId="3A25102E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 (0.0)</w:t>
            </w:r>
          </w:p>
        </w:tc>
      </w:tr>
      <w:tr w:rsidR="001A3878" w:rsidRPr="006A42B1" w14:paraId="4F16E3B7" w14:textId="77777777" w:rsidTr="00445031">
        <w:tc>
          <w:tcPr>
            <w:tcW w:w="284" w:type="dxa"/>
          </w:tcPr>
          <w:p w14:paraId="508E89DF" w14:textId="77777777" w:rsidR="001A3878" w:rsidRPr="006A42B1" w:rsidRDefault="001A3878" w:rsidP="00445031">
            <w:pPr>
              <w:jc w:val="both"/>
              <w:rPr>
                <w:rFonts w:cstheme="minorHAnsi"/>
              </w:rPr>
            </w:pPr>
          </w:p>
        </w:tc>
        <w:tc>
          <w:tcPr>
            <w:tcW w:w="5592" w:type="dxa"/>
          </w:tcPr>
          <w:p w14:paraId="074C1877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≤$</w:t>
            </w:r>
            <w:r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3140" w:type="dxa"/>
            <w:gridSpan w:val="2"/>
          </w:tcPr>
          <w:p w14:paraId="0D5348A7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 (0.0)</w:t>
            </w:r>
          </w:p>
        </w:tc>
      </w:tr>
      <w:tr w:rsidR="001A3878" w:rsidRPr="006A42B1" w14:paraId="41517CA7" w14:textId="77777777" w:rsidTr="00445031">
        <w:tc>
          <w:tcPr>
            <w:tcW w:w="284" w:type="dxa"/>
            <w:tcBorders>
              <w:bottom w:val="single" w:sz="4" w:space="0" w:color="auto"/>
            </w:tcBorders>
          </w:tcPr>
          <w:p w14:paraId="3C2AD466" w14:textId="77777777" w:rsidR="001A3878" w:rsidRPr="006A42B1" w:rsidRDefault="001A3878" w:rsidP="00445031">
            <w:pPr>
              <w:jc w:val="both"/>
              <w:rPr>
                <w:rFonts w:cstheme="minorHAnsi"/>
              </w:rPr>
            </w:pPr>
          </w:p>
        </w:tc>
        <w:tc>
          <w:tcPr>
            <w:tcW w:w="5592" w:type="dxa"/>
            <w:tcBorders>
              <w:bottom w:val="single" w:sz="4" w:space="0" w:color="auto"/>
            </w:tcBorders>
          </w:tcPr>
          <w:p w14:paraId="52231CA1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B9B">
              <w:rPr>
                <w:rFonts w:cstheme="minorHAnsi"/>
                <w:sz w:val="20"/>
                <w:szCs w:val="20"/>
              </w:rPr>
              <w:t>≤$</w:t>
            </w:r>
            <w:r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</w:tcPr>
          <w:p w14:paraId="280E2295" w14:textId="77777777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 (0.0)</w:t>
            </w:r>
          </w:p>
        </w:tc>
      </w:tr>
      <w:tr w:rsidR="001A3878" w:rsidRPr="006A42B1" w14:paraId="0EB9F11B" w14:textId="77777777" w:rsidTr="00445031">
        <w:tc>
          <w:tcPr>
            <w:tcW w:w="9016" w:type="dxa"/>
            <w:gridSpan w:val="4"/>
            <w:tcBorders>
              <w:top w:val="single" w:sz="4" w:space="0" w:color="auto"/>
            </w:tcBorders>
          </w:tcPr>
          <w:p w14:paraId="6E27FA4B" w14:textId="1D15C78B" w:rsidR="001A3878" w:rsidRPr="00510B9B" w:rsidRDefault="001A3878" w:rsidP="0044503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6"/>
    </w:tbl>
    <w:p w14:paraId="14F59387" w14:textId="77777777" w:rsidR="00864450" w:rsidRDefault="00864450">
      <w:pPr>
        <w:rPr>
          <w:b/>
          <w:bCs/>
        </w:rPr>
      </w:pPr>
    </w:p>
    <w:p w14:paraId="54FD947F" w14:textId="77777777" w:rsidR="00EB2E51" w:rsidRDefault="00EB2E51">
      <w:pPr>
        <w:rPr>
          <w:b/>
          <w:bCs/>
        </w:rPr>
        <w:sectPr w:rsidR="00EB2E51" w:rsidSect="00EB2E5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83333F9" w14:textId="77777777" w:rsidR="00AB1735" w:rsidRDefault="00AB1735" w:rsidP="00EB2E51">
      <w:pPr>
        <w:ind w:left="851"/>
        <w:rPr>
          <w:b/>
          <w:bCs/>
        </w:rPr>
      </w:pPr>
    </w:p>
    <w:p w14:paraId="1ED2FEB4" w14:textId="4159AF6B" w:rsidR="003A016D" w:rsidRPr="001A3878" w:rsidRDefault="00DF6DE8" w:rsidP="00491EF4">
      <w:pPr>
        <w:pStyle w:val="Heading1"/>
      </w:pPr>
      <w:bookmarkStart w:id="7" w:name="_Toc109034775"/>
      <w:r w:rsidRPr="006D063C">
        <w:t xml:space="preserve">Table </w:t>
      </w:r>
      <w:r w:rsidR="00254B8F" w:rsidRPr="006D063C">
        <w:t>S</w:t>
      </w:r>
      <w:r w:rsidR="00507C2D">
        <w:t>3</w:t>
      </w:r>
      <w:r w:rsidRPr="00491EF4">
        <w:t xml:space="preserve">. </w:t>
      </w:r>
      <w:r w:rsidR="00EC1AEA" w:rsidRPr="00491EF4">
        <w:t>Free-form concerns/comments</w:t>
      </w:r>
      <w:bookmarkEnd w:id="7"/>
    </w:p>
    <w:tbl>
      <w:tblPr>
        <w:tblStyle w:val="TableGrid"/>
        <w:tblW w:w="15882" w:type="dxa"/>
        <w:tblInd w:w="-289" w:type="dxa"/>
        <w:tblLook w:val="04A0" w:firstRow="1" w:lastRow="0" w:firstColumn="1" w:lastColumn="0" w:noHBand="0" w:noVBand="1"/>
      </w:tblPr>
      <w:tblGrid>
        <w:gridCol w:w="3021"/>
        <w:gridCol w:w="2119"/>
        <w:gridCol w:w="4690"/>
        <w:gridCol w:w="3329"/>
        <w:gridCol w:w="2723"/>
      </w:tblGrid>
      <w:tr w:rsidR="00EC1AEA" w14:paraId="6DB6BE29" w14:textId="77777777" w:rsidTr="00EB2E51">
        <w:trPr>
          <w:trHeight w:val="2045"/>
        </w:trPr>
        <w:tc>
          <w:tcPr>
            <w:tcW w:w="3021" w:type="dxa"/>
          </w:tcPr>
          <w:p w14:paraId="5FE0D21B" w14:textId="41FE0521" w:rsidR="00EC1AEA" w:rsidRPr="00EB2748" w:rsidRDefault="00EC1AEA" w:rsidP="00B11153">
            <w:pPr>
              <w:ind w:left="38" w:hanging="38"/>
              <w:rPr>
                <w:color w:val="2E74B5" w:themeColor="accent5" w:themeShade="BF"/>
              </w:rPr>
            </w:pPr>
            <w:r w:rsidRPr="007446E9">
              <w:rPr>
                <w:color w:val="0070C0"/>
              </w:rPr>
              <w:t xml:space="preserve">I don't like the idea of the time delay between collecting the saliva and getting the result.  I would be far more in </w:t>
            </w:r>
            <w:proofErr w:type="spellStart"/>
            <w:r w:rsidRPr="007446E9">
              <w:rPr>
                <w:color w:val="0070C0"/>
              </w:rPr>
              <w:t>favor</w:t>
            </w:r>
            <w:proofErr w:type="spellEnd"/>
            <w:r w:rsidRPr="007446E9">
              <w:rPr>
                <w:color w:val="0070C0"/>
              </w:rPr>
              <w:t xml:space="preserve"> of a home-based blood POC test, </w:t>
            </w:r>
            <w:proofErr w:type="gramStart"/>
            <w:r w:rsidRPr="007446E9">
              <w:rPr>
                <w:color w:val="0070C0"/>
              </w:rPr>
              <w:t>similar to</w:t>
            </w:r>
            <w:proofErr w:type="gramEnd"/>
            <w:r w:rsidRPr="007446E9">
              <w:rPr>
                <w:color w:val="0070C0"/>
              </w:rPr>
              <w:t xml:space="preserve"> a finger stick.  For saliva-based, would still prefer they go to an office or lab.</w:t>
            </w:r>
          </w:p>
        </w:tc>
        <w:tc>
          <w:tcPr>
            <w:tcW w:w="2119" w:type="dxa"/>
          </w:tcPr>
          <w:p w14:paraId="67905C7D" w14:textId="74B93B08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This is brilliant! Please make it happen</w:t>
            </w:r>
          </w:p>
          <w:p w14:paraId="4EE92ED3" w14:textId="77777777" w:rsidR="00EC1AEA" w:rsidRDefault="00EC1AEA"/>
        </w:tc>
        <w:tc>
          <w:tcPr>
            <w:tcW w:w="4690" w:type="dxa"/>
          </w:tcPr>
          <w:p w14:paraId="509DEBB1" w14:textId="7138BDC8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only do tele psych, I don't see any questions here that seem to enfold that possibility.</w:t>
            </w:r>
          </w:p>
          <w:p w14:paraId="62B62666" w14:textId="77777777" w:rsidR="00EC1AEA" w:rsidRDefault="00EC1AEA"/>
        </w:tc>
        <w:tc>
          <w:tcPr>
            <w:tcW w:w="3329" w:type="dxa"/>
          </w:tcPr>
          <w:p w14:paraId="1DD64B52" w14:textId="77777777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clinical picture/symptoms are more important than blood levels, overreliance/overuse of labs/blood levels is a risk.   </w:t>
            </w:r>
          </w:p>
          <w:p w14:paraId="00EBF76B" w14:textId="77777777" w:rsidR="00EC1AEA" w:rsidRDefault="00EC1AEA"/>
        </w:tc>
        <w:tc>
          <w:tcPr>
            <w:tcW w:w="2723" w:type="dxa"/>
          </w:tcPr>
          <w:p w14:paraId="25D36331" w14:textId="414B3D45" w:rsidR="00EC1AEA" w:rsidRPr="007446E9" w:rsidRDefault="00EC1AEA" w:rsidP="00EC1AEA">
            <w:pPr>
              <w:rPr>
                <w:rFonts w:ascii="Calibri" w:hAnsi="Calibri" w:cs="Calibri"/>
                <w:color w:val="0070C0"/>
              </w:rPr>
            </w:pPr>
            <w:r w:rsidRPr="007446E9">
              <w:rPr>
                <w:rFonts w:ascii="Calibri" w:hAnsi="Calibri" w:cs="Calibri"/>
                <w:color w:val="0070C0"/>
              </w:rPr>
              <w:t>Would the important 12-hour interval apply to Li concentration in saliva also?  I have pts who rarely get it right and need do-overs.</w:t>
            </w:r>
          </w:p>
          <w:p w14:paraId="777F679C" w14:textId="77777777" w:rsidR="00EC1AEA" w:rsidRDefault="00EC1AEA"/>
        </w:tc>
      </w:tr>
      <w:tr w:rsidR="003A016D" w14:paraId="6C02ABD0" w14:textId="77777777" w:rsidTr="00EB2E51">
        <w:trPr>
          <w:trHeight w:val="2239"/>
        </w:trPr>
        <w:tc>
          <w:tcPr>
            <w:tcW w:w="3021" w:type="dxa"/>
            <w:shd w:val="clear" w:color="auto" w:fill="auto"/>
          </w:tcPr>
          <w:p w14:paraId="06AD277E" w14:textId="5D5404A7" w:rsidR="00EC1AEA" w:rsidRDefault="00B11153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B050"/>
              </w:rPr>
              <w:t>I</w:t>
            </w:r>
            <w:r w:rsidR="00EC1AEA" w:rsidRPr="00B11153">
              <w:rPr>
                <w:rFonts w:ascii="Calibri" w:hAnsi="Calibri" w:cs="Calibri"/>
                <w:color w:val="00B050"/>
              </w:rPr>
              <w:t>nsurance coverage</w:t>
            </w:r>
          </w:p>
          <w:p w14:paraId="16AA2541" w14:textId="30D6A824" w:rsidR="00EC1AEA" w:rsidRDefault="00EC1AEA"/>
        </w:tc>
        <w:tc>
          <w:tcPr>
            <w:tcW w:w="2119" w:type="dxa"/>
            <w:shd w:val="clear" w:color="auto" w:fill="auto"/>
          </w:tcPr>
          <w:p w14:paraId="6A2B6F0B" w14:textId="1E7B71F6" w:rsidR="00EC1AEA" w:rsidRPr="007446E9" w:rsidRDefault="00EC1AEA" w:rsidP="00EC1AEA">
            <w:pPr>
              <w:rPr>
                <w:rFonts w:ascii="Calibri" w:hAnsi="Calibri" w:cs="Calibri"/>
                <w:color w:val="0070C0"/>
              </w:rPr>
            </w:pPr>
            <w:r w:rsidRPr="007446E9">
              <w:rPr>
                <w:rFonts w:ascii="Calibri" w:hAnsi="Calibri" w:cs="Calibri"/>
                <w:color w:val="0070C0"/>
              </w:rPr>
              <w:t>I am familiar with previous work that indicated low level of accuracy for saliva.  This would be a hard sell.  You would need to provide data to overcome years of research.</w:t>
            </w:r>
          </w:p>
          <w:p w14:paraId="1863F9EB" w14:textId="77777777" w:rsidR="00EC1AEA" w:rsidRPr="00B11153" w:rsidRDefault="00EC1AEA">
            <w:pPr>
              <w:rPr>
                <w:color w:val="2E74B5" w:themeColor="accent5" w:themeShade="BF"/>
              </w:rPr>
            </w:pPr>
          </w:p>
        </w:tc>
        <w:tc>
          <w:tcPr>
            <w:tcW w:w="4690" w:type="dxa"/>
          </w:tcPr>
          <w:p w14:paraId="0F06334A" w14:textId="36EEE599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main problem with low Lithium prescription numbers is the </w:t>
            </w:r>
            <w:proofErr w:type="gramStart"/>
            <w:r>
              <w:rPr>
                <w:rFonts w:ascii="Calibri" w:hAnsi="Calibri" w:cs="Calibri"/>
                <w:color w:val="000000"/>
              </w:rPr>
              <w:t>stigma  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wrong information out there in the community. Many </w:t>
            </w:r>
            <w:proofErr w:type="gramStart"/>
            <w:r>
              <w:rPr>
                <w:rFonts w:ascii="Calibri" w:hAnsi="Calibri" w:cs="Calibri"/>
                <w:color w:val="000000"/>
              </w:rPr>
              <w:t>recoil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at the thought of being offered or taking Lithium. Even health care practitioners discourage patients from taking lithium. </w:t>
            </w:r>
          </w:p>
          <w:p w14:paraId="4E7774E7" w14:textId="60C68C17" w:rsidR="00EC1AEA" w:rsidRDefault="00EC1AEA"/>
        </w:tc>
        <w:tc>
          <w:tcPr>
            <w:tcW w:w="3329" w:type="dxa"/>
          </w:tcPr>
          <w:p w14:paraId="73244224" w14:textId="06F51415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 w:rsidRPr="00B11153">
              <w:rPr>
                <w:rFonts w:ascii="Calibri" w:hAnsi="Calibri" w:cs="Calibri"/>
                <w:color w:val="00B050"/>
              </w:rPr>
              <w:t xml:space="preserve">Yes. The cost of a machine for the clinic and the need for OSHA guideline compliance and fear of fines for violating guidelines. </w:t>
            </w:r>
            <w:r w:rsidRPr="007446E9">
              <w:rPr>
                <w:rFonts w:ascii="Calibri" w:hAnsi="Calibri" w:cs="Calibri"/>
                <w:color w:val="0070C0"/>
              </w:rPr>
              <w:t>And how accurate saliva levels are compared to serum levels.</w:t>
            </w:r>
          </w:p>
          <w:p w14:paraId="57CC952A" w14:textId="77777777" w:rsidR="00EC1AEA" w:rsidRPr="003A016D" w:rsidRDefault="00EC1AEA">
            <w:pPr>
              <w:rPr>
                <w14:textFill>
                  <w14:gradFill>
                    <w14:gsLst>
                      <w14:gs w14:pos="0">
                        <w14:schemeClr w14:val="accent5">
                          <w14:lumMod w14:val="7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723" w:type="dxa"/>
          </w:tcPr>
          <w:p w14:paraId="73DBCF8B" w14:textId="77777777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Thanks for the effort to </w:t>
            </w:r>
            <w:proofErr w:type="gramStart"/>
            <w:r>
              <w:rPr>
                <w:rFonts w:ascii="Calibri" w:hAnsi="Calibri" w:cs="Calibri"/>
                <w:color w:val="000000"/>
              </w:rPr>
              <w:t>make  follow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up less traumatic.</w:t>
            </w:r>
          </w:p>
          <w:p w14:paraId="5E833E87" w14:textId="77777777" w:rsidR="00EC1AEA" w:rsidRDefault="00EC1AEA"/>
        </w:tc>
      </w:tr>
      <w:tr w:rsidR="003A016D" w14:paraId="0DA76B3A" w14:textId="77777777" w:rsidTr="00EB2E51">
        <w:trPr>
          <w:trHeight w:val="1633"/>
        </w:trPr>
        <w:tc>
          <w:tcPr>
            <w:tcW w:w="3021" w:type="dxa"/>
            <w:shd w:val="clear" w:color="auto" w:fill="auto"/>
          </w:tcPr>
          <w:p w14:paraId="10CC9EB6" w14:textId="01405FBF" w:rsidR="00EC1AEA" w:rsidRPr="00B11153" w:rsidRDefault="00EC1AEA" w:rsidP="00EC1AEA">
            <w:pPr>
              <w:rPr>
                <w:rFonts w:ascii="Calibri" w:hAnsi="Calibri" w:cs="Calibri"/>
                <w:color w:val="00B050"/>
              </w:rPr>
            </w:pPr>
            <w:r w:rsidRPr="00B11153">
              <w:rPr>
                <w:rFonts w:ascii="Calibri" w:hAnsi="Calibri" w:cs="Calibri"/>
                <w:color w:val="00B050"/>
              </w:rPr>
              <w:t xml:space="preserve">For me it all depends on the cost </w:t>
            </w:r>
            <w:proofErr w:type="gramStart"/>
            <w:r w:rsidRPr="00B11153">
              <w:rPr>
                <w:rFonts w:ascii="Calibri" w:hAnsi="Calibri" w:cs="Calibri"/>
                <w:color w:val="00B050"/>
              </w:rPr>
              <w:t>(!)  I</w:t>
            </w:r>
            <w:proofErr w:type="gramEnd"/>
            <w:r w:rsidRPr="00B11153">
              <w:rPr>
                <w:rFonts w:ascii="Calibri" w:hAnsi="Calibri" w:cs="Calibri"/>
                <w:color w:val="00B050"/>
              </w:rPr>
              <w:t xml:space="preserve"> will use the cheapest method of drug and testing.</w:t>
            </w:r>
          </w:p>
          <w:p w14:paraId="3D86448C" w14:textId="6A14C228" w:rsidR="00EC1AEA" w:rsidRDefault="00EC1AEA"/>
        </w:tc>
        <w:tc>
          <w:tcPr>
            <w:tcW w:w="2119" w:type="dxa"/>
            <w:shd w:val="clear" w:color="auto" w:fill="auto"/>
          </w:tcPr>
          <w:p w14:paraId="6B2E95E9" w14:textId="00E31445" w:rsidR="00EC1AEA" w:rsidRPr="00B11153" w:rsidRDefault="00EC1AEA" w:rsidP="00EC1AEA">
            <w:pPr>
              <w:rPr>
                <w:rFonts w:ascii="Calibri" w:hAnsi="Calibri" w:cs="Calibri"/>
                <w:color w:val="C45911" w:themeColor="accent2" w:themeShade="BF"/>
              </w:rPr>
            </w:pPr>
            <w:r w:rsidRPr="00B11153">
              <w:rPr>
                <w:rFonts w:ascii="Calibri" w:hAnsi="Calibri" w:cs="Calibri"/>
                <w:color w:val="C45911" w:themeColor="accent2" w:themeShade="BF"/>
              </w:rPr>
              <w:t xml:space="preserve">sounds great for higher functioning patients </w:t>
            </w:r>
          </w:p>
          <w:p w14:paraId="63007D9B" w14:textId="77777777" w:rsidR="00EC1AEA" w:rsidRDefault="00EC1AEA"/>
        </w:tc>
        <w:tc>
          <w:tcPr>
            <w:tcW w:w="4690" w:type="dxa"/>
          </w:tcPr>
          <w:p w14:paraId="00EE9BE0" w14:textId="27DCD427" w:rsidR="00EC1AEA" w:rsidRPr="007446E9" w:rsidRDefault="00EC1AEA" w:rsidP="00EC1AEA">
            <w:pPr>
              <w:rPr>
                <w:rFonts w:ascii="Calibri" w:hAnsi="Calibri" w:cs="Calibri"/>
                <w:color w:val="0070C0"/>
              </w:rPr>
            </w:pPr>
            <w:r w:rsidRPr="007446E9">
              <w:rPr>
                <w:rFonts w:ascii="Calibri" w:hAnsi="Calibri" w:cs="Calibri"/>
                <w:color w:val="0070C0"/>
              </w:rPr>
              <w:t>My concern with a POC lithium saliva assay is merely with ensuring that it has adequate clinical validity comparable to serum lithium levels. One of the current drawbacks I experience which your survey doesn't ask, is the time lag of receiving a serum lithium result.</w:t>
            </w:r>
          </w:p>
          <w:p w14:paraId="24DF9FD7" w14:textId="77777777" w:rsidR="00EC1AEA" w:rsidRDefault="00EC1AEA"/>
        </w:tc>
        <w:tc>
          <w:tcPr>
            <w:tcW w:w="3329" w:type="dxa"/>
          </w:tcPr>
          <w:p w14:paraId="60F0CC56" w14:textId="1776CA7F" w:rsidR="00EC1AEA" w:rsidRPr="00B11153" w:rsidRDefault="00EC1AEA" w:rsidP="00EC1AEA">
            <w:pPr>
              <w:rPr>
                <w:rFonts w:ascii="Calibri" w:hAnsi="Calibri" w:cs="Calibri"/>
                <w:color w:val="ED7D31" w:themeColor="accent2"/>
              </w:rPr>
            </w:pPr>
            <w:proofErr w:type="gramStart"/>
            <w:r w:rsidRPr="00B11153">
              <w:rPr>
                <w:rFonts w:ascii="Calibri" w:hAnsi="Calibri" w:cs="Calibri"/>
                <w:color w:val="ED7D31" w:themeColor="accent2"/>
              </w:rPr>
              <w:t>Hi</w:t>
            </w:r>
            <w:proofErr w:type="gramEnd"/>
            <w:r w:rsidRPr="00B11153">
              <w:rPr>
                <w:rFonts w:ascii="Calibri" w:hAnsi="Calibri" w:cs="Calibri"/>
                <w:color w:val="ED7D31" w:themeColor="accent2"/>
              </w:rPr>
              <w:t xml:space="preserve"> have fairly high functioning patient population for whom adherence is usually not a problem. This would be a convenience for them but would still need blood draw for TSH BUN CR</w:t>
            </w:r>
          </w:p>
          <w:p w14:paraId="3203D09A" w14:textId="77777777" w:rsidR="00EC1AEA" w:rsidRDefault="00EC1AEA"/>
        </w:tc>
        <w:tc>
          <w:tcPr>
            <w:tcW w:w="2723" w:type="dxa"/>
          </w:tcPr>
          <w:p w14:paraId="06889034" w14:textId="77777777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would prefer to obtain saliva samples in person / at clinic encounter (rather than at home submission)</w:t>
            </w:r>
          </w:p>
          <w:p w14:paraId="57666116" w14:textId="77777777" w:rsidR="00EC1AEA" w:rsidRDefault="00EC1AEA"/>
        </w:tc>
      </w:tr>
      <w:tr w:rsidR="00EC1AEA" w14:paraId="7282208C" w14:textId="77777777" w:rsidTr="00EB2E51">
        <w:trPr>
          <w:trHeight w:val="3678"/>
        </w:trPr>
        <w:tc>
          <w:tcPr>
            <w:tcW w:w="3021" w:type="dxa"/>
          </w:tcPr>
          <w:p w14:paraId="04B5E678" w14:textId="77777777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For me this was a gold standard at a time labs were better integrated into clinical care. Today, getting labs is a haphazard event in a highly fragmented healthcare system. Some patients have not had the resources, time, or patience to get labs done in a timely manner - if at all.</w:t>
            </w:r>
          </w:p>
          <w:p w14:paraId="6AC94890" w14:textId="77777777" w:rsidR="00EC1AEA" w:rsidRDefault="00EC1AEA"/>
        </w:tc>
        <w:tc>
          <w:tcPr>
            <w:tcW w:w="2119" w:type="dxa"/>
          </w:tcPr>
          <w:p w14:paraId="647057D7" w14:textId="77777777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 feel lithium can be an effective medication but don't have much experience prescribing it as I work with the military population </w:t>
            </w:r>
          </w:p>
          <w:p w14:paraId="46F1BADE" w14:textId="61B700DF" w:rsidR="00EC1AEA" w:rsidRDefault="00EC1AEA"/>
        </w:tc>
        <w:tc>
          <w:tcPr>
            <w:tcW w:w="4690" w:type="dxa"/>
          </w:tcPr>
          <w:p w14:paraId="090CA673" w14:textId="77777777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 that I staff PGY3-4 residents in a state university hospital clinic.  I do not set fees, nor participate in decisions about new testing protocols or methods.</w:t>
            </w:r>
          </w:p>
          <w:p w14:paraId="429AA88C" w14:textId="77777777" w:rsidR="00EC1AEA" w:rsidRDefault="00EC1AEA"/>
        </w:tc>
        <w:tc>
          <w:tcPr>
            <w:tcW w:w="3329" w:type="dxa"/>
          </w:tcPr>
          <w:p w14:paraId="6DFA05F6" w14:textId="77777777" w:rsidR="00EC1AEA" w:rsidRDefault="00EC1AEA" w:rsidP="00EC1A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Lithium is highly effective for bipolar d/o and as an augmentation strategy for depression, but it is vastly </w:t>
            </w:r>
            <w:proofErr w:type="spellStart"/>
            <w:r>
              <w:rPr>
                <w:rFonts w:ascii="Calibri" w:hAnsi="Calibri" w:cs="Calibri"/>
                <w:color w:val="000000"/>
              </w:rPr>
              <w:t>underprescribed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because for the past 30 </w:t>
            </w:r>
            <w:proofErr w:type="spellStart"/>
            <w:r>
              <w:rPr>
                <w:rFonts w:ascii="Calibri" w:hAnsi="Calibri" w:cs="Calibri"/>
                <w:color w:val="000000"/>
              </w:rPr>
              <w:t>yrs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 drug companies have claimed that atypical antipsychotics were better and safer; this however is not correct.  The psychiatric community was sold (and bought) a bill of goods about the dangers of lithium and the desirability of </w:t>
            </w:r>
            <w:proofErr w:type="spellStart"/>
            <w:r>
              <w:rPr>
                <w:rFonts w:ascii="Calibri" w:hAnsi="Calibri" w:cs="Calibri"/>
                <w:color w:val="000000"/>
              </w:rPr>
              <w:t>atypicals</w:t>
            </w:r>
            <w:proofErr w:type="spellEnd"/>
            <w:r>
              <w:rPr>
                <w:rFonts w:ascii="Calibri" w:hAnsi="Calibri" w:cs="Calibri"/>
                <w:color w:val="000000"/>
              </w:rPr>
              <w:t>, which themselves have many undesirable side effects in mood disorder patients.</w:t>
            </w:r>
          </w:p>
          <w:p w14:paraId="4240CACA" w14:textId="77777777" w:rsidR="00EC1AEA" w:rsidRDefault="00EC1AEA"/>
        </w:tc>
        <w:tc>
          <w:tcPr>
            <w:tcW w:w="2723" w:type="dxa"/>
          </w:tcPr>
          <w:p w14:paraId="5D71E886" w14:textId="0670346C" w:rsidR="00EC1AEA" w:rsidRPr="007446E9" w:rsidRDefault="00EC1AEA" w:rsidP="00EC1AEA">
            <w:pPr>
              <w:rPr>
                <w:rFonts w:ascii="Calibri" w:hAnsi="Calibri" w:cs="Calibri"/>
                <w:color w:val="0070C0"/>
              </w:rPr>
            </w:pPr>
            <w:r w:rsidRPr="007446E9">
              <w:rPr>
                <w:rFonts w:ascii="Calibri" w:hAnsi="Calibri" w:cs="Calibri"/>
                <w:color w:val="0070C0"/>
              </w:rPr>
              <w:t>I have used lithium a lot in the past but currently don't have bipolar patients. I only use it in patients who I expect to have good adherence. Most of those patients would do well with at home monitoring if it was properly structured.</w:t>
            </w:r>
          </w:p>
          <w:p w14:paraId="4AB08F9C" w14:textId="77777777" w:rsidR="00EC1AEA" w:rsidRDefault="00EC1AEA"/>
        </w:tc>
      </w:tr>
    </w:tbl>
    <w:p w14:paraId="68DFF71D" w14:textId="5DD22886" w:rsidR="00DF6DE8" w:rsidRDefault="00DF6DE8" w:rsidP="00064FAC">
      <w:pPr>
        <w:tabs>
          <w:tab w:val="left" w:pos="567"/>
        </w:tabs>
        <w:ind w:left="-142"/>
      </w:pPr>
      <w:r>
        <w:t>Comments regarding the restriction to high-functioning patients are in orange, comments regarding the validity of the test are in blue, comments regarding the cost are in green.</w:t>
      </w:r>
    </w:p>
    <w:p w14:paraId="2621D799" w14:textId="62698128" w:rsidR="00CE5E9D" w:rsidRDefault="00CE5E9D" w:rsidP="00DF6DE8"/>
    <w:sectPr w:rsidR="00CE5E9D" w:rsidSect="00EB2E5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6EF4" w14:textId="77777777" w:rsidR="00315CE1" w:rsidRDefault="00315CE1" w:rsidP="00A15294">
      <w:pPr>
        <w:spacing w:after="0" w:line="240" w:lineRule="auto"/>
      </w:pPr>
      <w:r>
        <w:separator/>
      </w:r>
    </w:p>
  </w:endnote>
  <w:endnote w:type="continuationSeparator" w:id="0">
    <w:p w14:paraId="317BE130" w14:textId="77777777" w:rsidR="00315CE1" w:rsidRDefault="00315CE1" w:rsidP="00A1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7430" w14:textId="77777777" w:rsidR="00695E17" w:rsidRDefault="00695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B0C5" w14:textId="2487909D" w:rsidR="00A15294" w:rsidRDefault="00695E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C3973F" wp14:editId="7471D68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2" name="MSIPCMfc35419089f05a60a2e17ae1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621D60" w14:textId="0D9689BE" w:rsidR="00695E17" w:rsidRPr="00695E17" w:rsidRDefault="00695E17" w:rsidP="00695E1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95E1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3973F" id="_x0000_t202" coordsize="21600,21600" o:spt="202" path="m,l,21600r21600,l21600,xe">
              <v:stroke joinstyle="miter"/>
              <v:path gradientshapeok="t" o:connecttype="rect"/>
            </v:shapetype>
            <v:shape id="MSIPCMfc35419089f05a60a2e17ae1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textbox inset="20pt,0,,0">
                <w:txbxContent>
                  <w:p w14:paraId="5C621D60" w14:textId="0D9689BE" w:rsidR="00695E17" w:rsidRPr="00695E17" w:rsidRDefault="00695E17" w:rsidP="00695E1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95E1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B51D" w14:textId="77777777" w:rsidR="00695E17" w:rsidRDefault="00695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7FFE" w14:textId="77777777" w:rsidR="00315CE1" w:rsidRDefault="00315CE1" w:rsidP="00A15294">
      <w:pPr>
        <w:spacing w:after="0" w:line="240" w:lineRule="auto"/>
      </w:pPr>
      <w:r>
        <w:separator/>
      </w:r>
    </w:p>
  </w:footnote>
  <w:footnote w:type="continuationSeparator" w:id="0">
    <w:p w14:paraId="08DB1E5A" w14:textId="77777777" w:rsidR="00315CE1" w:rsidRDefault="00315CE1" w:rsidP="00A1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1333" w14:textId="77777777" w:rsidR="00695E17" w:rsidRDefault="00695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E476" w14:textId="77777777" w:rsidR="00695E17" w:rsidRDefault="00695E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4F72" w14:textId="77777777" w:rsidR="00695E17" w:rsidRDefault="00695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EA"/>
    <w:rsid w:val="000362B2"/>
    <w:rsid w:val="00047362"/>
    <w:rsid w:val="00064FAC"/>
    <w:rsid w:val="00080534"/>
    <w:rsid w:val="000B52E1"/>
    <w:rsid w:val="000C7C5A"/>
    <w:rsid w:val="000F7A20"/>
    <w:rsid w:val="001309D8"/>
    <w:rsid w:val="00143CA5"/>
    <w:rsid w:val="00175D5E"/>
    <w:rsid w:val="001A327C"/>
    <w:rsid w:val="001A3878"/>
    <w:rsid w:val="001C0828"/>
    <w:rsid w:val="001C7D69"/>
    <w:rsid w:val="001E1BCC"/>
    <w:rsid w:val="001E32EC"/>
    <w:rsid w:val="00221343"/>
    <w:rsid w:val="00254B8F"/>
    <w:rsid w:val="0027424A"/>
    <w:rsid w:val="002964D0"/>
    <w:rsid w:val="002D145B"/>
    <w:rsid w:val="00311E30"/>
    <w:rsid w:val="00315CE1"/>
    <w:rsid w:val="003A016D"/>
    <w:rsid w:val="003C3E3E"/>
    <w:rsid w:val="003C6CAA"/>
    <w:rsid w:val="003D6D6F"/>
    <w:rsid w:val="003F65A1"/>
    <w:rsid w:val="004539DC"/>
    <w:rsid w:val="00456F93"/>
    <w:rsid w:val="004734E0"/>
    <w:rsid w:val="00481484"/>
    <w:rsid w:val="00491EF4"/>
    <w:rsid w:val="004B4DAE"/>
    <w:rsid w:val="004C3B0B"/>
    <w:rsid w:val="004E4EDA"/>
    <w:rsid w:val="004E579E"/>
    <w:rsid w:val="00507C2D"/>
    <w:rsid w:val="00511720"/>
    <w:rsid w:val="00524AE2"/>
    <w:rsid w:val="00550573"/>
    <w:rsid w:val="00570B37"/>
    <w:rsid w:val="005870EB"/>
    <w:rsid w:val="005A2CDC"/>
    <w:rsid w:val="005C4A0D"/>
    <w:rsid w:val="005F5E51"/>
    <w:rsid w:val="00695E17"/>
    <w:rsid w:val="006A0F91"/>
    <w:rsid w:val="006C2DA3"/>
    <w:rsid w:val="006D063C"/>
    <w:rsid w:val="006D7D41"/>
    <w:rsid w:val="006E5C52"/>
    <w:rsid w:val="00704AB0"/>
    <w:rsid w:val="007446E9"/>
    <w:rsid w:val="00766259"/>
    <w:rsid w:val="007711EC"/>
    <w:rsid w:val="007F6758"/>
    <w:rsid w:val="0083506A"/>
    <w:rsid w:val="00842B1F"/>
    <w:rsid w:val="00864450"/>
    <w:rsid w:val="00884079"/>
    <w:rsid w:val="00947F12"/>
    <w:rsid w:val="00A15294"/>
    <w:rsid w:val="00AB1735"/>
    <w:rsid w:val="00AB526D"/>
    <w:rsid w:val="00AD553F"/>
    <w:rsid w:val="00B11153"/>
    <w:rsid w:val="00B254B2"/>
    <w:rsid w:val="00B25C17"/>
    <w:rsid w:val="00B36549"/>
    <w:rsid w:val="00BE48EC"/>
    <w:rsid w:val="00BF7F74"/>
    <w:rsid w:val="00C71F74"/>
    <w:rsid w:val="00C97C98"/>
    <w:rsid w:val="00CC083F"/>
    <w:rsid w:val="00CD3601"/>
    <w:rsid w:val="00CE5E9D"/>
    <w:rsid w:val="00D25987"/>
    <w:rsid w:val="00D669A4"/>
    <w:rsid w:val="00DB5DC8"/>
    <w:rsid w:val="00DC7A2A"/>
    <w:rsid w:val="00DF6DE8"/>
    <w:rsid w:val="00E24321"/>
    <w:rsid w:val="00E569F1"/>
    <w:rsid w:val="00E805AE"/>
    <w:rsid w:val="00EA32EB"/>
    <w:rsid w:val="00EB2748"/>
    <w:rsid w:val="00EB2E51"/>
    <w:rsid w:val="00EC1AEA"/>
    <w:rsid w:val="00F1197E"/>
    <w:rsid w:val="00F2754D"/>
    <w:rsid w:val="00F31DAC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3DDC1"/>
  <w15:chartTrackingRefBased/>
  <w15:docId w15:val="{0011E33A-3712-402C-A51C-C5BA30A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C52"/>
    <w:pPr>
      <w:outlineLvl w:val="0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5C52"/>
    <w:rPr>
      <w:rFonts w:cstheme="minorHAns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E5C52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E5C5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E5C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294"/>
  </w:style>
  <w:style w:type="paragraph" w:styleId="Footer">
    <w:name w:val="footer"/>
    <w:basedOn w:val="Normal"/>
    <w:link w:val="FooterChar"/>
    <w:uiPriority w:val="99"/>
    <w:unhideWhenUsed/>
    <w:rsid w:val="00A1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294"/>
  </w:style>
  <w:style w:type="character" w:styleId="CommentReference">
    <w:name w:val="annotation reference"/>
    <w:basedOn w:val="DefaultParagraphFont"/>
    <w:uiPriority w:val="99"/>
    <w:semiHidden/>
    <w:unhideWhenUsed/>
    <w:rsid w:val="00695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E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E802-357D-4C18-B59C-97CB0C79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Parkin, Georgia</dc:creator>
  <cp:keywords/>
  <dc:description/>
  <cp:lastModifiedBy>Parkin, Georgia</cp:lastModifiedBy>
  <cp:revision>6</cp:revision>
  <dcterms:created xsi:type="dcterms:W3CDTF">2022-08-02T01:24:00Z</dcterms:created>
  <dcterms:modified xsi:type="dcterms:W3CDTF">2022-08-02T02:17:00Z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2022-08-02T01:24:47Z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a7dfa8c4-628e-4da3-9859-20f5b04d6aaa</vt:lpwstr>
  </property>
  <property fmtid="{D5CDD505-2E9C-101B-9397-08002B2CF9AE}" pid="8" name="MSIP_Label_2bbab825-a111-45e4-86a1-18cee0005896_ContentBits">
    <vt:lpwstr>2</vt:lpwstr>
  </property>
</Properties>
</file>