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1471" w14:textId="77777777" w:rsidR="00780565" w:rsidRPr="004A127F" w:rsidRDefault="004F19C9">
      <w:pPr>
        <w:jc w:val="both"/>
        <w:rPr>
          <w:rFonts w:eastAsia="SimSun"/>
          <w:lang w:eastAsia="zh-CN"/>
        </w:rPr>
      </w:pPr>
      <w:bookmarkStart w:id="0" w:name="OLE_LINK1"/>
      <w:r w:rsidRPr="004A127F">
        <w:rPr>
          <w:rFonts w:eastAsia="SimSun" w:cs="Arial" w:hint="eastAsia"/>
          <w:noProof/>
          <w:szCs w:val="20"/>
          <w:lang w:eastAsia="zh-CN"/>
        </w:rPr>
        <w:drawing>
          <wp:anchor distT="0" distB="0" distL="114300" distR="114300" simplePos="0" relativeHeight="251659264" behindDoc="0" locked="0" layoutInCell="1" allowOverlap="1" wp14:anchorId="443D84E5" wp14:editId="07201C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1495" cy="3390900"/>
            <wp:effectExtent l="0" t="0" r="8255" b="0"/>
            <wp:wrapSquare wrapText="bothSides"/>
            <wp:docPr id="1" name="图片 1" descr="manuscript  [ID 376962]  supplement 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anuscript  [ID 376962]  supplement Fig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127F">
        <w:rPr>
          <w:rFonts w:cs="Arial"/>
          <w:szCs w:val="20"/>
        </w:rPr>
        <w:t>Figure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 w:hint="eastAsia"/>
          <w:szCs w:val="20"/>
          <w:lang w:eastAsia="zh-CN"/>
        </w:rPr>
        <w:t>S</w:t>
      </w:r>
      <w:r w:rsidRPr="004A127F">
        <w:rPr>
          <w:rFonts w:cs="Arial"/>
          <w:szCs w:val="20"/>
          <w:lang w:eastAsia="zh-CN"/>
        </w:rPr>
        <w:t>1</w:t>
      </w:r>
      <w:r w:rsidRPr="004A127F">
        <w:rPr>
          <w:rFonts w:cs="Arial"/>
          <w:szCs w:val="20"/>
        </w:rPr>
        <w:t xml:space="preserve">. </w:t>
      </w:r>
      <w:r w:rsidRPr="004A127F">
        <w:rPr>
          <w:rFonts w:cs="Arial"/>
          <w:szCs w:val="20"/>
        </w:rPr>
        <w:t>Kin</w:t>
      </w:r>
      <w:r w:rsidRPr="004A127F">
        <w:rPr>
          <w:rFonts w:cs="Arial"/>
          <w:szCs w:val="20"/>
        </w:rPr>
        <w:t>etic analysis of IgA</w:t>
      </w:r>
      <w:r w:rsidRPr="004A127F">
        <w:rPr>
          <w:rFonts w:cs="Arial"/>
          <w:szCs w:val="20"/>
          <w:vertAlign w:val="superscript"/>
        </w:rPr>
        <w:t>+</w:t>
      </w:r>
      <w:r w:rsidRPr="004A127F">
        <w:rPr>
          <w:rFonts w:cs="Arial"/>
          <w:szCs w:val="20"/>
        </w:rPr>
        <w:t xml:space="preserve"> ASCs and immunoglobulin in sepsis group. (A) The statistical analysis of ASCs in survived and deceased patients at day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1, 3 and 7 after diagnosis of sepsis. For survived patients n = 28, and for deceased patients n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=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30 at day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1, n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=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18 at day 3 and n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=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1</w:t>
      </w:r>
      <w:r w:rsidRPr="004A127F">
        <w:rPr>
          <w:rFonts w:cs="Arial"/>
          <w:szCs w:val="20"/>
        </w:rPr>
        <w:t>2 at day</w:t>
      </w:r>
      <w:r w:rsidRPr="004A127F">
        <w:rPr>
          <w:rFonts w:cs="Arial"/>
          <w:szCs w:val="20"/>
          <w:lang w:eastAsia="zh-CN"/>
        </w:rPr>
        <w:t xml:space="preserve"> </w:t>
      </w:r>
      <w:r w:rsidRPr="004A127F">
        <w:rPr>
          <w:rFonts w:cs="Arial"/>
          <w:szCs w:val="20"/>
        </w:rPr>
        <w:t>7. (B) The statistical analysis of IgG, IgM, and IgA among different time points. (C) The statistical analysis of IgA</w:t>
      </w:r>
      <w:r w:rsidRPr="004A127F">
        <w:rPr>
          <w:rFonts w:cs="Arial"/>
          <w:szCs w:val="20"/>
          <w:vertAlign w:val="superscript"/>
        </w:rPr>
        <w:t>+</w:t>
      </w:r>
      <w:r w:rsidRPr="004A127F">
        <w:rPr>
          <w:rFonts w:cs="Arial"/>
          <w:szCs w:val="20"/>
        </w:rPr>
        <w:t xml:space="preserve"> %ASCs in survived and deceased patients at different time points.</w:t>
      </w:r>
      <w:r w:rsidRPr="004A127F">
        <w:rPr>
          <w:rFonts w:eastAsia="SimSun" w:cs="Arial" w:hint="eastAsia"/>
          <w:szCs w:val="20"/>
          <w:lang w:eastAsia="zh-CN"/>
        </w:rPr>
        <w:t xml:space="preserve"> </w:t>
      </w:r>
      <w:r w:rsidRPr="004A127F">
        <w:rPr>
          <w:rFonts w:cs="Arial"/>
          <w:color w:val="000000"/>
          <w:szCs w:val="20"/>
        </w:rPr>
        <w:t xml:space="preserve">*, </w:t>
      </w:r>
      <w:r w:rsidRPr="004A127F">
        <w:rPr>
          <w:rFonts w:cs="Arial"/>
          <w:i/>
          <w:iCs/>
          <w:color w:val="000000"/>
          <w:szCs w:val="20"/>
        </w:rPr>
        <w:t>p</w:t>
      </w:r>
      <w:r w:rsidRPr="004A127F">
        <w:rPr>
          <w:rFonts w:cs="Arial"/>
          <w:color w:val="000000"/>
          <w:szCs w:val="20"/>
        </w:rPr>
        <w:t xml:space="preserve"> &lt; 0.0</w:t>
      </w:r>
      <w:r w:rsidRPr="004A127F">
        <w:rPr>
          <w:rFonts w:eastAsia="SimSun" w:cs="Arial" w:hint="eastAsia"/>
          <w:color w:val="000000"/>
          <w:szCs w:val="20"/>
          <w:lang w:eastAsia="zh-CN"/>
        </w:rPr>
        <w:t>5</w:t>
      </w:r>
      <w:r w:rsidRPr="004A127F">
        <w:rPr>
          <w:rFonts w:eastAsia="SimSun" w:cs="Arial"/>
          <w:color w:val="000000"/>
          <w:szCs w:val="20"/>
          <w:lang w:eastAsia="zh-CN"/>
        </w:rPr>
        <w:t xml:space="preserve">; </w:t>
      </w:r>
      <w:r w:rsidRPr="004A127F">
        <w:rPr>
          <w:rFonts w:cs="Arial"/>
          <w:szCs w:val="20"/>
        </w:rPr>
        <w:t xml:space="preserve">**, </w:t>
      </w:r>
      <w:r w:rsidRPr="004A127F">
        <w:rPr>
          <w:rFonts w:cs="Arial"/>
          <w:i/>
          <w:iCs/>
          <w:szCs w:val="20"/>
        </w:rPr>
        <w:t>p</w:t>
      </w:r>
      <w:r w:rsidRPr="004A127F">
        <w:rPr>
          <w:rFonts w:cs="Arial"/>
          <w:szCs w:val="20"/>
        </w:rPr>
        <w:t xml:space="preserve"> &lt; 0.01 by Mann-Whitney test and Wilcoxon matched-pairs signed rank test. Red dots represent survived patients, blue dots represent deceased patients.</w:t>
      </w:r>
      <w:r w:rsidRPr="004A127F">
        <w:rPr>
          <w:rFonts w:eastAsia="SimSun" w:hint="eastAsia"/>
          <w:lang w:eastAsia="zh-CN"/>
        </w:rPr>
        <w:t xml:space="preserve"> </w:t>
      </w:r>
    </w:p>
    <w:p w14:paraId="27042F0F" w14:textId="77777777" w:rsidR="00780565" w:rsidRPr="004A127F" w:rsidRDefault="004F19C9">
      <w:pPr>
        <w:jc w:val="both"/>
        <w:rPr>
          <w:rFonts w:eastAsia="SimSun"/>
          <w:lang w:eastAsia="zh-CN"/>
        </w:rPr>
      </w:pPr>
      <w:r w:rsidRPr="004A127F">
        <w:rPr>
          <w:rFonts w:eastAsia="SimSun" w:hint="eastAsia"/>
          <w:lang w:eastAsia="zh-CN"/>
        </w:rPr>
        <w:t xml:space="preserve"> </w:t>
      </w:r>
    </w:p>
    <w:bookmarkEnd w:id="0"/>
    <w:p w14:paraId="668E1D9A" w14:textId="77777777" w:rsidR="00780565" w:rsidRPr="004A127F" w:rsidRDefault="004F19C9">
      <w:pPr>
        <w:widowControl w:val="0"/>
        <w:spacing w:line="240" w:lineRule="auto"/>
        <w:jc w:val="center"/>
        <w:rPr>
          <w:rFonts w:eastAsia="DengXian" w:cs="Arial"/>
          <w:bCs/>
          <w:color w:val="000000"/>
          <w:szCs w:val="20"/>
          <w:lang w:eastAsia="zh-CN"/>
        </w:rPr>
      </w:pPr>
      <w:r w:rsidRPr="004A127F">
        <w:rPr>
          <w:rFonts w:eastAsia="DengXian" w:cs="Arial"/>
          <w:color w:val="000000"/>
          <w:szCs w:val="20"/>
          <w:lang w:eastAsia="zh-CN"/>
        </w:rPr>
        <w:t xml:space="preserve">Table </w:t>
      </w:r>
      <w:r w:rsidRPr="004A127F">
        <w:rPr>
          <w:rFonts w:eastAsia="DengXian" w:cs="Arial" w:hint="eastAsia"/>
          <w:color w:val="000000"/>
          <w:szCs w:val="20"/>
          <w:lang w:eastAsia="zh-CN"/>
        </w:rPr>
        <w:t>S</w:t>
      </w:r>
      <w:r w:rsidRPr="004A127F">
        <w:rPr>
          <w:rFonts w:eastAsia="DengXian" w:cs="Arial"/>
          <w:color w:val="000000"/>
          <w:szCs w:val="20"/>
          <w:lang w:eastAsia="zh-CN"/>
        </w:rPr>
        <w:t>1</w:t>
      </w:r>
      <w:r w:rsidRPr="004A127F">
        <w:rPr>
          <w:rFonts w:eastAsia="DengXian" w:cs="Arial" w:hint="eastAsia"/>
          <w:color w:val="000000"/>
          <w:szCs w:val="20"/>
          <w:lang w:eastAsia="zh-CN"/>
        </w:rPr>
        <w:t>.</w:t>
      </w:r>
      <w:r w:rsidRPr="004A127F">
        <w:rPr>
          <w:rFonts w:eastAsia="DengXian" w:cs="Arial"/>
          <w:color w:val="000000"/>
          <w:szCs w:val="20"/>
          <w:lang w:eastAsia="zh-CN"/>
        </w:rPr>
        <w:t xml:space="preserve"> </w:t>
      </w:r>
      <w:r w:rsidRPr="004A127F">
        <w:rPr>
          <w:rFonts w:eastAsia="DengXian" w:cs="Arial"/>
          <w:color w:val="000000"/>
          <w:szCs w:val="20"/>
          <w:lang w:eastAsia="zh-CN"/>
        </w:rPr>
        <w:t>Cl</w:t>
      </w:r>
      <w:r w:rsidRPr="004A127F">
        <w:rPr>
          <w:rFonts w:eastAsia="DengXian" w:cs="Arial"/>
          <w:bCs/>
          <w:color w:val="000000"/>
          <w:szCs w:val="20"/>
          <w:lang w:eastAsia="zh-CN"/>
        </w:rPr>
        <w:t>inical data and laboratory data in survivors and non-survivors of sepsis group at day1</w:t>
      </w:r>
    </w:p>
    <w:tbl>
      <w:tblPr>
        <w:tblW w:w="8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2480"/>
        <w:gridCol w:w="2277"/>
        <w:gridCol w:w="985"/>
      </w:tblGrid>
      <w:tr w:rsidR="00780565" w:rsidRPr="004A127F" w14:paraId="1BC87DBE" w14:textId="77777777">
        <w:trPr>
          <w:trHeight w:val="430"/>
        </w:trPr>
        <w:tc>
          <w:tcPr>
            <w:tcW w:w="299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127DE6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Var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iables</w:t>
            </w:r>
          </w:p>
        </w:tc>
        <w:tc>
          <w:tcPr>
            <w:tcW w:w="24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74E267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Survivors</w:t>
            </w:r>
          </w:p>
        </w:tc>
        <w:tc>
          <w:tcPr>
            <w:tcW w:w="227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1E8160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Non-survivors</w:t>
            </w:r>
          </w:p>
        </w:tc>
        <w:tc>
          <w:tcPr>
            <w:tcW w:w="98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5638A9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i/>
                <w:iCs/>
                <w:color w:val="000000"/>
                <w:szCs w:val="20"/>
                <w:lang w:eastAsia="zh-CN"/>
              </w:rPr>
              <w:t>p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 xml:space="preserve"> value</w:t>
            </w:r>
          </w:p>
        </w:tc>
      </w:tr>
      <w:tr w:rsidR="00780565" w:rsidRPr="004A127F" w14:paraId="48F3A4CC" w14:textId="77777777">
        <w:trPr>
          <w:trHeight w:val="417"/>
        </w:trPr>
        <w:tc>
          <w:tcPr>
            <w:tcW w:w="299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CAD66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Cases</w:t>
            </w:r>
          </w:p>
        </w:tc>
        <w:tc>
          <w:tcPr>
            <w:tcW w:w="24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E517EB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28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D36192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30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B52F7A7" w14:textId="77777777" w:rsidR="00780565" w:rsidRPr="004A127F" w:rsidRDefault="00780565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</w:p>
        </w:tc>
      </w:tr>
      <w:tr w:rsidR="00780565" w:rsidRPr="004A127F" w14:paraId="12FACCD5" w14:textId="77777777">
        <w:trPr>
          <w:trHeight w:val="36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60BDD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SimSu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Age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 xml:space="preserve"> 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(year)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01EA62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hr-HR" w:eastAsia="zh-CN"/>
              </w:rPr>
              <w:t>80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 xml:space="preserve"> 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val="hr-HR" w:eastAsia="zh-CN"/>
              </w:rPr>
              <w:t>± 8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89AE48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hr-HR" w:eastAsia="zh-CN"/>
              </w:rPr>
              <w:t>81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 xml:space="preserve"> 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val="hr-HR" w:eastAsia="zh-CN"/>
              </w:rPr>
              <w:t>± 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EFE396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0.436</w:t>
            </w:r>
          </w:p>
        </w:tc>
      </w:tr>
      <w:tr w:rsidR="00780565" w:rsidRPr="004A127F" w14:paraId="0D9FD8E7" w14:textId="77777777">
        <w:trPr>
          <w:trHeight w:val="352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90CAF7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Gender (male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/female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C7396C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SimSu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15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 xml:space="preserve"> / 13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F2E050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SimSu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20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 xml:space="preserve"> / 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94557A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0.308</w:t>
            </w:r>
          </w:p>
        </w:tc>
      </w:tr>
      <w:tr w:rsidR="00780565" w:rsidRPr="004A127F" w14:paraId="0A6396BC" w14:textId="77777777">
        <w:trPr>
          <w:trHeight w:val="352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50D682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PCT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 xml:space="preserve">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4202BB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1.9 (0.7, 7.8)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6FA10A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7.7 (0.9-22.7)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881E60E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nb-NO" w:eastAsia="zh-CN"/>
              </w:rPr>
              <w:t>0.098</w:t>
            </w:r>
          </w:p>
        </w:tc>
      </w:tr>
      <w:tr w:rsidR="00780565" w:rsidRPr="004A127F" w14:paraId="287C6A31" w14:textId="77777777">
        <w:trPr>
          <w:trHeight w:val="352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9A5023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C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RP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 xml:space="preserve"> (mg/L)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011E24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107.3 (70.8-156.1)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EE133B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89.9 (47.4-147.7)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64BB90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0.244</w:t>
            </w:r>
          </w:p>
        </w:tc>
      </w:tr>
      <w:tr w:rsidR="00780565" w:rsidRPr="004A127F" w14:paraId="208B2734" w14:textId="77777777">
        <w:trPr>
          <w:trHeight w:val="352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029C69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 xml:space="preserve">Lactate 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(mmol/L)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375458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is-IS" w:eastAsia="zh-CN"/>
              </w:rPr>
              <w:t>1.3(1.0-2.1)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0AB7289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1.9 (1.2-3.3)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55BEF3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nb-NO" w:eastAsia="zh-CN"/>
              </w:rPr>
              <w:t>0.096</w:t>
            </w:r>
          </w:p>
        </w:tc>
      </w:tr>
      <w:tr w:rsidR="00780565" w:rsidRPr="004A127F" w14:paraId="7CFBD060" w14:textId="77777777">
        <w:trPr>
          <w:trHeight w:val="352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6BAED7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B (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cells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/</w:t>
            </w:r>
            <w:r w:rsidRPr="004A127F">
              <w:rPr>
                <w:rFonts w:eastAsia="Microsoft YaHei" w:cs="Arial"/>
                <w:bCs/>
                <w:color w:val="000000"/>
                <w:szCs w:val="20"/>
                <w:lang w:eastAsia="zh-CN"/>
              </w:rPr>
              <w:t>μ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1F2361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is-IS" w:eastAsia="zh-CN"/>
              </w:rPr>
              <w:t>63.3 (33.5-120.4)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9D1FB2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is-IS" w:eastAsia="zh-CN"/>
              </w:rPr>
              <w:t>40.5 (18.1-83.2)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D5D93D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nb-NO" w:eastAsia="zh-CN"/>
              </w:rPr>
              <w:t>0.105</w:t>
            </w:r>
          </w:p>
        </w:tc>
      </w:tr>
      <w:tr w:rsidR="00780565" w:rsidRPr="004A127F" w14:paraId="08C37690" w14:textId="77777777">
        <w:trPr>
          <w:trHeight w:val="430"/>
        </w:trPr>
        <w:tc>
          <w:tcPr>
            <w:tcW w:w="299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75DD32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lastRenderedPageBreak/>
              <w:t>ASCs (</w:t>
            </w:r>
            <w:r w:rsidRPr="004A127F">
              <w:rPr>
                <w:rFonts w:eastAsia="SimSun" w:cs="Arial"/>
                <w:bCs/>
                <w:color w:val="000000"/>
                <w:szCs w:val="20"/>
                <w:lang w:eastAsia="zh-CN"/>
              </w:rPr>
              <w:t>cells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/</w:t>
            </w:r>
            <w:r w:rsidRPr="004A127F">
              <w:rPr>
                <w:rFonts w:eastAsia="Microsoft YaHei" w:cs="Arial"/>
                <w:bCs/>
                <w:color w:val="000000"/>
                <w:szCs w:val="20"/>
                <w:lang w:eastAsia="zh-CN"/>
              </w:rPr>
              <w:t>μ</w:t>
            </w:r>
            <w:r w:rsidRPr="004A127F">
              <w:rPr>
                <w:rFonts w:eastAsia="DengXian" w:cs="Arial"/>
                <w:bCs/>
                <w:color w:val="000000"/>
                <w:szCs w:val="20"/>
                <w:lang w:eastAsia="zh-CN"/>
              </w:rPr>
              <w:t>L)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BB3BDC7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is-IS" w:eastAsia="zh-CN"/>
              </w:rPr>
              <w:t>4.8 (0.8-12.1)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984435F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is-IS" w:eastAsia="zh-CN"/>
              </w:rPr>
              <w:t>2.7 (0.9-25.7)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1989AC" w14:textId="77777777" w:rsidR="00780565" w:rsidRPr="004A127F" w:rsidRDefault="004F19C9">
            <w:pPr>
              <w:widowControl w:val="0"/>
              <w:spacing w:line="240" w:lineRule="auto"/>
              <w:jc w:val="center"/>
              <w:rPr>
                <w:rFonts w:eastAsia="DengXian" w:cs="Arial"/>
                <w:bCs/>
                <w:color w:val="000000"/>
                <w:szCs w:val="20"/>
                <w:lang w:eastAsia="zh-CN"/>
              </w:rPr>
            </w:pPr>
            <w:r w:rsidRPr="004A127F">
              <w:rPr>
                <w:rFonts w:eastAsia="DengXian" w:cs="Arial"/>
                <w:bCs/>
                <w:color w:val="000000"/>
                <w:szCs w:val="20"/>
                <w:lang w:val="nb-NO" w:eastAsia="zh-CN"/>
              </w:rPr>
              <w:t>0.856</w:t>
            </w:r>
          </w:p>
        </w:tc>
      </w:tr>
    </w:tbl>
    <w:p w14:paraId="4DA81514" w14:textId="77777777" w:rsidR="00780565" w:rsidRDefault="004F19C9">
      <w:pPr>
        <w:widowControl w:val="0"/>
        <w:spacing w:line="240" w:lineRule="auto"/>
      </w:pPr>
      <w:r w:rsidRPr="004A127F">
        <w:rPr>
          <w:rFonts w:eastAsia="DengXian" w:cs="Arial"/>
          <w:color w:val="000000"/>
          <w:szCs w:val="20"/>
          <w:lang w:eastAsia="zh-CN"/>
        </w:rPr>
        <w:t>Abbreviations: </w:t>
      </w:r>
      <w:r w:rsidRPr="004A127F">
        <w:rPr>
          <w:rFonts w:eastAsia="DengXian" w:cs="Arial"/>
          <w:color w:val="000000"/>
          <w:szCs w:val="20"/>
          <w:lang w:eastAsia="zh-CN"/>
        </w:rPr>
        <w:t xml:space="preserve">PCT procalcitonin, CRP C-reactive protein, </w:t>
      </w:r>
      <w:r w:rsidRPr="004A127F">
        <w:rPr>
          <w:rFonts w:eastAsia="DengXian" w:cs="Arial"/>
          <w:szCs w:val="20"/>
          <w:lang w:eastAsia="zh-CN"/>
        </w:rPr>
        <w:t>ASCs</w:t>
      </w:r>
      <w:r w:rsidRPr="004A127F">
        <w:rPr>
          <w:rFonts w:eastAsia="SimSun" w:cs="Arial"/>
          <w:szCs w:val="20"/>
          <w:lang w:eastAsia="zh-CN"/>
        </w:rPr>
        <w:t xml:space="preserve"> </w:t>
      </w:r>
      <w:r w:rsidRPr="004A127F">
        <w:rPr>
          <w:rFonts w:eastAsia="DengXian" w:cs="Arial"/>
          <w:szCs w:val="20"/>
          <w:lang w:eastAsia="zh-CN"/>
        </w:rPr>
        <w:t>antibody-secreting cells</w:t>
      </w:r>
      <w:r w:rsidRPr="004A127F">
        <w:rPr>
          <w:rFonts w:eastAsia="DengXian" w:cs="Arial"/>
          <w:color w:val="000000"/>
          <w:szCs w:val="20"/>
          <w:lang w:eastAsia="zh-CN"/>
        </w:rPr>
        <w:t xml:space="preserve">. Numbers are n (%) </w:t>
      </w:r>
      <w:r w:rsidRPr="004A127F">
        <w:rPr>
          <w:rFonts w:eastAsia="SimSun" w:cs="Arial"/>
          <w:color w:val="000000"/>
          <w:szCs w:val="20"/>
          <w:lang w:eastAsia="zh-CN"/>
        </w:rPr>
        <w:t xml:space="preserve">, </w:t>
      </w:r>
      <w:r w:rsidRPr="004A127F">
        <w:rPr>
          <w:rFonts w:eastAsia="DengXian" w:cs="Arial"/>
          <w:color w:val="000000"/>
          <w:szCs w:val="20"/>
          <w:lang w:eastAsia="zh-CN"/>
        </w:rPr>
        <w:t>means± SEM</w:t>
      </w:r>
      <w:r w:rsidRPr="004A127F">
        <w:rPr>
          <w:rFonts w:eastAsia="SimSun" w:cs="Arial"/>
          <w:color w:val="000000"/>
          <w:szCs w:val="20"/>
          <w:lang w:eastAsia="zh-CN"/>
        </w:rPr>
        <w:t xml:space="preserve">, </w:t>
      </w:r>
      <w:r w:rsidRPr="004A127F">
        <w:rPr>
          <w:rFonts w:eastAsia="DengXian" w:cs="Arial"/>
          <w:color w:val="000000"/>
          <w:szCs w:val="20"/>
          <w:lang w:eastAsia="zh-CN"/>
        </w:rPr>
        <w:t>or median (interquartile range).</w:t>
      </w:r>
    </w:p>
    <w:sectPr w:rsidR="00780565">
      <w:footerReference w:type="even" r:id="rId7"/>
      <w:footerReference w:type="default" r:id="rId8"/>
      <w:footerReference w:type="first" r:id="rId9"/>
      <w:pgSz w:w="12240" w:h="15840"/>
      <w:pgMar w:top="1701" w:right="1701" w:bottom="1701" w:left="1701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AD67" w14:textId="77777777" w:rsidR="004F19C9" w:rsidRDefault="004F19C9">
      <w:pPr>
        <w:spacing w:line="240" w:lineRule="auto"/>
      </w:pPr>
      <w:r>
        <w:separator/>
      </w:r>
    </w:p>
  </w:endnote>
  <w:endnote w:type="continuationSeparator" w:id="0">
    <w:p w14:paraId="38625D6A" w14:textId="77777777" w:rsidR="004F19C9" w:rsidRDefault="004F1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C5CC" w14:textId="77777777" w:rsidR="00780565" w:rsidRDefault="004F19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84258F" w14:textId="77777777" w:rsidR="00780565" w:rsidRDefault="007805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9F48" w14:textId="646793C0" w:rsidR="00780565" w:rsidRDefault="004A127F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9C2442" wp14:editId="411693A5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47624def8ec5f2f4ac56daa0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66AE0" w14:textId="79B2CDCB" w:rsidR="004A127F" w:rsidRPr="004A127F" w:rsidRDefault="004A127F" w:rsidP="004A127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A12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C2442" id="_x0000_t202" coordsize="21600,21600" o:spt="202" path="m,l,21600r21600,l21600,xe">
              <v:stroke joinstyle="miter"/>
              <v:path gradientshapeok="t" o:connecttype="rect"/>
            </v:shapetype>
            <v:shape id="MSIPCM47624def8ec5f2f4ac56daa0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7E166AE0" w14:textId="79B2CDCB" w:rsidR="004A127F" w:rsidRPr="004A127F" w:rsidRDefault="004A127F" w:rsidP="004A127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A12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19C9">
      <w:rPr>
        <w:rStyle w:val="PageNumber"/>
      </w:rPr>
      <w:fldChar w:fldCharType="begin"/>
    </w:r>
    <w:r w:rsidR="004F19C9">
      <w:rPr>
        <w:rStyle w:val="PageNumber"/>
      </w:rPr>
      <w:instrText xml:space="preserve">PAGE  </w:instrText>
    </w:r>
    <w:r w:rsidR="004F19C9">
      <w:rPr>
        <w:rStyle w:val="PageNumber"/>
      </w:rPr>
      <w:fldChar w:fldCharType="separate"/>
    </w:r>
    <w:r w:rsidR="004F19C9">
      <w:rPr>
        <w:rStyle w:val="PageNumber"/>
      </w:rPr>
      <w:t>27</w:t>
    </w:r>
    <w:r w:rsidR="004F19C9">
      <w:rPr>
        <w:rStyle w:val="PageNumber"/>
      </w:rPr>
      <w:fldChar w:fldCharType="end"/>
    </w:r>
  </w:p>
  <w:p w14:paraId="07803C24" w14:textId="77777777" w:rsidR="00780565" w:rsidRDefault="007805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C6D0" w14:textId="7E3CB851" w:rsidR="00780565" w:rsidRDefault="004A12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77EE83" wp14:editId="7BCF5CE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48a34f48aa29c0232c48cd45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5FA22" w14:textId="6195B017" w:rsidR="004A127F" w:rsidRPr="004A127F" w:rsidRDefault="004A127F" w:rsidP="004A127F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A12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7EE83" id="_x0000_t202" coordsize="21600,21600" o:spt="202" path="m,l,21600r21600,l21600,xe">
              <v:stroke joinstyle="miter"/>
              <v:path gradientshapeok="t" o:connecttype="rect"/>
            </v:shapetype>
            <v:shape id="MSIPCM48a34f48aa29c0232c48cd45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27A5FA22" w14:textId="6195B017" w:rsidR="004A127F" w:rsidRPr="004A127F" w:rsidRDefault="004A127F" w:rsidP="004A127F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A12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3125" w14:textId="77777777" w:rsidR="004F19C9" w:rsidRDefault="004F19C9">
      <w:r>
        <w:separator/>
      </w:r>
    </w:p>
  </w:footnote>
  <w:footnote w:type="continuationSeparator" w:id="0">
    <w:p w14:paraId="04B26486" w14:textId="77777777" w:rsidR="004F19C9" w:rsidRDefault="004F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JjNzU2MjYzMmJkYWMzY2MwNGM0YWFkNDI5YWJkZWYifQ=="/>
  </w:docVars>
  <w:rsids>
    <w:rsidRoot w:val="00780565"/>
    <w:rsid w:val="004A127F"/>
    <w:rsid w:val="004F19C9"/>
    <w:rsid w:val="00780565"/>
    <w:rsid w:val="12721D24"/>
    <w:rsid w:val="17365BF7"/>
    <w:rsid w:val="20D56628"/>
    <w:rsid w:val="2EE265D3"/>
    <w:rsid w:val="42E06F7B"/>
    <w:rsid w:val="56E46C1A"/>
    <w:rsid w:val="59433BFC"/>
    <w:rsid w:val="7AF308B1"/>
    <w:rsid w:val="7C5A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C83E70"/>
  <w15:docId w15:val="{FAB18A09-91A5-4965-A439-4EBBEC9A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styleId="PageNumber">
    <w:name w:val="page number"/>
    <w:basedOn w:val="DefaultParagraphFont"/>
    <w:qFormat/>
  </w:style>
  <w:style w:type="character" w:styleId="LineNumber">
    <w:name w:val="line number"/>
    <w:basedOn w:val="DefaultParagraphFont"/>
    <w:rsid w:val="004A1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>Informa plc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Bartle, Claudia</cp:lastModifiedBy>
  <cp:revision>2</cp:revision>
  <dcterms:created xsi:type="dcterms:W3CDTF">2014-10-29T12:08:00Z</dcterms:created>
  <dcterms:modified xsi:type="dcterms:W3CDTF">2022-08-01T22:32:00Z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9F55D865BAD14D74839363E475F11DD6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2022-08-01T22:32:32Z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eee18316-925b-488a-91da-5359d55b352d</vt:lpwstr>
  </property>
  <property fmtid="{D5CDD505-2E9C-101B-9397-08002B2CF9AE}" pid="10" name="MSIP_Label_2bbab825-a111-45e4-86a1-18cee0005896_ContentBits">
    <vt:lpwstr>2</vt:lpwstr>
  </property>
</Properties>
</file>