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391AC" w14:textId="65B211A3" w:rsidR="00311B51" w:rsidRDefault="00311B51" w:rsidP="00DD2832">
      <w:pPr>
        <w:jc w:val="both"/>
        <w:rPr>
          <w:rFonts w:cs="Arial"/>
          <w:b/>
          <w:bCs/>
          <w:szCs w:val="20"/>
        </w:rPr>
      </w:pPr>
      <w:r>
        <w:rPr>
          <w:rFonts w:cs="Arial"/>
          <w:b/>
          <w:bCs/>
          <w:noProof/>
          <w:szCs w:val="20"/>
        </w:rPr>
        <w:drawing>
          <wp:inline distT="0" distB="0" distL="0" distR="0" wp14:anchorId="2372C98C" wp14:editId="17E5CB39">
            <wp:extent cx="5756275" cy="424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56275" cy="4249420"/>
                    </a:xfrm>
                    <a:prstGeom prst="rect">
                      <a:avLst/>
                    </a:prstGeom>
                    <a:noFill/>
                    <a:ln>
                      <a:noFill/>
                    </a:ln>
                  </pic:spPr>
                </pic:pic>
              </a:graphicData>
            </a:graphic>
          </wp:inline>
        </w:drawing>
      </w:r>
    </w:p>
    <w:p w14:paraId="68CEA217" w14:textId="717C88AE" w:rsidR="00DD2832" w:rsidRPr="0035662E" w:rsidRDefault="00DD2832" w:rsidP="00DD2832">
      <w:pPr>
        <w:jc w:val="both"/>
        <w:rPr>
          <w:rFonts w:cs="Arial"/>
          <w:szCs w:val="20"/>
          <w:lang w:val="et-EE"/>
        </w:rPr>
      </w:pPr>
      <w:r w:rsidRPr="008675D9">
        <w:rPr>
          <w:rFonts w:cs="Arial"/>
          <w:b/>
          <w:bCs/>
          <w:szCs w:val="20"/>
        </w:rPr>
        <w:t xml:space="preserve">Supplementary Figure </w:t>
      </w:r>
      <w:r w:rsidR="00B9483C">
        <w:rPr>
          <w:rFonts w:cs="Arial"/>
          <w:b/>
          <w:bCs/>
          <w:szCs w:val="20"/>
        </w:rPr>
        <w:t xml:space="preserve">1. </w:t>
      </w:r>
      <w:r>
        <w:rPr>
          <w:rFonts w:cs="Arial"/>
          <w:szCs w:val="20"/>
        </w:rPr>
        <w:t xml:space="preserve">Inhibition assay of bacterial growth to investigate </w:t>
      </w:r>
      <w:r w:rsidRPr="005717A4">
        <w:rPr>
          <w:rFonts w:cs="Arial"/>
          <w:bCs/>
          <w:szCs w:val="20"/>
        </w:rPr>
        <w:t>antimicrobial activity of COAM.</w:t>
      </w:r>
      <w:r w:rsidRPr="007057C7">
        <w:rPr>
          <w:rFonts w:cs="Arial"/>
          <w:szCs w:val="20"/>
        </w:rPr>
        <w:t xml:space="preserve"> Growth of</w:t>
      </w:r>
      <w:r>
        <w:rPr>
          <w:rFonts w:cs="Arial"/>
          <w:szCs w:val="20"/>
        </w:rPr>
        <w:t xml:space="preserve"> </w:t>
      </w:r>
      <w:r w:rsidRPr="00F22ACC">
        <w:rPr>
          <w:rFonts w:cs="Arial"/>
          <w:b/>
          <w:bCs/>
          <w:szCs w:val="20"/>
        </w:rPr>
        <w:t>(</w:t>
      </w:r>
      <w:r>
        <w:rPr>
          <w:rFonts w:cs="Arial"/>
          <w:b/>
          <w:bCs/>
          <w:szCs w:val="20"/>
        </w:rPr>
        <w:t>A</w:t>
      </w:r>
      <w:r w:rsidRPr="00F22ACC">
        <w:rPr>
          <w:rFonts w:cs="Arial"/>
          <w:b/>
          <w:bCs/>
          <w:szCs w:val="20"/>
        </w:rPr>
        <w:t>)</w:t>
      </w:r>
      <w:r w:rsidRPr="007057C7">
        <w:rPr>
          <w:rFonts w:cs="Arial"/>
          <w:szCs w:val="20"/>
        </w:rPr>
        <w:t xml:space="preserve"> </w:t>
      </w:r>
      <w:r w:rsidRPr="00BC3F04">
        <w:rPr>
          <w:rFonts w:cs="Arial"/>
          <w:i/>
          <w:szCs w:val="20"/>
          <w:lang w:val="et-EE"/>
        </w:rPr>
        <w:t>S</w:t>
      </w:r>
      <w:r>
        <w:rPr>
          <w:rFonts w:cs="Arial"/>
          <w:i/>
          <w:szCs w:val="20"/>
          <w:lang w:val="et-EE"/>
        </w:rPr>
        <w:t>.</w:t>
      </w:r>
      <w:r w:rsidRPr="00BC3F04">
        <w:rPr>
          <w:rFonts w:cs="Arial"/>
          <w:i/>
          <w:szCs w:val="20"/>
          <w:lang w:val="et-EE"/>
        </w:rPr>
        <w:t xml:space="preserve"> aureus</w:t>
      </w:r>
      <w:r w:rsidRPr="00BC3F04">
        <w:rPr>
          <w:rFonts w:cs="Arial"/>
          <w:szCs w:val="20"/>
          <w:lang w:val="et-EE"/>
        </w:rPr>
        <w:t xml:space="preserve"> (ATCC</w:t>
      </w:r>
      <w:r>
        <w:rPr>
          <w:rFonts w:cs="Arial"/>
          <w:szCs w:val="20"/>
          <w:lang w:val="et-EE"/>
        </w:rPr>
        <w:t xml:space="preserve"> </w:t>
      </w:r>
      <w:r w:rsidRPr="00BC3F04">
        <w:rPr>
          <w:rFonts w:cs="Arial"/>
          <w:szCs w:val="20"/>
          <w:lang w:val="et-EE"/>
        </w:rPr>
        <w:t xml:space="preserve">6538), </w:t>
      </w:r>
      <w:r w:rsidRPr="00F22ACC">
        <w:rPr>
          <w:rFonts w:cs="Arial"/>
          <w:b/>
          <w:bCs/>
          <w:szCs w:val="20"/>
          <w:lang w:val="et-EE"/>
        </w:rPr>
        <w:t>(</w:t>
      </w:r>
      <w:r>
        <w:rPr>
          <w:rFonts w:cs="Arial"/>
          <w:b/>
          <w:bCs/>
          <w:szCs w:val="20"/>
          <w:lang w:val="et-EE"/>
        </w:rPr>
        <w:t>B</w:t>
      </w:r>
      <w:r w:rsidRPr="00F22ACC">
        <w:rPr>
          <w:rFonts w:cs="Arial"/>
          <w:b/>
          <w:bCs/>
          <w:szCs w:val="20"/>
          <w:lang w:val="et-EE"/>
        </w:rPr>
        <w:t>)</w:t>
      </w:r>
      <w:r>
        <w:rPr>
          <w:rFonts w:cs="Arial"/>
          <w:szCs w:val="20"/>
          <w:lang w:val="et-EE"/>
        </w:rPr>
        <w:t xml:space="preserve"> </w:t>
      </w:r>
      <w:r w:rsidRPr="00BC3F04">
        <w:rPr>
          <w:rFonts w:cs="Arial"/>
          <w:i/>
          <w:iCs/>
          <w:szCs w:val="20"/>
        </w:rPr>
        <w:t>S</w:t>
      </w:r>
      <w:r>
        <w:rPr>
          <w:rFonts w:cs="Arial"/>
          <w:i/>
          <w:iCs/>
          <w:szCs w:val="20"/>
        </w:rPr>
        <w:t>.</w:t>
      </w:r>
      <w:r w:rsidRPr="00BC3F04">
        <w:rPr>
          <w:rFonts w:cs="Arial"/>
          <w:i/>
          <w:iCs/>
          <w:szCs w:val="20"/>
        </w:rPr>
        <w:t xml:space="preserve"> epidermidis</w:t>
      </w:r>
      <w:r w:rsidRPr="00BC3F04">
        <w:rPr>
          <w:rFonts w:cs="Arial"/>
          <w:szCs w:val="20"/>
        </w:rPr>
        <w:t xml:space="preserve"> (ATCC 12228), </w:t>
      </w:r>
      <w:r w:rsidRPr="00F22ACC">
        <w:rPr>
          <w:rFonts w:cs="Arial"/>
          <w:b/>
          <w:bCs/>
          <w:szCs w:val="20"/>
        </w:rPr>
        <w:t>(</w:t>
      </w:r>
      <w:r>
        <w:rPr>
          <w:rFonts w:cs="Arial"/>
          <w:b/>
          <w:bCs/>
          <w:szCs w:val="20"/>
        </w:rPr>
        <w:t>C</w:t>
      </w:r>
      <w:r w:rsidRPr="00F22ACC">
        <w:rPr>
          <w:rFonts w:cs="Arial"/>
          <w:b/>
          <w:bCs/>
          <w:szCs w:val="20"/>
        </w:rPr>
        <w:t>)</w:t>
      </w:r>
      <w:r>
        <w:rPr>
          <w:rFonts w:cs="Arial"/>
          <w:szCs w:val="20"/>
        </w:rPr>
        <w:t xml:space="preserve"> </w:t>
      </w:r>
      <w:r w:rsidRPr="00BC3F04">
        <w:rPr>
          <w:rFonts w:cs="Arial"/>
          <w:i/>
          <w:szCs w:val="20"/>
          <w:lang w:val="et-EE"/>
        </w:rPr>
        <w:t>B</w:t>
      </w:r>
      <w:r>
        <w:rPr>
          <w:rFonts w:cs="Arial"/>
          <w:i/>
          <w:szCs w:val="20"/>
          <w:lang w:val="et-EE"/>
        </w:rPr>
        <w:t>.</w:t>
      </w:r>
      <w:r w:rsidRPr="00BC3F04">
        <w:rPr>
          <w:rFonts w:cs="Arial"/>
          <w:i/>
          <w:szCs w:val="20"/>
          <w:lang w:val="et-EE"/>
        </w:rPr>
        <w:t xml:space="preserve"> subtilis</w:t>
      </w:r>
      <w:r>
        <w:rPr>
          <w:rFonts w:cs="Arial"/>
          <w:i/>
          <w:szCs w:val="20"/>
          <w:lang w:val="et-EE"/>
        </w:rPr>
        <w:t xml:space="preserve"> </w:t>
      </w:r>
      <w:r>
        <w:rPr>
          <w:rFonts w:cs="Arial"/>
          <w:szCs w:val="20"/>
          <w:lang w:val="et-EE"/>
        </w:rPr>
        <w:t xml:space="preserve">(EEUT VIL), </w:t>
      </w:r>
      <w:r w:rsidRPr="00717871">
        <w:rPr>
          <w:rFonts w:cs="Arial"/>
          <w:b/>
          <w:bCs/>
          <w:szCs w:val="20"/>
          <w:lang w:val="et-EE"/>
        </w:rPr>
        <w:t>(</w:t>
      </w:r>
      <w:r>
        <w:rPr>
          <w:rFonts w:cs="Arial"/>
          <w:b/>
          <w:bCs/>
          <w:szCs w:val="20"/>
          <w:lang w:val="et-EE"/>
        </w:rPr>
        <w:t>D</w:t>
      </w:r>
      <w:r w:rsidRPr="00717871">
        <w:rPr>
          <w:rFonts w:cs="Arial"/>
          <w:b/>
          <w:bCs/>
          <w:szCs w:val="20"/>
          <w:lang w:val="et-EE"/>
        </w:rPr>
        <w:t>)</w:t>
      </w:r>
      <w:r>
        <w:rPr>
          <w:rFonts w:cs="Arial"/>
          <w:szCs w:val="20"/>
          <w:lang w:val="et-EE"/>
        </w:rPr>
        <w:t xml:space="preserve"> </w:t>
      </w:r>
      <w:r w:rsidRPr="00BC3F04">
        <w:rPr>
          <w:rFonts w:cs="Arial"/>
          <w:i/>
          <w:szCs w:val="20"/>
          <w:lang w:val="et-EE"/>
        </w:rPr>
        <w:t>B</w:t>
      </w:r>
      <w:r>
        <w:rPr>
          <w:rFonts w:cs="Arial"/>
          <w:i/>
          <w:szCs w:val="20"/>
          <w:lang w:val="et-EE"/>
        </w:rPr>
        <w:t>.</w:t>
      </w:r>
      <w:r w:rsidRPr="00BC3F04">
        <w:rPr>
          <w:rFonts w:cs="Arial"/>
          <w:i/>
          <w:szCs w:val="20"/>
          <w:lang w:val="et-EE"/>
        </w:rPr>
        <w:t xml:space="preserve"> cereus</w:t>
      </w:r>
      <w:r w:rsidRPr="00BC3F04">
        <w:rPr>
          <w:rFonts w:cs="Arial"/>
          <w:szCs w:val="20"/>
          <w:lang w:val="et-EE"/>
        </w:rPr>
        <w:t xml:space="preserve"> (ATCC</w:t>
      </w:r>
      <w:r>
        <w:rPr>
          <w:rFonts w:cs="Arial"/>
          <w:szCs w:val="20"/>
          <w:lang w:val="et-EE"/>
        </w:rPr>
        <w:t xml:space="preserve"> </w:t>
      </w:r>
      <w:r w:rsidRPr="00BC3F04">
        <w:rPr>
          <w:rFonts w:cs="Arial"/>
          <w:szCs w:val="20"/>
          <w:lang w:val="et-EE"/>
        </w:rPr>
        <w:t>11778),</w:t>
      </w:r>
      <w:r>
        <w:rPr>
          <w:rFonts w:cs="Arial"/>
          <w:szCs w:val="20"/>
          <w:lang w:val="et-EE"/>
        </w:rPr>
        <w:t xml:space="preserve"> </w:t>
      </w:r>
      <w:r w:rsidRPr="00717871">
        <w:rPr>
          <w:rFonts w:cs="Arial"/>
          <w:b/>
          <w:bCs/>
          <w:szCs w:val="20"/>
          <w:lang w:val="et-EE"/>
        </w:rPr>
        <w:t>(</w:t>
      </w:r>
      <w:r>
        <w:rPr>
          <w:rFonts w:cs="Arial"/>
          <w:b/>
          <w:bCs/>
          <w:szCs w:val="20"/>
          <w:lang w:val="et-EE"/>
        </w:rPr>
        <w:t>E</w:t>
      </w:r>
      <w:r w:rsidRPr="00717871">
        <w:rPr>
          <w:rFonts w:cs="Arial"/>
          <w:b/>
          <w:bCs/>
          <w:szCs w:val="20"/>
          <w:lang w:val="et-EE"/>
        </w:rPr>
        <w:t>)</w:t>
      </w:r>
      <w:r>
        <w:rPr>
          <w:rFonts w:cs="Arial"/>
          <w:szCs w:val="20"/>
          <w:lang w:val="et-EE"/>
        </w:rPr>
        <w:t xml:space="preserve"> </w:t>
      </w:r>
      <w:r w:rsidRPr="007C4AF5">
        <w:rPr>
          <w:rFonts w:cs="Arial"/>
          <w:i/>
          <w:szCs w:val="20"/>
          <w:lang w:val="et-EE"/>
        </w:rPr>
        <w:t>P</w:t>
      </w:r>
      <w:r>
        <w:rPr>
          <w:rFonts w:cs="Arial"/>
          <w:i/>
          <w:szCs w:val="20"/>
          <w:lang w:val="et-EE"/>
        </w:rPr>
        <w:t>.</w:t>
      </w:r>
      <w:r w:rsidRPr="007C4AF5">
        <w:rPr>
          <w:rFonts w:cs="Arial"/>
          <w:i/>
          <w:szCs w:val="20"/>
          <w:lang w:val="et-EE"/>
        </w:rPr>
        <w:t xml:space="preserve"> aeruginosa</w:t>
      </w:r>
      <w:r w:rsidRPr="006D0183">
        <w:rPr>
          <w:rFonts w:cs="Arial"/>
          <w:szCs w:val="20"/>
          <w:lang w:val="et-EE"/>
        </w:rPr>
        <w:t xml:space="preserve"> PAO1 (ATCC 15692)</w:t>
      </w:r>
      <w:r>
        <w:rPr>
          <w:rFonts w:cs="Arial"/>
          <w:szCs w:val="20"/>
          <w:lang w:val="et-EE"/>
        </w:rPr>
        <w:t xml:space="preserve"> and </w:t>
      </w:r>
      <w:r w:rsidRPr="00717871">
        <w:rPr>
          <w:rFonts w:cs="Arial"/>
          <w:b/>
          <w:bCs/>
          <w:szCs w:val="20"/>
          <w:lang w:val="et-EE"/>
        </w:rPr>
        <w:t>(</w:t>
      </w:r>
      <w:r>
        <w:rPr>
          <w:rFonts w:cs="Arial"/>
          <w:b/>
          <w:bCs/>
          <w:szCs w:val="20"/>
          <w:lang w:val="et-EE"/>
        </w:rPr>
        <w:t>F</w:t>
      </w:r>
      <w:r w:rsidRPr="00717871">
        <w:rPr>
          <w:rFonts w:cs="Arial"/>
          <w:b/>
          <w:bCs/>
          <w:szCs w:val="20"/>
          <w:lang w:val="et-EE"/>
        </w:rPr>
        <w:t>)</w:t>
      </w:r>
      <w:r>
        <w:rPr>
          <w:rFonts w:cs="Arial"/>
          <w:szCs w:val="20"/>
          <w:lang w:val="et-EE"/>
        </w:rPr>
        <w:t xml:space="preserve"> </w:t>
      </w:r>
      <w:r w:rsidRPr="00BC3F04">
        <w:rPr>
          <w:rFonts w:cs="Arial"/>
          <w:i/>
          <w:szCs w:val="20"/>
          <w:lang w:val="et-EE"/>
        </w:rPr>
        <w:t>E</w:t>
      </w:r>
      <w:r>
        <w:rPr>
          <w:rFonts w:cs="Arial"/>
          <w:i/>
          <w:szCs w:val="20"/>
          <w:lang w:val="et-EE"/>
        </w:rPr>
        <w:t>.</w:t>
      </w:r>
      <w:r w:rsidRPr="00BC3F04">
        <w:rPr>
          <w:rFonts w:cs="Arial"/>
          <w:i/>
          <w:szCs w:val="20"/>
          <w:lang w:val="et-EE"/>
        </w:rPr>
        <w:t xml:space="preserve"> coli</w:t>
      </w:r>
      <w:r>
        <w:rPr>
          <w:rFonts w:cs="Arial"/>
          <w:i/>
          <w:szCs w:val="20"/>
          <w:lang w:val="et-EE"/>
        </w:rPr>
        <w:t xml:space="preserve"> </w:t>
      </w:r>
      <w:r>
        <w:rPr>
          <w:rFonts w:cs="Arial"/>
          <w:szCs w:val="20"/>
          <w:lang w:val="et-EE"/>
        </w:rPr>
        <w:t xml:space="preserve">(EEUT EY) in MH broth. Blue lines represent the bacterial growth in the absence of inhibitor and treament (control), the red lines represent the bacterial growth in the presence of COAM (1000 µg/mL) and the purple lines represent the bacterial growth in the presence of tetracycline (50 µg/mL), used as an antibiotic control. </w:t>
      </w:r>
      <w:r w:rsidRPr="005717A4">
        <w:rPr>
          <w:rFonts w:cs="Arial"/>
          <w:b/>
          <w:bCs/>
          <w:szCs w:val="20"/>
          <w:lang w:val="et-EE"/>
        </w:rPr>
        <w:t>(</w:t>
      </w:r>
      <w:r>
        <w:rPr>
          <w:rFonts w:cs="Arial"/>
          <w:b/>
          <w:bCs/>
          <w:szCs w:val="20"/>
          <w:lang w:val="et-EE"/>
        </w:rPr>
        <w:t>G</w:t>
      </w:r>
      <w:r w:rsidRPr="005717A4">
        <w:rPr>
          <w:rFonts w:cs="Arial"/>
          <w:b/>
          <w:bCs/>
          <w:szCs w:val="20"/>
          <w:lang w:val="et-EE"/>
        </w:rPr>
        <w:t>)</w:t>
      </w:r>
      <w:r>
        <w:rPr>
          <w:rFonts w:cs="Arial"/>
          <w:szCs w:val="20"/>
          <w:lang w:val="et-EE"/>
        </w:rPr>
        <w:t xml:space="preserve"> </w:t>
      </w:r>
      <w:r w:rsidRPr="00FF0E69">
        <w:rPr>
          <w:rFonts w:cs="Arial"/>
          <w:szCs w:val="20"/>
          <w:lang w:val="et-EE"/>
        </w:rPr>
        <w:t xml:space="preserve">Aggregation </w:t>
      </w:r>
      <w:r w:rsidRPr="00717871">
        <w:rPr>
          <w:rFonts w:cs="Arial"/>
          <w:szCs w:val="20"/>
          <w:lang w:val="et-EE"/>
        </w:rPr>
        <w:t xml:space="preserve">of </w:t>
      </w:r>
      <w:r w:rsidRPr="005717A4">
        <w:rPr>
          <w:rFonts w:cs="Arial"/>
          <w:i/>
          <w:iCs/>
          <w:szCs w:val="20"/>
          <w:lang w:val="et-EE"/>
        </w:rPr>
        <w:t>B. cereus</w:t>
      </w:r>
      <w:r w:rsidRPr="00717871">
        <w:rPr>
          <w:rFonts w:cs="Arial"/>
          <w:szCs w:val="20"/>
          <w:lang w:val="et-EE"/>
        </w:rPr>
        <w:t xml:space="preserve"> and </w:t>
      </w:r>
      <w:r w:rsidRPr="005717A4">
        <w:rPr>
          <w:rFonts w:cs="Arial"/>
          <w:i/>
          <w:iCs/>
          <w:szCs w:val="20"/>
          <w:lang w:val="et-EE"/>
        </w:rPr>
        <w:t>B. subtilis</w:t>
      </w:r>
      <w:r w:rsidRPr="00717871">
        <w:rPr>
          <w:rFonts w:cs="Arial"/>
          <w:szCs w:val="20"/>
          <w:lang w:val="et-EE"/>
        </w:rPr>
        <w:t xml:space="preserve"> cells after 24 h of incubation with different concentrations of COAM.   </w:t>
      </w:r>
    </w:p>
    <w:p w14:paraId="00A7F5EE" w14:textId="77777777" w:rsidR="00311B51" w:rsidRDefault="00311B51" w:rsidP="00DD2832">
      <w:pPr>
        <w:jc w:val="both"/>
        <w:rPr>
          <w:rFonts w:cs="Arial"/>
          <w:b/>
          <w:szCs w:val="20"/>
        </w:rPr>
      </w:pPr>
    </w:p>
    <w:p w14:paraId="7A6D568B" w14:textId="77777777" w:rsidR="00311B51" w:rsidRDefault="00311B51" w:rsidP="00DD2832">
      <w:pPr>
        <w:jc w:val="both"/>
        <w:rPr>
          <w:rFonts w:cs="Arial"/>
          <w:b/>
          <w:szCs w:val="20"/>
        </w:rPr>
      </w:pPr>
    </w:p>
    <w:p w14:paraId="7EC748C4" w14:textId="77777777" w:rsidR="00311B51" w:rsidRDefault="00311B51" w:rsidP="00DD2832">
      <w:pPr>
        <w:jc w:val="both"/>
        <w:rPr>
          <w:rFonts w:cs="Arial"/>
          <w:b/>
          <w:szCs w:val="20"/>
        </w:rPr>
      </w:pPr>
    </w:p>
    <w:p w14:paraId="27F7FE8F" w14:textId="77777777" w:rsidR="00311B51" w:rsidRDefault="00311B51" w:rsidP="00DD2832">
      <w:pPr>
        <w:jc w:val="both"/>
        <w:rPr>
          <w:rFonts w:cs="Arial"/>
          <w:b/>
          <w:szCs w:val="20"/>
        </w:rPr>
      </w:pPr>
    </w:p>
    <w:p w14:paraId="05AD83D8" w14:textId="77777777" w:rsidR="00311B51" w:rsidRDefault="00311B51" w:rsidP="00DD2832">
      <w:pPr>
        <w:jc w:val="both"/>
        <w:rPr>
          <w:rFonts w:cs="Arial"/>
          <w:b/>
          <w:szCs w:val="20"/>
        </w:rPr>
      </w:pPr>
    </w:p>
    <w:p w14:paraId="797BC164" w14:textId="77777777" w:rsidR="00311B51" w:rsidRDefault="00311B51" w:rsidP="00DD2832">
      <w:pPr>
        <w:jc w:val="both"/>
        <w:rPr>
          <w:rFonts w:cs="Arial"/>
          <w:b/>
          <w:szCs w:val="20"/>
        </w:rPr>
      </w:pPr>
    </w:p>
    <w:p w14:paraId="5A2D44C4" w14:textId="11506FC8" w:rsidR="00DD2832" w:rsidRPr="00532651" w:rsidRDefault="00311B51" w:rsidP="00DD2832">
      <w:pPr>
        <w:jc w:val="both"/>
        <w:rPr>
          <w:rFonts w:cs="Arial"/>
          <w:szCs w:val="20"/>
        </w:rPr>
      </w:pPr>
      <w:r>
        <w:rPr>
          <w:rFonts w:cs="Arial"/>
          <w:b/>
          <w:noProof/>
          <w:szCs w:val="20"/>
        </w:rPr>
        <w:lastRenderedPageBreak/>
        <w:drawing>
          <wp:inline distT="0" distB="0" distL="0" distR="0" wp14:anchorId="707C7889" wp14:editId="210BC7CB">
            <wp:extent cx="5285549" cy="704545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99842" cy="7064509"/>
                    </a:xfrm>
                    <a:prstGeom prst="rect">
                      <a:avLst/>
                    </a:prstGeom>
                    <a:noFill/>
                    <a:ln>
                      <a:noFill/>
                    </a:ln>
                  </pic:spPr>
                </pic:pic>
              </a:graphicData>
            </a:graphic>
          </wp:inline>
        </w:drawing>
      </w:r>
      <w:r w:rsidR="00DD2832" w:rsidRPr="008675D9">
        <w:rPr>
          <w:rFonts w:cs="Arial"/>
          <w:b/>
          <w:szCs w:val="20"/>
        </w:rPr>
        <w:t>Supplementary Figure 2</w:t>
      </w:r>
      <w:r w:rsidR="00B9483C">
        <w:rPr>
          <w:rFonts w:cs="Arial"/>
          <w:b/>
          <w:szCs w:val="20"/>
        </w:rPr>
        <w:t>.</w:t>
      </w:r>
      <w:r w:rsidR="00DD2832">
        <w:rPr>
          <w:rFonts w:cs="Arial"/>
          <w:bCs/>
          <w:szCs w:val="20"/>
        </w:rPr>
        <w:t xml:space="preserve"> </w:t>
      </w:r>
      <w:r w:rsidR="00DD2832" w:rsidRPr="005717A4">
        <w:rPr>
          <w:rFonts w:cs="Arial"/>
          <w:bCs/>
          <w:szCs w:val="20"/>
        </w:rPr>
        <w:t>Antimicrobial activity of COAM.</w:t>
      </w:r>
      <w:r w:rsidR="00DD2832" w:rsidRPr="007057C7">
        <w:rPr>
          <w:rFonts w:cs="Arial"/>
          <w:szCs w:val="20"/>
        </w:rPr>
        <w:t xml:space="preserve"> Growth of </w:t>
      </w:r>
      <w:r w:rsidR="00DD2832" w:rsidRPr="008675D9">
        <w:rPr>
          <w:rFonts w:cs="Arial"/>
          <w:b/>
          <w:bCs/>
          <w:szCs w:val="20"/>
        </w:rPr>
        <w:t>(A)</w:t>
      </w:r>
      <w:r w:rsidR="00DD2832">
        <w:rPr>
          <w:rFonts w:cs="Arial"/>
          <w:szCs w:val="20"/>
        </w:rPr>
        <w:t xml:space="preserve"> </w:t>
      </w:r>
      <w:r w:rsidR="00DD2832" w:rsidRPr="00F87DD7">
        <w:rPr>
          <w:rFonts w:cs="Arial"/>
          <w:i/>
          <w:szCs w:val="20"/>
        </w:rPr>
        <w:t>S. aureus</w:t>
      </w:r>
      <w:r w:rsidR="00DD2832" w:rsidRPr="007057C7">
        <w:rPr>
          <w:rFonts w:cs="Arial"/>
          <w:szCs w:val="20"/>
        </w:rPr>
        <w:t xml:space="preserve"> </w:t>
      </w:r>
      <w:r w:rsidR="00DD2832">
        <w:rPr>
          <w:rFonts w:cs="Arial"/>
          <w:szCs w:val="20"/>
        </w:rPr>
        <w:t>(</w:t>
      </w:r>
      <w:r w:rsidR="00DD2832" w:rsidRPr="007057C7">
        <w:rPr>
          <w:rFonts w:cs="Arial"/>
          <w:szCs w:val="20"/>
        </w:rPr>
        <w:t>ATCC</w:t>
      </w:r>
      <w:r w:rsidR="00DD2832">
        <w:rPr>
          <w:rFonts w:cs="Arial"/>
          <w:szCs w:val="20"/>
        </w:rPr>
        <w:t xml:space="preserve"> </w:t>
      </w:r>
      <w:r w:rsidR="00DD2832" w:rsidRPr="007057C7">
        <w:rPr>
          <w:rFonts w:cs="Arial"/>
          <w:szCs w:val="20"/>
        </w:rPr>
        <w:t>6538P</w:t>
      </w:r>
      <w:r w:rsidR="00DD2832">
        <w:rPr>
          <w:rFonts w:cs="Arial"/>
          <w:szCs w:val="20"/>
        </w:rPr>
        <w:t>),</w:t>
      </w:r>
      <w:r w:rsidR="00DD2832" w:rsidRPr="007057C7">
        <w:rPr>
          <w:rFonts w:cs="Arial"/>
          <w:szCs w:val="20"/>
        </w:rPr>
        <w:t xml:space="preserve"> </w:t>
      </w:r>
      <w:r w:rsidR="00DD2832" w:rsidRPr="008675D9">
        <w:rPr>
          <w:rFonts w:cs="Arial"/>
          <w:b/>
          <w:bCs/>
          <w:szCs w:val="20"/>
        </w:rPr>
        <w:t>(</w:t>
      </w:r>
      <w:r w:rsidR="00DD2832">
        <w:rPr>
          <w:rFonts w:cs="Arial"/>
          <w:b/>
          <w:bCs/>
          <w:szCs w:val="20"/>
        </w:rPr>
        <w:t>B</w:t>
      </w:r>
      <w:r w:rsidR="00DD2832" w:rsidRPr="008675D9">
        <w:rPr>
          <w:rFonts w:cs="Arial"/>
          <w:b/>
          <w:bCs/>
          <w:szCs w:val="20"/>
        </w:rPr>
        <w:t>)</w:t>
      </w:r>
      <w:r w:rsidR="00DD2832">
        <w:rPr>
          <w:rFonts w:cs="Arial"/>
          <w:b/>
          <w:bCs/>
          <w:szCs w:val="20"/>
        </w:rPr>
        <w:t xml:space="preserve"> </w:t>
      </w:r>
      <w:r w:rsidR="00DD2832" w:rsidRPr="007057C7">
        <w:rPr>
          <w:rFonts w:cs="Arial"/>
          <w:szCs w:val="20"/>
        </w:rPr>
        <w:t xml:space="preserve">MRSA </w:t>
      </w:r>
      <w:r w:rsidR="00DD2832">
        <w:rPr>
          <w:rFonts w:cs="Arial"/>
          <w:iCs/>
          <w:szCs w:val="20"/>
          <w:lang w:val="et-EE"/>
        </w:rPr>
        <w:t>(</w:t>
      </w:r>
      <w:r w:rsidR="00DD2832" w:rsidRPr="00025FB4">
        <w:rPr>
          <w:rFonts w:cs="Arial"/>
          <w:szCs w:val="20"/>
          <w:lang w:val="et-EE"/>
        </w:rPr>
        <w:t>UZ Gasthuisberg collection)</w:t>
      </w:r>
      <w:r w:rsidR="00DD2832">
        <w:rPr>
          <w:rFonts w:cs="Arial"/>
          <w:szCs w:val="20"/>
        </w:rPr>
        <w:t xml:space="preserve">, </w:t>
      </w:r>
      <w:r w:rsidR="00DD2832" w:rsidRPr="008675D9">
        <w:rPr>
          <w:rFonts w:cs="Arial"/>
          <w:b/>
          <w:bCs/>
          <w:szCs w:val="20"/>
        </w:rPr>
        <w:t>(</w:t>
      </w:r>
      <w:r w:rsidR="00DD2832">
        <w:rPr>
          <w:rFonts w:cs="Arial"/>
          <w:b/>
          <w:bCs/>
          <w:szCs w:val="20"/>
        </w:rPr>
        <w:t>C</w:t>
      </w:r>
      <w:r w:rsidR="00DD2832" w:rsidRPr="008675D9">
        <w:rPr>
          <w:rFonts w:cs="Arial"/>
          <w:b/>
          <w:bCs/>
          <w:szCs w:val="20"/>
        </w:rPr>
        <w:t>)</w:t>
      </w:r>
      <w:r w:rsidR="00DD2832">
        <w:rPr>
          <w:rFonts w:cs="Arial"/>
          <w:szCs w:val="20"/>
        </w:rPr>
        <w:t xml:space="preserve"> </w:t>
      </w:r>
      <w:r w:rsidR="00DD2832" w:rsidRPr="00017209">
        <w:rPr>
          <w:rFonts w:cs="Arial"/>
          <w:i/>
          <w:iCs/>
          <w:szCs w:val="20"/>
          <w:lang w:val="et-EE"/>
        </w:rPr>
        <w:t>S</w:t>
      </w:r>
      <w:r w:rsidR="00DD2832">
        <w:rPr>
          <w:rFonts w:cs="Arial"/>
          <w:i/>
          <w:iCs/>
          <w:szCs w:val="20"/>
          <w:lang w:val="et-EE"/>
        </w:rPr>
        <w:t>.</w:t>
      </w:r>
      <w:r w:rsidR="00DD2832" w:rsidRPr="00017209">
        <w:rPr>
          <w:rFonts w:cs="Arial"/>
          <w:i/>
          <w:iCs/>
          <w:szCs w:val="20"/>
          <w:lang w:val="et-EE"/>
        </w:rPr>
        <w:t xml:space="preserve"> epidermidis</w:t>
      </w:r>
      <w:r w:rsidR="00DD2832" w:rsidRPr="00017209">
        <w:rPr>
          <w:rFonts w:cs="Arial"/>
          <w:szCs w:val="20"/>
          <w:lang w:val="et-EE"/>
        </w:rPr>
        <w:t xml:space="preserve"> (ATCC 12228), </w:t>
      </w:r>
      <w:r w:rsidR="00DD2832" w:rsidRPr="008675D9">
        <w:rPr>
          <w:rFonts w:cs="Arial"/>
          <w:b/>
          <w:bCs/>
          <w:szCs w:val="20"/>
        </w:rPr>
        <w:t>(</w:t>
      </w:r>
      <w:r w:rsidR="00DD2832">
        <w:rPr>
          <w:rFonts w:cs="Arial"/>
          <w:b/>
          <w:bCs/>
          <w:szCs w:val="20"/>
        </w:rPr>
        <w:t>D</w:t>
      </w:r>
      <w:r w:rsidR="00DD2832" w:rsidRPr="008675D9">
        <w:rPr>
          <w:rFonts w:cs="Arial"/>
          <w:b/>
          <w:bCs/>
          <w:szCs w:val="20"/>
        </w:rPr>
        <w:t>)</w:t>
      </w:r>
      <w:r w:rsidR="00DD2832">
        <w:rPr>
          <w:rFonts w:cs="Arial"/>
          <w:b/>
          <w:bCs/>
          <w:szCs w:val="20"/>
        </w:rPr>
        <w:t xml:space="preserve"> </w:t>
      </w:r>
      <w:r w:rsidR="00DD2832" w:rsidRPr="001750BC">
        <w:rPr>
          <w:rFonts w:cs="Arial"/>
          <w:szCs w:val="20"/>
          <w:lang w:val="et-EE"/>
        </w:rPr>
        <w:t xml:space="preserve">biofilm-forming </w:t>
      </w:r>
      <w:r w:rsidR="00DD2832" w:rsidRPr="001750BC">
        <w:rPr>
          <w:rFonts w:cs="Arial"/>
          <w:i/>
          <w:iCs/>
          <w:szCs w:val="20"/>
          <w:lang w:val="et-EE"/>
        </w:rPr>
        <w:t>S</w:t>
      </w:r>
      <w:r w:rsidR="00DD2832">
        <w:rPr>
          <w:rFonts w:cs="Arial"/>
          <w:i/>
          <w:iCs/>
          <w:szCs w:val="20"/>
          <w:lang w:val="et-EE"/>
        </w:rPr>
        <w:t>.</w:t>
      </w:r>
      <w:r w:rsidR="00DD2832" w:rsidRPr="001750BC">
        <w:rPr>
          <w:rFonts w:cs="Arial"/>
          <w:i/>
          <w:iCs/>
          <w:szCs w:val="20"/>
          <w:lang w:val="et-EE"/>
        </w:rPr>
        <w:t xml:space="preserve"> epidermidis</w:t>
      </w:r>
      <w:r w:rsidR="00DD2832" w:rsidRPr="001750BC">
        <w:rPr>
          <w:rFonts w:cs="Arial"/>
          <w:iCs/>
          <w:szCs w:val="20"/>
          <w:lang w:val="et-EE"/>
        </w:rPr>
        <w:t xml:space="preserve"> </w:t>
      </w:r>
      <w:r w:rsidR="00DD2832">
        <w:rPr>
          <w:rFonts w:cs="Arial"/>
          <w:iCs/>
          <w:szCs w:val="20"/>
          <w:lang w:val="et-EE"/>
        </w:rPr>
        <w:t>(</w:t>
      </w:r>
      <w:r w:rsidR="00DD2832" w:rsidRPr="001750BC">
        <w:rPr>
          <w:rFonts w:cs="Arial"/>
          <w:szCs w:val="20"/>
          <w:lang w:val="et-EE"/>
        </w:rPr>
        <w:t>ATCC</w:t>
      </w:r>
      <w:r w:rsidR="00DD2832">
        <w:rPr>
          <w:rFonts w:cs="Arial"/>
          <w:szCs w:val="20"/>
          <w:lang w:val="et-EE"/>
        </w:rPr>
        <w:t xml:space="preserve"> 35984)</w:t>
      </w:r>
      <w:r w:rsidR="00DD2832" w:rsidRPr="00017209">
        <w:rPr>
          <w:rFonts w:cs="Arial"/>
          <w:szCs w:val="20"/>
          <w:lang w:val="et-EE"/>
        </w:rPr>
        <w:t xml:space="preserve"> and </w:t>
      </w:r>
      <w:r w:rsidR="00DD2832" w:rsidRPr="008675D9">
        <w:rPr>
          <w:rFonts w:cs="Arial"/>
          <w:b/>
          <w:bCs/>
          <w:szCs w:val="20"/>
        </w:rPr>
        <w:t>(</w:t>
      </w:r>
      <w:r w:rsidR="00DD2832">
        <w:rPr>
          <w:rFonts w:cs="Arial"/>
          <w:b/>
          <w:bCs/>
          <w:szCs w:val="20"/>
        </w:rPr>
        <w:t>E</w:t>
      </w:r>
      <w:r w:rsidR="00DD2832" w:rsidRPr="008675D9">
        <w:rPr>
          <w:rFonts w:cs="Arial"/>
          <w:b/>
          <w:bCs/>
          <w:szCs w:val="20"/>
        </w:rPr>
        <w:t>)</w:t>
      </w:r>
      <w:r w:rsidR="00DD2832">
        <w:rPr>
          <w:rFonts w:cs="Arial"/>
          <w:b/>
          <w:bCs/>
          <w:szCs w:val="20"/>
        </w:rPr>
        <w:t xml:space="preserve"> </w:t>
      </w:r>
      <w:r w:rsidR="00DD2832" w:rsidRPr="00017209">
        <w:rPr>
          <w:rFonts w:cs="Arial"/>
          <w:i/>
          <w:iCs/>
          <w:szCs w:val="20"/>
          <w:lang w:val="et-EE"/>
        </w:rPr>
        <w:t>P</w:t>
      </w:r>
      <w:r w:rsidR="00DD2832">
        <w:rPr>
          <w:rFonts w:cs="Arial"/>
          <w:i/>
          <w:iCs/>
          <w:szCs w:val="20"/>
          <w:lang w:val="et-EE"/>
        </w:rPr>
        <w:t>.</w:t>
      </w:r>
      <w:r w:rsidR="00DD2832" w:rsidRPr="00017209">
        <w:rPr>
          <w:rFonts w:cs="Arial"/>
          <w:i/>
          <w:iCs/>
          <w:szCs w:val="20"/>
          <w:lang w:val="et-EE"/>
        </w:rPr>
        <w:t xml:space="preserve"> aeruginosa</w:t>
      </w:r>
      <w:r w:rsidR="00DD2832">
        <w:rPr>
          <w:rFonts w:cs="Arial"/>
          <w:szCs w:val="20"/>
        </w:rPr>
        <w:t xml:space="preserve"> (ATCC BAA-47) </w:t>
      </w:r>
      <w:r w:rsidR="00DD2832" w:rsidRPr="007057C7">
        <w:rPr>
          <w:rFonts w:cs="Arial"/>
          <w:szCs w:val="20"/>
        </w:rPr>
        <w:t xml:space="preserve">in </w:t>
      </w:r>
      <w:r w:rsidR="00DD2832">
        <w:rPr>
          <w:rFonts w:cs="Arial"/>
          <w:szCs w:val="20"/>
        </w:rPr>
        <w:t>LB</w:t>
      </w:r>
      <w:r w:rsidR="00DD2832" w:rsidRPr="007057C7">
        <w:rPr>
          <w:rFonts w:cs="Arial"/>
          <w:szCs w:val="20"/>
        </w:rPr>
        <w:t xml:space="preserve"> broth incubated with increasing concentr</w:t>
      </w:r>
      <w:r w:rsidR="00DD2832">
        <w:rPr>
          <w:rFonts w:cs="Arial"/>
          <w:szCs w:val="20"/>
        </w:rPr>
        <w:t>ations of COAM</w:t>
      </w:r>
      <w:r w:rsidR="00DD2832" w:rsidRPr="007057C7">
        <w:rPr>
          <w:rFonts w:cs="Arial"/>
          <w:szCs w:val="20"/>
        </w:rPr>
        <w:t>.</w:t>
      </w:r>
      <w:r w:rsidR="00DD2832">
        <w:rPr>
          <w:rFonts w:cs="Arial"/>
          <w:szCs w:val="20"/>
        </w:rPr>
        <w:t xml:space="preserve"> </w:t>
      </w:r>
      <w:r w:rsidR="00DD2832" w:rsidRPr="007057C7">
        <w:rPr>
          <w:rFonts w:cs="Arial"/>
          <w:szCs w:val="20"/>
        </w:rPr>
        <w:t>3 independent experiments performed</w:t>
      </w:r>
      <w:r w:rsidR="00DD2832">
        <w:rPr>
          <w:rFonts w:cs="Arial"/>
          <w:szCs w:val="20"/>
        </w:rPr>
        <w:t xml:space="preserve"> in triplicates (n=3). </w:t>
      </w:r>
      <w:r w:rsidR="00DD2832" w:rsidRPr="00C93DCC">
        <w:rPr>
          <w:rFonts w:cs="Arial"/>
          <w:szCs w:val="20"/>
        </w:rPr>
        <w:t>Data are the mean ± SEM</w:t>
      </w:r>
      <w:r w:rsidR="00DD2832">
        <w:rPr>
          <w:rFonts w:cs="Arial"/>
          <w:szCs w:val="20"/>
        </w:rPr>
        <w:t xml:space="preserve">. *p &lt; 0.05 </w:t>
      </w:r>
      <w:r w:rsidR="00DD2832" w:rsidRPr="00C93DCC">
        <w:rPr>
          <w:rFonts w:cs="Arial"/>
          <w:i/>
          <w:szCs w:val="20"/>
        </w:rPr>
        <w:t>vs</w:t>
      </w:r>
      <w:r w:rsidR="00DD2832">
        <w:rPr>
          <w:rFonts w:cs="Arial"/>
          <w:szCs w:val="20"/>
        </w:rPr>
        <w:t xml:space="preserve"> control group without COAM. </w:t>
      </w:r>
    </w:p>
    <w:p w14:paraId="01C82D3D" w14:textId="3053FB76" w:rsidR="00311B51" w:rsidRDefault="00311B51" w:rsidP="00DD2832">
      <w:pPr>
        <w:jc w:val="both"/>
        <w:rPr>
          <w:rFonts w:cs="Arial"/>
          <w:b/>
          <w:szCs w:val="20"/>
        </w:rPr>
      </w:pPr>
      <w:r>
        <w:rPr>
          <w:rFonts w:cs="Arial"/>
          <w:b/>
          <w:noProof/>
          <w:szCs w:val="20"/>
        </w:rPr>
        <w:lastRenderedPageBreak/>
        <w:drawing>
          <wp:inline distT="0" distB="0" distL="0" distR="0" wp14:anchorId="3F8FE5B8" wp14:editId="5C39CC00">
            <wp:extent cx="5756275" cy="4249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6275" cy="4249420"/>
                    </a:xfrm>
                    <a:prstGeom prst="rect">
                      <a:avLst/>
                    </a:prstGeom>
                    <a:noFill/>
                    <a:ln>
                      <a:noFill/>
                    </a:ln>
                  </pic:spPr>
                </pic:pic>
              </a:graphicData>
            </a:graphic>
          </wp:inline>
        </w:drawing>
      </w:r>
    </w:p>
    <w:p w14:paraId="15B3E913" w14:textId="09F9E560" w:rsidR="00DD2832" w:rsidRDefault="00DD2832" w:rsidP="00DD2832">
      <w:pPr>
        <w:jc w:val="both"/>
        <w:rPr>
          <w:rFonts w:cs="Arial"/>
          <w:szCs w:val="20"/>
        </w:rPr>
      </w:pPr>
      <w:r w:rsidRPr="008675D9">
        <w:rPr>
          <w:rFonts w:cs="Arial"/>
          <w:b/>
          <w:szCs w:val="20"/>
        </w:rPr>
        <w:t>Supplementary Figure 3</w:t>
      </w:r>
      <w:r w:rsidR="00B9483C">
        <w:rPr>
          <w:rFonts w:cs="Arial"/>
          <w:b/>
          <w:szCs w:val="20"/>
        </w:rPr>
        <w:t>.</w:t>
      </w:r>
      <w:r>
        <w:rPr>
          <w:rFonts w:cs="Arial"/>
          <w:bCs/>
          <w:szCs w:val="20"/>
        </w:rPr>
        <w:t xml:space="preserve"> </w:t>
      </w:r>
      <w:r w:rsidRPr="005717A4">
        <w:rPr>
          <w:rFonts w:cs="Arial"/>
          <w:bCs/>
          <w:szCs w:val="20"/>
        </w:rPr>
        <w:t>Gating strategy for analysis of leukocyte influx into skin wounds.</w:t>
      </w:r>
      <w:r w:rsidRPr="007057C7">
        <w:rPr>
          <w:rFonts w:cs="Arial"/>
          <w:szCs w:val="20"/>
        </w:rPr>
        <w:t xml:space="preserve"> </w:t>
      </w:r>
      <w:r w:rsidR="00F1791F">
        <w:rPr>
          <w:rFonts w:cs="Arial"/>
          <w:szCs w:val="20"/>
        </w:rPr>
        <w:t>Skin wounds</w:t>
      </w:r>
      <w:r>
        <w:rPr>
          <w:rFonts w:cs="Arial"/>
          <w:szCs w:val="20"/>
        </w:rPr>
        <w:t xml:space="preserve"> were</w:t>
      </w:r>
      <w:r w:rsidRPr="007057C7">
        <w:rPr>
          <w:rFonts w:cs="Arial"/>
          <w:szCs w:val="20"/>
        </w:rPr>
        <w:t xml:space="preserve"> harvested at day 1 </w:t>
      </w:r>
      <w:r>
        <w:rPr>
          <w:rFonts w:cs="Arial"/>
          <w:szCs w:val="20"/>
        </w:rPr>
        <w:t>and day 3 postinjury. Leukocyte</w:t>
      </w:r>
      <w:r w:rsidRPr="007057C7">
        <w:rPr>
          <w:rFonts w:cs="Arial"/>
          <w:szCs w:val="20"/>
        </w:rPr>
        <w:t xml:space="preserve"> infiltration</w:t>
      </w:r>
      <w:r>
        <w:rPr>
          <w:rFonts w:cs="Arial"/>
          <w:szCs w:val="20"/>
        </w:rPr>
        <w:t>s in the 2 mm rims of the full thickness wound edges were</w:t>
      </w:r>
      <w:r w:rsidRPr="007057C7">
        <w:rPr>
          <w:rFonts w:cs="Arial"/>
          <w:szCs w:val="20"/>
        </w:rPr>
        <w:t xml:space="preserve"> analyzed by flow cytometry</w:t>
      </w:r>
      <w:r>
        <w:rPr>
          <w:rFonts w:cs="Arial"/>
          <w:szCs w:val="20"/>
        </w:rPr>
        <w:t xml:space="preserve">. Gating </w:t>
      </w:r>
      <w:r w:rsidRPr="007057C7">
        <w:rPr>
          <w:rFonts w:cs="Arial"/>
          <w:szCs w:val="20"/>
        </w:rPr>
        <w:t>strategy used to analyze leukocytes (CD45</w:t>
      </w:r>
      <w:r w:rsidRPr="00FF0E69">
        <w:rPr>
          <w:rFonts w:cs="Arial"/>
          <w:szCs w:val="20"/>
          <w:vertAlign w:val="superscript"/>
        </w:rPr>
        <w:t>+</w:t>
      </w:r>
      <w:r w:rsidRPr="007057C7">
        <w:rPr>
          <w:rFonts w:cs="Arial"/>
          <w:szCs w:val="20"/>
        </w:rPr>
        <w:t>), neutrophils (CD45</w:t>
      </w:r>
      <w:r w:rsidRPr="00FF0E69">
        <w:rPr>
          <w:rFonts w:cs="Arial"/>
          <w:szCs w:val="20"/>
          <w:vertAlign w:val="superscript"/>
        </w:rPr>
        <w:t>+</w:t>
      </w:r>
      <w:r w:rsidRPr="007057C7">
        <w:rPr>
          <w:rFonts w:cs="Arial"/>
          <w:szCs w:val="20"/>
        </w:rPr>
        <w:t>, CD11b</w:t>
      </w:r>
      <w:r w:rsidRPr="00FF0E69">
        <w:rPr>
          <w:rFonts w:cs="Arial"/>
          <w:szCs w:val="20"/>
          <w:vertAlign w:val="superscript"/>
        </w:rPr>
        <w:t>+</w:t>
      </w:r>
      <w:r w:rsidRPr="007057C7">
        <w:rPr>
          <w:rFonts w:cs="Arial"/>
          <w:szCs w:val="20"/>
        </w:rPr>
        <w:t xml:space="preserve"> and Ly6G</w:t>
      </w:r>
      <w:r w:rsidRPr="00FF0E69">
        <w:rPr>
          <w:rFonts w:cs="Arial"/>
          <w:szCs w:val="20"/>
          <w:vertAlign w:val="superscript"/>
        </w:rPr>
        <w:t>+</w:t>
      </w:r>
      <w:r w:rsidRPr="007057C7">
        <w:rPr>
          <w:rFonts w:cs="Arial"/>
          <w:szCs w:val="20"/>
        </w:rPr>
        <w:t>) and macrophages (CD45</w:t>
      </w:r>
      <w:r w:rsidRPr="00FF0E69">
        <w:rPr>
          <w:rFonts w:cs="Arial"/>
          <w:szCs w:val="20"/>
          <w:vertAlign w:val="superscript"/>
        </w:rPr>
        <w:t>+</w:t>
      </w:r>
      <w:r w:rsidRPr="007057C7">
        <w:rPr>
          <w:rFonts w:cs="Arial"/>
          <w:szCs w:val="20"/>
        </w:rPr>
        <w:t>, CD11b</w:t>
      </w:r>
      <w:r w:rsidRPr="00FF0E69">
        <w:rPr>
          <w:rFonts w:cs="Arial"/>
          <w:szCs w:val="20"/>
          <w:vertAlign w:val="superscript"/>
        </w:rPr>
        <w:t>+</w:t>
      </w:r>
      <w:r w:rsidRPr="007057C7">
        <w:rPr>
          <w:rFonts w:cs="Arial"/>
          <w:szCs w:val="20"/>
        </w:rPr>
        <w:t>, Ly6G</w:t>
      </w:r>
      <w:r w:rsidRPr="00FF0E69">
        <w:rPr>
          <w:rFonts w:cs="Arial"/>
          <w:szCs w:val="20"/>
          <w:vertAlign w:val="superscript"/>
        </w:rPr>
        <w:t>-</w:t>
      </w:r>
      <w:r w:rsidRPr="007057C7">
        <w:rPr>
          <w:rFonts w:cs="Arial"/>
          <w:szCs w:val="20"/>
        </w:rPr>
        <w:t>, F4/80</w:t>
      </w:r>
      <w:r w:rsidRPr="00FF0E69">
        <w:rPr>
          <w:rFonts w:cs="Arial"/>
          <w:szCs w:val="20"/>
          <w:vertAlign w:val="superscript"/>
        </w:rPr>
        <w:t>+</w:t>
      </w:r>
      <w:r w:rsidRPr="007057C7">
        <w:rPr>
          <w:rFonts w:cs="Arial"/>
          <w:szCs w:val="20"/>
        </w:rPr>
        <w:t>) after selection of s</w:t>
      </w:r>
      <w:r>
        <w:rPr>
          <w:rFonts w:cs="Arial"/>
          <w:szCs w:val="20"/>
        </w:rPr>
        <w:t>ingle and live cells (not shown</w:t>
      </w:r>
      <w:r w:rsidRPr="007057C7">
        <w:rPr>
          <w:rFonts w:cs="Arial"/>
          <w:szCs w:val="20"/>
        </w:rPr>
        <w:t xml:space="preserve">). </w:t>
      </w:r>
    </w:p>
    <w:p w14:paraId="6C759E9E" w14:textId="77777777" w:rsidR="008D3F01" w:rsidRDefault="008D3F01"/>
    <w:sectPr w:rsidR="008D3F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32"/>
    <w:rsid w:val="00311B51"/>
    <w:rsid w:val="008D3F01"/>
    <w:rsid w:val="00B9483C"/>
    <w:rsid w:val="00DD2832"/>
    <w:rsid w:val="00F179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25CD"/>
  <w15:chartTrackingRefBased/>
  <w15:docId w15:val="{55BB70D0-954E-4D0B-B1ED-373AD71A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832"/>
    <w:pPr>
      <w:spacing w:after="0" w:line="480" w:lineRule="auto"/>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250</Words>
  <Characters>1378</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 Vaz Sousa Pereira</dc:creator>
  <cp:keywords/>
  <dc:description/>
  <cp:lastModifiedBy>Rafaela Vaz Sousa Pereira</cp:lastModifiedBy>
  <cp:revision>4</cp:revision>
  <dcterms:created xsi:type="dcterms:W3CDTF">2022-06-23T07:50:00Z</dcterms:created>
  <dcterms:modified xsi:type="dcterms:W3CDTF">2022-06-27T12:50:00Z</dcterms:modified>
</cp:coreProperties>
</file>