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DF867" w14:textId="6D024A36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t xml:space="preserve">Supplementary material </w:t>
      </w:r>
      <w:r w:rsidR="00BA53D5">
        <w:rPr>
          <w:rFonts w:ascii="Arial" w:hAnsi="Arial" w:cs="Arial"/>
        </w:rPr>
        <w:t>1</w:t>
      </w:r>
      <w:r w:rsidRPr="00CD3E5E">
        <w:rPr>
          <w:rFonts w:ascii="Arial" w:hAnsi="Arial" w:cs="Arial"/>
        </w:rPr>
        <w:t xml:space="preserve">: </w:t>
      </w:r>
      <w:r w:rsidR="007118DB" w:rsidRPr="007118DB">
        <w:rPr>
          <w:rFonts w:ascii="Arial" w:hAnsi="Arial" w:cs="Arial"/>
        </w:rPr>
        <w:t>The genome location of CTSZ</w:t>
      </w:r>
      <w:r w:rsidR="007118DB">
        <w:rPr>
          <w:rFonts w:ascii="Arial" w:hAnsi="Arial" w:cs="Arial"/>
        </w:rPr>
        <w:t xml:space="preserve"> (A).</w:t>
      </w:r>
      <w:r w:rsidR="007118DB">
        <w:rPr>
          <w:rFonts w:ascii="Arial" w:hAnsi="Arial" w:cs="Arial" w:hint="eastAsia"/>
        </w:rPr>
        <w:t xml:space="preserve"> </w:t>
      </w:r>
      <w:r w:rsidR="007118DB">
        <w:rPr>
          <w:rFonts w:ascii="Arial" w:hAnsi="Arial" w:cs="Arial"/>
        </w:rPr>
        <w:t xml:space="preserve">B: </w:t>
      </w:r>
      <w:r w:rsidRPr="00CD3E5E">
        <w:rPr>
          <w:rFonts w:ascii="Arial" w:hAnsi="Arial" w:cs="Arial"/>
        </w:rPr>
        <w:t>The diagnostic value of elevated CTSZ expression in ccRCC, KIRP and KICH patients.</w:t>
      </w:r>
      <w:r w:rsidR="00191726">
        <w:rPr>
          <w:rFonts w:ascii="Arial" w:hAnsi="Arial" w:cs="Arial"/>
        </w:rPr>
        <w:t xml:space="preserve"> C: </w:t>
      </w:r>
      <w:r w:rsidR="00191726" w:rsidRPr="00191726">
        <w:rPr>
          <w:rFonts w:ascii="Arial" w:hAnsi="Arial" w:cs="Arial"/>
        </w:rPr>
        <w:t>Comprehensive analysis of CTSZ expression differences between normal controls and kidney cancer patients based on analyses of thirteen Oncomine databases.</w:t>
      </w:r>
    </w:p>
    <w:p w14:paraId="637F678D" w14:textId="3AD2266D" w:rsidR="00BC7676" w:rsidRDefault="008A6E4F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165D8F" wp14:editId="4ED0149E">
            <wp:extent cx="5274310" cy="29660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A06D" w14:textId="15EB3225" w:rsidR="00D82E0E" w:rsidRDefault="00D82E0E" w:rsidP="00BC7676">
      <w:pPr>
        <w:rPr>
          <w:rFonts w:ascii="Arial" w:hAnsi="Arial" w:cs="Arial"/>
        </w:rPr>
      </w:pPr>
    </w:p>
    <w:p w14:paraId="7AEF5FEC" w14:textId="38C3079A" w:rsidR="00D82E0E" w:rsidRDefault="00D82E0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07630E" w14:textId="6116C341" w:rsidR="00D82E0E" w:rsidRDefault="00CB66DC" w:rsidP="00BC7676">
      <w:pPr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S</w:t>
      </w:r>
      <w:r>
        <w:rPr>
          <w:rFonts w:ascii="Arial" w:hAnsi="Arial" w:cs="Arial"/>
        </w:rPr>
        <w:t>upplementary material 2:</w:t>
      </w:r>
      <w:r w:rsidR="00BA0611">
        <w:rPr>
          <w:rFonts w:ascii="Arial" w:hAnsi="Arial" w:cs="Arial"/>
        </w:rPr>
        <w:t xml:space="preserve"> </w:t>
      </w:r>
      <w:r w:rsidR="00C7311A">
        <w:rPr>
          <w:rFonts w:ascii="Arial" w:hAnsi="Arial" w:cs="Arial"/>
        </w:rPr>
        <w:t>U</w:t>
      </w:r>
      <w:r w:rsidR="00BA0611" w:rsidRPr="00BA0611">
        <w:rPr>
          <w:rFonts w:ascii="Arial" w:hAnsi="Arial" w:cs="Arial"/>
        </w:rPr>
        <w:t>nivariate and multivariate Cox proportional hazards models</w:t>
      </w:r>
      <w:r w:rsidR="00BA0611">
        <w:rPr>
          <w:rFonts w:ascii="Arial" w:hAnsi="Arial" w:cs="Arial"/>
        </w:rPr>
        <w:t xml:space="preserve"> </w:t>
      </w:r>
      <w:r w:rsidR="00BA0611" w:rsidRPr="00BA0611">
        <w:rPr>
          <w:rFonts w:ascii="Arial" w:hAnsi="Arial" w:cs="Arial"/>
        </w:rPr>
        <w:t>containing age</w:t>
      </w:r>
      <w:r w:rsidR="00BA0611">
        <w:rPr>
          <w:rFonts w:ascii="Arial" w:hAnsi="Arial" w:cs="Arial"/>
        </w:rPr>
        <w:t xml:space="preserve">, </w:t>
      </w:r>
      <w:r w:rsidR="00BA0611" w:rsidRPr="00BA0611">
        <w:rPr>
          <w:rFonts w:ascii="Arial" w:hAnsi="Arial" w:cs="Arial"/>
        </w:rPr>
        <w:t>sex</w:t>
      </w:r>
      <w:r w:rsidR="00BA0611">
        <w:rPr>
          <w:rFonts w:ascii="Arial" w:hAnsi="Arial" w:cs="Arial"/>
        </w:rPr>
        <w:t xml:space="preserve"> and CTSZ level in ccRCC (A) and KICH (B).</w:t>
      </w:r>
      <w:r w:rsidR="0021351B">
        <w:rPr>
          <w:rFonts w:ascii="Arial" w:hAnsi="Arial" w:cs="Arial"/>
        </w:rPr>
        <w:t xml:space="preserve"> C: C</w:t>
      </w:r>
      <w:r w:rsidR="0021351B" w:rsidRPr="0021351B">
        <w:rPr>
          <w:rFonts w:ascii="Arial" w:hAnsi="Arial" w:cs="Arial"/>
        </w:rPr>
        <w:t>o-expression correlation between CTSZ and CD68, CD163, CD86, CD4 or CD8A in single cells (Review material 4B)</w:t>
      </w:r>
    </w:p>
    <w:p w14:paraId="5411D366" w14:textId="417084C2" w:rsidR="00D82E0E" w:rsidRDefault="00E24C9E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F416B9" wp14:editId="2377AE90">
            <wp:extent cx="5274310" cy="29660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D0CA" w14:textId="27C09838" w:rsidR="00D82E0E" w:rsidRDefault="00D82E0E" w:rsidP="00BC7676">
      <w:pPr>
        <w:rPr>
          <w:rFonts w:ascii="Arial" w:hAnsi="Arial" w:cs="Arial"/>
        </w:rPr>
      </w:pPr>
    </w:p>
    <w:p w14:paraId="229C7716" w14:textId="67913931" w:rsidR="00D82E0E" w:rsidRDefault="00D82E0E" w:rsidP="00BC7676">
      <w:pPr>
        <w:rPr>
          <w:rFonts w:ascii="Arial" w:hAnsi="Arial" w:cs="Arial"/>
        </w:rPr>
      </w:pPr>
    </w:p>
    <w:p w14:paraId="494C0177" w14:textId="03E104F5" w:rsidR="00D82E0E" w:rsidRDefault="00D82E0E" w:rsidP="00BC7676">
      <w:pPr>
        <w:rPr>
          <w:rFonts w:ascii="Arial" w:hAnsi="Arial" w:cs="Arial"/>
        </w:rPr>
      </w:pPr>
    </w:p>
    <w:p w14:paraId="6A87CC7F" w14:textId="76BD0564" w:rsidR="00D82E0E" w:rsidRDefault="00D82E0E" w:rsidP="00BC7676">
      <w:pPr>
        <w:rPr>
          <w:rFonts w:ascii="Arial" w:hAnsi="Arial" w:cs="Arial"/>
        </w:rPr>
      </w:pPr>
    </w:p>
    <w:p w14:paraId="4C84C4B0" w14:textId="77777777" w:rsidR="00D82E0E" w:rsidRDefault="00D82E0E" w:rsidP="00BC7676">
      <w:pPr>
        <w:rPr>
          <w:rFonts w:ascii="Arial" w:hAnsi="Arial" w:cs="Arial" w:hint="eastAsia"/>
        </w:rPr>
      </w:pPr>
    </w:p>
    <w:p w14:paraId="4996C9A8" w14:textId="77777777" w:rsidR="00D82E0E" w:rsidRDefault="00D82E0E" w:rsidP="00BC7676">
      <w:pPr>
        <w:rPr>
          <w:rFonts w:ascii="Arial" w:hAnsi="Arial" w:cs="Arial" w:hint="eastAsia"/>
        </w:rPr>
      </w:pPr>
    </w:p>
    <w:p w14:paraId="116AB4A2" w14:textId="45A078A1" w:rsidR="0088278E" w:rsidRPr="00CD3E5E" w:rsidRDefault="0088278E" w:rsidP="0088278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B467C9" w14:textId="236C2A05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0C7E91">
        <w:rPr>
          <w:rFonts w:ascii="Arial" w:hAnsi="Arial" w:cs="Arial"/>
        </w:rPr>
        <w:t>3</w:t>
      </w:r>
      <w:r w:rsidRPr="00CD3E5E">
        <w:rPr>
          <w:rFonts w:ascii="Arial" w:hAnsi="Arial" w:cs="Arial"/>
        </w:rPr>
        <w:t>: GSEA of CTSZ-correlated gene sets with the top 10 NES (normalized enrichment score) through Joy Plot.</w:t>
      </w:r>
    </w:p>
    <w:p w14:paraId="08FE6283" w14:textId="025D5D22" w:rsidR="0088278E" w:rsidRDefault="0088278E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3C67CB" wp14:editId="5521F1A3">
            <wp:extent cx="5274310" cy="2967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C34E" w14:textId="4F68A7F9" w:rsidR="00BC7676" w:rsidRPr="0088278E" w:rsidRDefault="0088278E" w:rsidP="0088278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1602EC" w14:textId="43E4CF0C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DE7C19">
        <w:rPr>
          <w:rFonts w:ascii="Arial" w:hAnsi="Arial" w:cs="Arial"/>
        </w:rPr>
        <w:t>4</w:t>
      </w:r>
      <w:r w:rsidRPr="00CD3E5E">
        <w:rPr>
          <w:rFonts w:ascii="Arial" w:hAnsi="Arial" w:cs="Arial"/>
        </w:rPr>
        <w:t>: CTSZ-correlated GSEA profiles. A: FceRI mediated NF KB activation. B: Immunoregulatory interactions between lymphoid and nonlymphoid cells. C: Creation of c4 and c2 activators. D: Initial triggering of complement. E: Complement cascade. F: Signaling by the B-cell receptor BCR. G: Type II interferon signaling IFNG. H: Regulation of IFNG signaling. I: IRF3-mediated induction of type I IFN.</w:t>
      </w:r>
    </w:p>
    <w:p w14:paraId="417AEE94" w14:textId="6927773E" w:rsidR="007D2D0B" w:rsidRDefault="007D2D0B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F2A680" wp14:editId="16695881">
            <wp:extent cx="5274310" cy="6292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5EE6" w14:textId="39C50865" w:rsidR="00BC7676" w:rsidRPr="00CD3E5E" w:rsidRDefault="007D2D0B" w:rsidP="007D2D0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1F6B40" w14:textId="002E9A23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762335">
        <w:rPr>
          <w:rFonts w:ascii="Arial" w:hAnsi="Arial" w:cs="Arial"/>
        </w:rPr>
        <w:t>5</w:t>
      </w:r>
      <w:r w:rsidRPr="00CD3E5E">
        <w:rPr>
          <w:rFonts w:ascii="Arial" w:hAnsi="Arial" w:cs="Arial"/>
        </w:rPr>
        <w:t xml:space="preserve">: </w:t>
      </w:r>
      <w:r w:rsidR="009A505A" w:rsidRPr="00CD3E5E">
        <w:rPr>
          <w:rFonts w:ascii="Arial" w:hAnsi="Arial" w:cs="Arial"/>
        </w:rPr>
        <w:t>CTSZ promoter methylation and clinicopathological parameters, including race, sex, age and nodal metastasis status, in ccRCC (</w:t>
      </w:r>
      <w:r w:rsidR="009A505A">
        <w:rPr>
          <w:rFonts w:ascii="Arial" w:hAnsi="Arial" w:cs="Arial"/>
        </w:rPr>
        <w:t>A</w:t>
      </w:r>
      <w:r w:rsidR="009A505A" w:rsidRPr="00CD3E5E">
        <w:rPr>
          <w:rFonts w:ascii="Arial" w:hAnsi="Arial" w:cs="Arial"/>
        </w:rPr>
        <w:t>).</w:t>
      </w:r>
      <w:r w:rsidR="009A505A">
        <w:rPr>
          <w:rFonts w:ascii="Arial" w:hAnsi="Arial" w:cs="Arial" w:hint="eastAsia"/>
        </w:rPr>
        <w:t xml:space="preserve"> </w:t>
      </w:r>
      <w:r w:rsidRPr="00CD3E5E">
        <w:rPr>
          <w:rFonts w:ascii="Arial" w:hAnsi="Arial" w:cs="Arial"/>
        </w:rPr>
        <w:t>The correlations between CTSZ methylation and gene expression levels in ccRCC (</w:t>
      </w:r>
      <w:r w:rsidR="009A505A">
        <w:rPr>
          <w:rFonts w:ascii="Arial" w:hAnsi="Arial" w:cs="Arial"/>
        </w:rPr>
        <w:t>B</w:t>
      </w:r>
      <w:r w:rsidRPr="00CD3E5E">
        <w:rPr>
          <w:rFonts w:ascii="Arial" w:hAnsi="Arial" w:cs="Arial"/>
        </w:rPr>
        <w:t xml:space="preserve">). </w:t>
      </w:r>
    </w:p>
    <w:p w14:paraId="646234AA" w14:textId="2ABF6984" w:rsidR="007D2D0B" w:rsidRDefault="00762335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CC597F" wp14:editId="16196173">
            <wp:extent cx="5274310" cy="2966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180F" w14:textId="72907B01" w:rsidR="00BC7676" w:rsidRPr="00CD3E5E" w:rsidRDefault="007D2D0B" w:rsidP="007D2D0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8B435D" w14:textId="25B34ADD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FE3B2C">
        <w:rPr>
          <w:rFonts w:ascii="Arial" w:hAnsi="Arial" w:cs="Arial"/>
        </w:rPr>
        <w:t>6</w:t>
      </w:r>
      <w:r w:rsidRPr="00CD3E5E">
        <w:rPr>
          <w:rFonts w:ascii="Arial" w:hAnsi="Arial" w:cs="Arial"/>
        </w:rPr>
        <w:t>: Survival curve of certain probe methylation levels for OS in ccRCC.</w:t>
      </w:r>
    </w:p>
    <w:p w14:paraId="47A405F3" w14:textId="05DD4E2F" w:rsidR="007D2D0B" w:rsidRDefault="007D2D0B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4CE526" wp14:editId="188EDEE7">
            <wp:extent cx="5274310" cy="2967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9ECF" w14:textId="0E8C9A64" w:rsidR="00BC7676" w:rsidRPr="007D2D0B" w:rsidRDefault="007D2D0B" w:rsidP="007D2D0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8519D5" w14:textId="77ABD572" w:rsidR="00BC7676" w:rsidRPr="00CD3E5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FE3B2C">
        <w:rPr>
          <w:rFonts w:ascii="Arial" w:hAnsi="Arial" w:cs="Arial"/>
        </w:rPr>
        <w:t>7</w:t>
      </w:r>
      <w:r w:rsidRPr="00CD3E5E">
        <w:rPr>
          <w:rFonts w:ascii="Arial" w:hAnsi="Arial" w:cs="Arial"/>
        </w:rPr>
        <w:t>: The role of CTSZ in the famous cancer-related pathways (A) in ccRCC (GSCALite). IC50 scores of common ccRCC drugs (axitinib, pazopanib, erlotinib, temsirolimus and sunitinib) between groups with different CTSZ levels (B). Group 1: High CTSZ expression. Group 2: Low CTSZ expression. *p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&lt;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0.05, **p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&lt;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0.01, ***p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&lt;</w:t>
      </w:r>
      <w:r w:rsidRPr="00CD3E5E">
        <w:rPr>
          <w:rFonts w:ascii="Arial" w:eastAsia="MS Mincho" w:hAnsi="Arial" w:cs="Arial"/>
        </w:rPr>
        <w:t> </w:t>
      </w:r>
      <w:r w:rsidRPr="00CD3E5E">
        <w:rPr>
          <w:rFonts w:ascii="Arial" w:hAnsi="Arial" w:cs="Arial"/>
        </w:rPr>
        <w:t>0.001.</w:t>
      </w:r>
    </w:p>
    <w:p w14:paraId="5F3D096C" w14:textId="2972989A" w:rsidR="007D2D0B" w:rsidRDefault="007D2D0B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9C7912" wp14:editId="0D514DC2">
            <wp:extent cx="5274310" cy="2967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3590" w14:textId="57F0D4B3" w:rsidR="00BC7676" w:rsidRPr="00CD3E5E" w:rsidRDefault="007D2D0B" w:rsidP="007D2D0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BF9E51" w14:textId="27811290" w:rsidR="00F1246E" w:rsidRDefault="00BC7676" w:rsidP="00BC7676">
      <w:pPr>
        <w:rPr>
          <w:rFonts w:ascii="Arial" w:hAnsi="Arial" w:cs="Arial"/>
        </w:rPr>
      </w:pPr>
      <w:r w:rsidRPr="00CD3E5E">
        <w:rPr>
          <w:rFonts w:ascii="Arial" w:hAnsi="Arial" w:cs="Arial"/>
        </w:rPr>
        <w:lastRenderedPageBreak/>
        <w:t xml:space="preserve">Supplementary material </w:t>
      </w:r>
      <w:r w:rsidR="00FE3B2C">
        <w:rPr>
          <w:rFonts w:ascii="Arial" w:hAnsi="Arial" w:cs="Arial"/>
        </w:rPr>
        <w:t>8</w:t>
      </w:r>
      <w:r w:rsidRPr="00CD3E5E">
        <w:rPr>
          <w:rFonts w:ascii="Arial" w:hAnsi="Arial" w:cs="Arial"/>
        </w:rPr>
        <w:t>: Correlation between CTSZ expression and small molecule/drug sensitivity (IC50) based on the CTRP database. IC50, half-inhibitory concentration. CTRP, Cancer Therapeutics Response Portal.</w:t>
      </w:r>
    </w:p>
    <w:p w14:paraId="6534F2B8" w14:textId="79D5E567" w:rsidR="007D2D0B" w:rsidRPr="00CD3E5E" w:rsidRDefault="007D2D0B" w:rsidP="00BC767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50233" wp14:editId="19D9E1AB">
            <wp:extent cx="5274310" cy="29673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D0B" w:rsidRPr="00CD3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E425" w14:textId="77777777" w:rsidR="00527E7E" w:rsidRDefault="00527E7E" w:rsidP="00BC7676">
      <w:r>
        <w:separator/>
      </w:r>
    </w:p>
  </w:endnote>
  <w:endnote w:type="continuationSeparator" w:id="0">
    <w:p w14:paraId="6C146278" w14:textId="77777777" w:rsidR="00527E7E" w:rsidRDefault="00527E7E" w:rsidP="00BC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A6D2" w14:textId="77777777" w:rsidR="00527E7E" w:rsidRDefault="00527E7E" w:rsidP="00BC7676">
      <w:r>
        <w:separator/>
      </w:r>
    </w:p>
  </w:footnote>
  <w:footnote w:type="continuationSeparator" w:id="0">
    <w:p w14:paraId="2CC5D878" w14:textId="77777777" w:rsidR="00527E7E" w:rsidRDefault="00527E7E" w:rsidP="00BC7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77"/>
    <w:rsid w:val="000C7E91"/>
    <w:rsid w:val="0014396F"/>
    <w:rsid w:val="00191726"/>
    <w:rsid w:val="0021351B"/>
    <w:rsid w:val="00292377"/>
    <w:rsid w:val="00474020"/>
    <w:rsid w:val="004C0AFE"/>
    <w:rsid w:val="004E48CD"/>
    <w:rsid w:val="00527E7E"/>
    <w:rsid w:val="007118DB"/>
    <w:rsid w:val="00762335"/>
    <w:rsid w:val="007751DE"/>
    <w:rsid w:val="007D2D0B"/>
    <w:rsid w:val="0088278E"/>
    <w:rsid w:val="008A6E4F"/>
    <w:rsid w:val="009A505A"/>
    <w:rsid w:val="00BA0611"/>
    <w:rsid w:val="00BA53D5"/>
    <w:rsid w:val="00BC7676"/>
    <w:rsid w:val="00BF4611"/>
    <w:rsid w:val="00BF7E14"/>
    <w:rsid w:val="00C7311A"/>
    <w:rsid w:val="00CB66DC"/>
    <w:rsid w:val="00CD3E5E"/>
    <w:rsid w:val="00D82E0E"/>
    <w:rsid w:val="00DE7C19"/>
    <w:rsid w:val="00E24C9E"/>
    <w:rsid w:val="00F1246E"/>
    <w:rsid w:val="00F13E35"/>
    <w:rsid w:val="00F74821"/>
    <w:rsid w:val="00F81B7B"/>
    <w:rsid w:val="00FE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3498E"/>
  <w15:chartTrackingRefBased/>
  <w15:docId w15:val="{4DCD0929-37BA-4D27-9775-43FA8F98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76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7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76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814492767@qq.com</dc:creator>
  <cp:keywords/>
  <dc:description/>
  <cp:lastModifiedBy>814492767@qq.com</cp:lastModifiedBy>
  <cp:revision>28</cp:revision>
  <dcterms:created xsi:type="dcterms:W3CDTF">2022-10-16T15:17:00Z</dcterms:created>
  <dcterms:modified xsi:type="dcterms:W3CDTF">2022-10-19T09:47:00Z</dcterms:modified>
</cp:coreProperties>
</file>