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9A7C" w14:textId="7C62FEB4" w:rsidR="00272BC1" w:rsidRPr="009F543D" w:rsidRDefault="00F805CA" w:rsidP="00F35F95">
      <w:pPr>
        <w:pStyle w:val="Caption"/>
        <w:spacing w:after="0"/>
        <w:rPr>
          <w:rFonts w:cstheme="minorHAnsi"/>
          <w:b/>
          <w:bCs/>
          <w:i w:val="0"/>
          <w:iCs w:val="0"/>
          <w:szCs w:val="24"/>
        </w:rPr>
      </w:pPr>
      <w:bookmarkStart w:id="0" w:name="_Toc86060997"/>
      <w:r w:rsidRPr="00F805CA">
        <w:rPr>
          <w:b/>
          <w:bCs/>
          <w:i w:val="0"/>
          <w:iCs w:val="0"/>
        </w:rPr>
        <w:t>Supplementary material</w:t>
      </w:r>
      <w:r w:rsidR="00F35F95">
        <w:rPr>
          <w:b/>
          <w:bCs/>
          <w:i w:val="0"/>
          <w:iCs w:val="0"/>
        </w:rPr>
        <w:t xml:space="preserve"> - </w:t>
      </w:r>
      <w:r w:rsidR="00272BC1" w:rsidRPr="009F543D">
        <w:rPr>
          <w:rFonts w:cstheme="minorHAnsi"/>
          <w:b/>
          <w:bCs/>
          <w:i w:val="0"/>
          <w:iCs w:val="0"/>
          <w:szCs w:val="24"/>
        </w:rPr>
        <w:t>Frailty and mortality risk in COPD: a cohort study comparing the Fried Frailty Phenotype and Short Physical Performance Battery</w:t>
      </w:r>
    </w:p>
    <w:p w14:paraId="5AFD247A" w14:textId="77777777" w:rsidR="00F805CA" w:rsidRDefault="00F805CA" w:rsidP="007D2C95">
      <w:pPr>
        <w:pStyle w:val="Caption"/>
        <w:spacing w:after="0"/>
      </w:pPr>
    </w:p>
    <w:p w14:paraId="41AADD71" w14:textId="25BCE72B" w:rsidR="007D2C95" w:rsidRPr="005D140D" w:rsidRDefault="007D2C95" w:rsidP="007D2C95">
      <w:pPr>
        <w:pStyle w:val="Caption"/>
        <w:spacing w:after="0"/>
        <w:rPr>
          <w:rFonts w:eastAsia="Calibri" w:cs="Arial"/>
          <w:color w:val="000000" w:themeColor="text1"/>
        </w:rPr>
      </w:pPr>
      <w:r w:rsidRPr="005D140D">
        <w:t xml:space="preserve">Table </w:t>
      </w:r>
      <w:r>
        <w:t>S</w:t>
      </w:r>
      <w:r w:rsidR="00F805CA">
        <w:t>1</w:t>
      </w:r>
      <w:r w:rsidRPr="005D140D">
        <w:t xml:space="preserve"> Measures for cohort study independent variables</w:t>
      </w:r>
      <w:bookmarkEnd w:id="0"/>
    </w:p>
    <w:tbl>
      <w:tblPr>
        <w:tblStyle w:val="TableGrid6"/>
        <w:tblW w:w="14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926"/>
        <w:gridCol w:w="5606"/>
        <w:gridCol w:w="2127"/>
        <w:gridCol w:w="3433"/>
      </w:tblGrid>
      <w:tr w:rsidR="007D2C95" w:rsidRPr="005D140D" w14:paraId="77E933FD" w14:textId="77777777" w:rsidTr="00EA17A2">
        <w:trPr>
          <w:cantSplit/>
          <w:tblHeader/>
        </w:trPr>
        <w:tc>
          <w:tcPr>
            <w:tcW w:w="1545" w:type="dxa"/>
            <w:tcBorders>
              <w:top w:val="single" w:sz="4" w:space="0" w:color="auto"/>
              <w:bottom w:val="single" w:sz="4" w:space="0" w:color="auto"/>
            </w:tcBorders>
            <w:shd w:val="clear" w:color="auto" w:fill="EDEDED"/>
          </w:tcPr>
          <w:p w14:paraId="52FDFDCF" w14:textId="77777777" w:rsidR="007D2C95" w:rsidRPr="005D140D" w:rsidRDefault="007D2C95" w:rsidP="00EA17A2">
            <w:pPr>
              <w:spacing w:line="240" w:lineRule="auto"/>
              <w:contextualSpacing/>
              <w:rPr>
                <w:rFonts w:ascii="Calibri" w:eastAsia="Calibri" w:hAnsi="Calibri" w:cs="Calibri"/>
                <w:b/>
                <w:bCs/>
                <w:lang w:eastAsia="en-GB"/>
              </w:rPr>
            </w:pPr>
            <w:r w:rsidRPr="005D140D">
              <w:rPr>
                <w:rFonts w:ascii="Calibri" w:eastAsia="Calibri" w:hAnsi="Calibri" w:cs="Calibri"/>
                <w:b/>
                <w:bCs/>
                <w:lang w:eastAsia="en-GB"/>
              </w:rPr>
              <w:t>Domain</w:t>
            </w:r>
          </w:p>
        </w:tc>
        <w:tc>
          <w:tcPr>
            <w:tcW w:w="1926" w:type="dxa"/>
            <w:tcBorders>
              <w:top w:val="single" w:sz="4" w:space="0" w:color="auto"/>
              <w:bottom w:val="single" w:sz="4" w:space="0" w:color="auto"/>
            </w:tcBorders>
            <w:shd w:val="clear" w:color="auto" w:fill="EDEDED"/>
          </w:tcPr>
          <w:p w14:paraId="74FECC28" w14:textId="77777777" w:rsidR="007D2C95" w:rsidRPr="005D140D" w:rsidRDefault="007D2C95" w:rsidP="00EA17A2">
            <w:pPr>
              <w:spacing w:line="240" w:lineRule="auto"/>
              <w:contextualSpacing/>
              <w:rPr>
                <w:rFonts w:ascii="Calibri" w:eastAsia="Calibri" w:hAnsi="Calibri" w:cs="Calibri"/>
                <w:b/>
                <w:bCs/>
                <w:lang w:eastAsia="en-GB"/>
              </w:rPr>
            </w:pPr>
            <w:r w:rsidRPr="005D140D">
              <w:rPr>
                <w:rFonts w:ascii="Calibri" w:eastAsia="Calibri" w:hAnsi="Calibri" w:cs="Calibri"/>
                <w:b/>
                <w:bCs/>
                <w:lang w:eastAsia="en-GB"/>
              </w:rPr>
              <w:t>Measure</w:t>
            </w:r>
          </w:p>
        </w:tc>
        <w:tc>
          <w:tcPr>
            <w:tcW w:w="5606" w:type="dxa"/>
            <w:tcBorders>
              <w:top w:val="single" w:sz="4" w:space="0" w:color="auto"/>
              <w:bottom w:val="single" w:sz="4" w:space="0" w:color="auto"/>
            </w:tcBorders>
            <w:shd w:val="clear" w:color="auto" w:fill="EDEDED"/>
          </w:tcPr>
          <w:p w14:paraId="6DEB1230" w14:textId="77777777" w:rsidR="007D2C95" w:rsidRPr="005D140D" w:rsidRDefault="007D2C95" w:rsidP="00EA17A2">
            <w:pPr>
              <w:spacing w:line="240" w:lineRule="auto"/>
              <w:contextualSpacing/>
              <w:rPr>
                <w:rFonts w:ascii="Calibri" w:eastAsia="Calibri" w:hAnsi="Calibri" w:cs="Calibri"/>
                <w:b/>
                <w:bCs/>
                <w:lang w:eastAsia="en-GB"/>
              </w:rPr>
            </w:pPr>
            <w:r w:rsidRPr="005D140D">
              <w:rPr>
                <w:rFonts w:ascii="Calibri" w:eastAsia="Calibri" w:hAnsi="Calibri" w:cs="Calibri"/>
                <w:b/>
                <w:bCs/>
                <w:lang w:eastAsia="en-GB"/>
              </w:rPr>
              <w:t xml:space="preserve">Description </w:t>
            </w:r>
          </w:p>
        </w:tc>
        <w:tc>
          <w:tcPr>
            <w:tcW w:w="2127" w:type="dxa"/>
            <w:tcBorders>
              <w:top w:val="single" w:sz="4" w:space="0" w:color="auto"/>
              <w:bottom w:val="single" w:sz="4" w:space="0" w:color="auto"/>
            </w:tcBorders>
            <w:shd w:val="clear" w:color="auto" w:fill="EDEDED"/>
          </w:tcPr>
          <w:p w14:paraId="6E25BEC9" w14:textId="77777777" w:rsidR="007D2C95" w:rsidRPr="005D140D" w:rsidRDefault="007D2C95" w:rsidP="00EA17A2">
            <w:pPr>
              <w:spacing w:line="240" w:lineRule="auto"/>
              <w:contextualSpacing/>
              <w:rPr>
                <w:rFonts w:ascii="Calibri" w:eastAsia="Calibri" w:hAnsi="Calibri" w:cs="Calibri"/>
                <w:b/>
                <w:bCs/>
                <w:lang w:eastAsia="en-GB"/>
              </w:rPr>
            </w:pPr>
            <w:r w:rsidRPr="005D140D">
              <w:rPr>
                <w:rFonts w:ascii="Calibri" w:eastAsia="Calibri" w:hAnsi="Calibri" w:cs="Calibri"/>
                <w:b/>
                <w:bCs/>
                <w:lang w:eastAsia="en-GB"/>
              </w:rPr>
              <w:t>Scale direction</w:t>
            </w:r>
          </w:p>
        </w:tc>
        <w:tc>
          <w:tcPr>
            <w:tcW w:w="3433" w:type="dxa"/>
            <w:tcBorders>
              <w:top w:val="single" w:sz="4" w:space="0" w:color="auto"/>
              <w:bottom w:val="single" w:sz="4" w:space="0" w:color="auto"/>
            </w:tcBorders>
            <w:shd w:val="clear" w:color="auto" w:fill="EDEDED"/>
          </w:tcPr>
          <w:p w14:paraId="39150EE5" w14:textId="77777777" w:rsidR="007D2C95" w:rsidRPr="005D140D" w:rsidRDefault="007D2C95" w:rsidP="00EA17A2">
            <w:pPr>
              <w:spacing w:line="240" w:lineRule="auto"/>
              <w:contextualSpacing/>
              <w:rPr>
                <w:rFonts w:ascii="Calibri" w:eastAsia="Calibri" w:hAnsi="Calibri" w:cs="Calibri"/>
                <w:b/>
                <w:bCs/>
                <w:lang w:eastAsia="en-GB"/>
              </w:rPr>
            </w:pPr>
            <w:r w:rsidRPr="005D140D">
              <w:rPr>
                <w:rFonts w:ascii="Calibri" w:eastAsia="Calibri" w:hAnsi="Calibri" w:cs="Calibri"/>
                <w:b/>
                <w:bCs/>
                <w:lang w:eastAsia="en-GB"/>
              </w:rPr>
              <w:t xml:space="preserve">MCIDs &amp; normative values: </w:t>
            </w:r>
          </w:p>
        </w:tc>
      </w:tr>
      <w:tr w:rsidR="007D2C95" w:rsidRPr="005D140D" w14:paraId="6C7E1151" w14:textId="77777777" w:rsidTr="00EA17A2">
        <w:trPr>
          <w:cantSplit/>
        </w:trPr>
        <w:tc>
          <w:tcPr>
            <w:tcW w:w="1545" w:type="dxa"/>
            <w:tcBorders>
              <w:top w:val="single" w:sz="4" w:space="0" w:color="auto"/>
            </w:tcBorders>
          </w:tcPr>
          <w:p w14:paraId="487C7815"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bCs/>
                <w:sz w:val="21"/>
                <w:szCs w:val="21"/>
                <w:lang w:eastAsia="en-GB"/>
              </w:rPr>
              <w:t>Lung Function</w:t>
            </w:r>
          </w:p>
          <w:p w14:paraId="6A178B2D" w14:textId="77777777" w:rsidR="007D2C95" w:rsidRPr="005D140D" w:rsidRDefault="007D2C95" w:rsidP="00EA17A2">
            <w:pPr>
              <w:spacing w:line="240" w:lineRule="auto"/>
              <w:contextualSpacing/>
              <w:rPr>
                <w:rFonts w:ascii="Calibri" w:eastAsia="Calibri" w:hAnsi="Calibri" w:cs="Calibri"/>
                <w:sz w:val="21"/>
                <w:szCs w:val="21"/>
                <w:lang w:eastAsia="en-GB"/>
              </w:rPr>
            </w:pPr>
          </w:p>
          <w:p w14:paraId="24433D7A" w14:textId="77777777" w:rsidR="007D2C95" w:rsidRPr="005D140D" w:rsidRDefault="007D2C95" w:rsidP="00EA17A2">
            <w:pPr>
              <w:spacing w:line="240" w:lineRule="auto"/>
              <w:contextualSpacing/>
              <w:rPr>
                <w:rFonts w:ascii="Calibri" w:eastAsia="Calibri" w:hAnsi="Calibri" w:cs="Calibri"/>
                <w:sz w:val="21"/>
                <w:szCs w:val="21"/>
                <w:lang w:eastAsia="en-GB"/>
              </w:rPr>
            </w:pPr>
          </w:p>
        </w:tc>
        <w:tc>
          <w:tcPr>
            <w:tcW w:w="1926" w:type="dxa"/>
            <w:tcBorders>
              <w:top w:val="single" w:sz="4" w:space="0" w:color="auto"/>
            </w:tcBorders>
          </w:tcPr>
          <w:p w14:paraId="429A3C06"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Percent-predicted forced expiratory volume in one second (FEV</w:t>
            </w:r>
            <w:r w:rsidRPr="005D140D">
              <w:rPr>
                <w:rFonts w:ascii="Calibri" w:eastAsia="Calibri" w:hAnsi="Calibri" w:cs="Calibri"/>
                <w:sz w:val="21"/>
                <w:szCs w:val="21"/>
                <w:vertAlign w:val="subscript"/>
                <w:lang w:eastAsia="en-GB"/>
              </w:rPr>
              <w:t>1</w:t>
            </w:r>
            <w:r w:rsidRPr="005D140D">
              <w:rPr>
                <w:rFonts w:ascii="Calibri" w:eastAsia="Calibri" w:hAnsi="Calibri" w:cs="Calibri"/>
                <w:sz w:val="21"/>
                <w:szCs w:val="21"/>
                <w:lang w:eastAsia="en-GB"/>
              </w:rPr>
              <w:t>% predicted)</w:t>
            </w:r>
          </w:p>
        </w:tc>
        <w:tc>
          <w:tcPr>
            <w:tcW w:w="5606" w:type="dxa"/>
            <w:tcBorders>
              <w:top w:val="single" w:sz="4" w:space="0" w:color="auto"/>
            </w:tcBorders>
          </w:tcPr>
          <w:p w14:paraId="31FD8FB1"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The volume of air exhaled in the first second of forced expiration after maximal inspiration, expressed as a percentage of the predicted volume based on population norms. </w:t>
            </w:r>
          </w:p>
        </w:tc>
        <w:tc>
          <w:tcPr>
            <w:tcW w:w="2127" w:type="dxa"/>
            <w:tcBorders>
              <w:top w:val="single" w:sz="4" w:space="0" w:color="auto"/>
            </w:tcBorders>
          </w:tcPr>
          <w:p w14:paraId="677E4726"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Higher values indicate better lung function.  </w:t>
            </w:r>
          </w:p>
        </w:tc>
        <w:tc>
          <w:tcPr>
            <w:tcW w:w="3433" w:type="dxa"/>
            <w:tcBorders>
              <w:top w:val="single" w:sz="4" w:space="0" w:color="auto"/>
            </w:tcBorders>
          </w:tcPr>
          <w:p w14:paraId="727C7270" w14:textId="42B10C3A"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MCID in COPD = 4%</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&lt;EndNote&gt;&lt;Cite&gt;&lt;Author&gt;Redelmeier&lt;/Author&gt;&lt;Year&gt;1996&lt;/Year&gt;&lt;RecNum&gt;3018&lt;/RecNum&gt;&lt;DisplayText&gt;[1]&lt;/DisplayText&gt;&lt;record&gt;&lt;rec-number&gt;3018&lt;/rec-number&gt;&lt;foreign-keys&gt;&lt;key app="EN" db-id="zp2wrvw9nr2dw7e9prcpvfa9vp5swwd29rw0" timestamp="1632390352"&gt;3018&lt;/key&gt;&lt;/foreign-keys&gt;&lt;ref-type name="Journal Article"&gt;17&lt;/ref-type&gt;&lt;contributors&gt;&lt;authors&gt;&lt;author&gt;Redelmeier, D. A.&lt;/author&gt;&lt;author&gt;Goldstein, R. S.&lt;/author&gt;&lt;author&gt;Min, S. T.&lt;/author&gt;&lt;author&gt;Hyland, R. H.&lt;/author&gt;&lt;/authors&gt;&lt;/contributors&gt;&lt;auth-address&gt;Department of Medicine, University of Toronto, Ontario, Canada.&lt;/auth-address&gt;&lt;titles&gt;&lt;title&gt;Spirometry and dyspnea in patients with COPD. When small differences mean little&lt;/title&gt;&lt;secondary-title&gt;Chest&lt;/secondary-title&gt;&lt;alt-title&gt;Chest&lt;/alt-title&gt;&lt;/titles&gt;&lt;periodical&gt;&lt;full-title&gt;Chest&lt;/full-title&gt;&lt;/periodical&gt;&lt;alt-periodical&gt;&lt;full-title&gt;Chest&lt;/full-title&gt;&lt;/alt-periodical&gt;&lt;pages&gt;1163-8&lt;/pages&gt;&lt;volume&gt;109&lt;/volume&gt;&lt;number&gt;5&lt;/number&gt;&lt;edition&gt;1996/05/01&lt;/edition&gt;&lt;keywords&gt;&lt;keyword&gt;Aged&lt;/keyword&gt;&lt;keyword&gt;Cross-Sectional Studies&lt;/keyword&gt;&lt;keyword&gt;Dyspnea/*etiology&lt;/keyword&gt;&lt;keyword&gt;Female&lt;/keyword&gt;&lt;keyword&gt;Forced Expiratory Volume&lt;/keyword&gt;&lt;keyword&gt;Humans&lt;/keyword&gt;&lt;keyword&gt;Lung Diseases, Obstructive/*diagnosis/physiopathology/rehabilitation&lt;/keyword&gt;&lt;keyword&gt;Male&lt;/keyword&gt;&lt;keyword&gt;Sensation&lt;/keyword&gt;&lt;keyword&gt;*Spirometry&lt;/keyword&gt;&lt;keyword&gt;Vital Capacity&lt;/keyword&gt;&lt;/keywords&gt;&lt;dates&gt;&lt;year&gt;1996&lt;/year&gt;&lt;pub-dates&gt;&lt;date&gt;May&lt;/date&gt;&lt;/pub-dates&gt;&lt;/dates&gt;&lt;isbn&gt;0012-3692 (Print)&amp;#xD;0012-3692&lt;/isbn&gt;&lt;accession-num&gt;8625661&lt;/accession-num&gt;&lt;urls&gt;&lt;/urls&gt;&lt;electronic-resource-num&gt;10.1378/chest.109.5.1163&lt;/electronic-resource-num&gt;&lt;remote-database-provider&gt;NLM&lt;/remote-database-provider&gt;&lt;language&gt;eng&lt;/languag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w:t>
            </w:r>
            <w:r w:rsidRPr="005D140D">
              <w:rPr>
                <w:rFonts w:ascii="Calibri" w:eastAsia="Calibri" w:hAnsi="Calibri" w:cs="Calibri"/>
                <w:sz w:val="21"/>
                <w:szCs w:val="21"/>
                <w:lang w:eastAsia="en-GB"/>
              </w:rPr>
              <w:fldChar w:fldCharType="end"/>
            </w:r>
          </w:p>
          <w:p w14:paraId="2B3F39A3" w14:textId="4B7BA7FA"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Classification of COPD severity uses the following thresholds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&lt;EndNote&gt;&lt;Cite&gt;&lt;Author&gt;Global Initiative for Chronic Obstructive Lung Disease&lt;/Author&gt;&lt;Year&gt;2010&lt;/Year&gt;&lt;RecNum&gt;3015&lt;/RecNum&gt;&lt;DisplayText&gt;[2]&lt;/DisplayText&gt;&lt;record&gt;&lt;rec-number&gt;3015&lt;/rec-number&gt;&lt;foreign-keys&gt;&lt;key app="EN" db-id="zp2wrvw9nr2dw7e9prcpvfa9vp5swwd29rw0" timestamp="1632237148"&gt;3015&lt;/key&gt;&lt;/foreign-keys&gt;&lt;ref-type name="Report"&gt;27&lt;/ref-type&gt;&lt;contributors&gt;&lt;authors&gt;&lt;author&gt;Global Initiative for Chronic Obstructive Lung Disease,&lt;/author&gt;&lt;/authors&gt;&lt;/contributors&gt;&lt;titles&gt;&lt;title&gt;Spirometry for health care providers&lt;/title&gt;&lt;/titles&gt;&lt;dates&gt;&lt;year&gt;2010&lt;/year&gt;&lt;/dates&gt;&lt;pub-location&gt;Retrieved from https://goldcopd.org/gold-spirometry-guide/ accessed 21 September 2021&lt;/pub-location&gt;&lt;urls&gt;&lt;/urls&gt;&lt;/record&gt;&lt;/Cite&gt;&lt;/EndNote&gt;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[2]</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w:t>
            </w:r>
          </w:p>
          <w:p w14:paraId="3392DAF0" w14:textId="77777777" w:rsidR="007D2C95" w:rsidRPr="005D140D" w:rsidRDefault="007D2C95" w:rsidP="007D2C95">
            <w:pPr>
              <w:pStyle w:val="ListParagraph"/>
              <w:numPr>
                <w:ilvl w:val="0"/>
                <w:numId w:val="1"/>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≥80% mild</w:t>
            </w:r>
          </w:p>
          <w:p w14:paraId="23E5EFEC" w14:textId="77777777" w:rsidR="007D2C95" w:rsidRPr="005D140D" w:rsidRDefault="007D2C95" w:rsidP="007D2C95">
            <w:pPr>
              <w:pStyle w:val="ListParagraph"/>
              <w:numPr>
                <w:ilvl w:val="0"/>
                <w:numId w:val="1"/>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&lt;80% moderate</w:t>
            </w:r>
          </w:p>
          <w:p w14:paraId="4731F631" w14:textId="77777777" w:rsidR="007D2C95" w:rsidRPr="005D140D" w:rsidRDefault="007D2C95" w:rsidP="007D2C95">
            <w:pPr>
              <w:pStyle w:val="ListParagraph"/>
              <w:numPr>
                <w:ilvl w:val="0"/>
                <w:numId w:val="1"/>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&lt;50% severe</w:t>
            </w:r>
          </w:p>
          <w:p w14:paraId="62BE9E40" w14:textId="77777777" w:rsidR="007D2C95" w:rsidRPr="005D140D" w:rsidRDefault="007D2C95" w:rsidP="007D2C95">
            <w:pPr>
              <w:pStyle w:val="ListParagraph"/>
              <w:numPr>
                <w:ilvl w:val="0"/>
                <w:numId w:val="1"/>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&lt;30% very severe</w:t>
            </w:r>
          </w:p>
          <w:p w14:paraId="45C9DF08" w14:textId="77777777" w:rsidR="007D2C95" w:rsidRPr="005D140D" w:rsidRDefault="007D2C95" w:rsidP="00EA17A2">
            <w:pPr>
              <w:spacing w:line="240" w:lineRule="auto"/>
              <w:contextualSpacing/>
              <w:rPr>
                <w:rFonts w:ascii="Calibri" w:eastAsia="Calibri" w:hAnsi="Calibri" w:cs="Calibri"/>
                <w:sz w:val="21"/>
                <w:szCs w:val="21"/>
                <w:lang w:eastAsia="en-GB"/>
              </w:rPr>
            </w:pPr>
          </w:p>
        </w:tc>
      </w:tr>
      <w:tr w:rsidR="007D2C95" w:rsidRPr="005D140D" w14:paraId="0E52DB5E" w14:textId="77777777" w:rsidTr="00EA17A2">
        <w:trPr>
          <w:cantSplit/>
        </w:trPr>
        <w:tc>
          <w:tcPr>
            <w:tcW w:w="1545" w:type="dxa"/>
            <w:shd w:val="clear" w:color="auto" w:fill="F2F2F2" w:themeFill="background1" w:themeFillShade="F2"/>
          </w:tcPr>
          <w:p w14:paraId="3B6B4158"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Breathlessness</w:t>
            </w:r>
          </w:p>
        </w:tc>
        <w:tc>
          <w:tcPr>
            <w:tcW w:w="1926" w:type="dxa"/>
            <w:shd w:val="clear" w:color="auto" w:fill="F2F2F2" w:themeFill="background1" w:themeFillShade="F2"/>
          </w:tcPr>
          <w:p w14:paraId="1CB69C9F" w14:textId="184553F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Medical Research Council (MRC) Dyspnoea</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&lt;EndNote&gt;&lt;Cite&gt;&lt;Author&gt;Medical Research Council&lt;/Author&gt;&lt;Year&gt;2021&lt;/Year&gt;&lt;RecNum&gt;2713&lt;/RecNum&gt;&lt;DisplayText&gt;[3]&lt;/DisplayText&gt;&lt;record&gt;&lt;rec-number&gt;2713&lt;/rec-number&gt;&lt;foreign-keys&gt;&lt;key app="EN" db-id="zp2wrvw9nr2dw7e9prcpvfa9vp5swwd29rw0" timestamp="1624889170"&gt;2713&lt;/key&gt;&lt;/foreign-keys&gt;&lt;ref-type name="Report"&gt;27&lt;/ref-type&gt;&lt;contributors&gt;&lt;authors&gt;&lt;author&gt;Medical Research Council,&lt;/author&gt;&lt;/authors&gt;&lt;/contributors&gt;&lt;titles&gt;&lt;title&gt;MRC Dyspnoea scale / MRC Breathlessness scale&lt;/title&gt;&lt;/titles&gt;&lt;dates&gt;&lt;year&gt;2021&lt;/year&gt;&lt;/dates&gt;&lt;pub-location&gt;Retrieved from https://mrc.ukri.org/research/facilities-and-resources-for-researchers/mrc-scales/mrc-dyspnoea-scale-mrc-breathlessness-scale/#definition, accessed 28 June 2021.&lt;/pub-location&gt;&lt;urls&gt;&lt;/urls&gt;&lt;/record&gt;&lt;/Cite&gt;&lt;/EndNote&gt;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[3]</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w:t>
            </w:r>
          </w:p>
        </w:tc>
        <w:tc>
          <w:tcPr>
            <w:tcW w:w="5606" w:type="dxa"/>
            <w:shd w:val="clear" w:color="auto" w:fill="F2F2F2" w:themeFill="background1" w:themeFillShade="F2"/>
          </w:tcPr>
          <w:p w14:paraId="24A33676"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This single item measure scores the self-reported impact of breathlessness from 1 (only breathless on exertion) to 5 (housebound due to breathlessness). </w:t>
            </w:r>
          </w:p>
          <w:p w14:paraId="246D1746" w14:textId="77777777" w:rsidR="007D2C95" w:rsidRPr="005D140D" w:rsidRDefault="007D2C95" w:rsidP="00EA17A2">
            <w:pPr>
              <w:spacing w:line="240" w:lineRule="auto"/>
              <w:contextualSpacing/>
              <w:rPr>
                <w:rFonts w:ascii="Calibri" w:eastAsia="Calibri" w:hAnsi="Calibri" w:cs="Calibri"/>
                <w:sz w:val="21"/>
                <w:szCs w:val="21"/>
                <w:lang w:eastAsia="en-GB"/>
              </w:rPr>
            </w:pPr>
          </w:p>
        </w:tc>
        <w:tc>
          <w:tcPr>
            <w:tcW w:w="2127" w:type="dxa"/>
            <w:shd w:val="clear" w:color="auto" w:fill="F2F2F2" w:themeFill="background1" w:themeFillShade="F2"/>
          </w:tcPr>
          <w:p w14:paraId="08229A12"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Higher scores indicate more severe breathlessness.  </w:t>
            </w:r>
          </w:p>
        </w:tc>
        <w:tc>
          <w:tcPr>
            <w:tcW w:w="3433" w:type="dxa"/>
            <w:shd w:val="clear" w:color="auto" w:fill="F2F2F2" w:themeFill="background1" w:themeFillShade="F2"/>
          </w:tcPr>
          <w:p w14:paraId="327D5C83"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w:t>
            </w:r>
          </w:p>
        </w:tc>
      </w:tr>
      <w:tr w:rsidR="007D2C95" w:rsidRPr="005D140D" w14:paraId="29B66F14" w14:textId="77777777" w:rsidTr="00EA17A2">
        <w:trPr>
          <w:cantSplit/>
        </w:trPr>
        <w:tc>
          <w:tcPr>
            <w:tcW w:w="1545" w:type="dxa"/>
          </w:tcPr>
          <w:p w14:paraId="1BB66D75"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Prognostic index</w:t>
            </w:r>
          </w:p>
        </w:tc>
        <w:tc>
          <w:tcPr>
            <w:tcW w:w="1926" w:type="dxa"/>
          </w:tcPr>
          <w:p w14:paraId="4091DFD8" w14:textId="2CF72558"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bCs/>
                <w:sz w:val="21"/>
                <w:szCs w:val="21"/>
                <w:lang w:eastAsia="en-GB"/>
              </w:rPr>
              <w:t>Updated Age, Dyspnoea, Obstruction (ADO) Index</w:t>
            </w:r>
            <w:r w:rsidRPr="005D140D">
              <w:rPr>
                <w:rFonts w:ascii="Calibri" w:eastAsia="Calibri" w:hAnsi="Calibri" w:cs="Calibri"/>
                <w:bCs/>
                <w:sz w:val="21"/>
                <w:szCs w:val="21"/>
                <w:lang w:eastAsia="en-GB"/>
              </w:rPr>
              <w:fldChar w:fldCharType="begin"/>
            </w:r>
            <w:r w:rsidR="00401EAF">
              <w:rPr>
                <w:rFonts w:ascii="Calibri" w:eastAsia="Calibri" w:hAnsi="Calibri" w:cs="Calibri"/>
                <w:bCs/>
                <w:sz w:val="21"/>
                <w:szCs w:val="21"/>
                <w:lang w:eastAsia="en-GB"/>
              </w:rPr>
              <w:instrText xml:space="preserve"> ADDIN EN.CITE &lt;EndNote&gt;&lt;Cite&gt;&lt;Author&gt;Puhan&lt;/Author&gt;&lt;Year&gt;2012&lt;/Year&gt;&lt;RecNum&gt;2438&lt;/RecNum&gt;&lt;DisplayText&gt;[4]&lt;/DisplayText&gt;&lt;record&gt;&lt;rec-number&gt;2438&lt;/rec-number&gt;&lt;foreign-keys&gt;&lt;key app="EN" db-id="zp2wrvw9nr2dw7e9prcpvfa9vp5swwd29rw0" timestamp="1616595684"&gt;2438&lt;/key&gt;&lt;/foreign-keys&gt;&lt;ref-type name="Journal Article"&gt;17&lt;/ref-type&gt;&lt;contributors&gt;&lt;authors&gt;&lt;author&gt;Puhan, M. A.&lt;/author&gt;&lt;author&gt;Hansel, N. N.&lt;/author&gt;&lt;author&gt;Sobradillo, P.&lt;/author&gt;&lt;author&gt;Enright, P.&lt;/author&gt;&lt;author&gt;Lange, P.&lt;/author&gt;&lt;author&gt;Hickson, D.&lt;/author&gt;&lt;author&gt;Menezes, A. M.&lt;/author&gt;&lt;author&gt;ter Riet, G.&lt;/author&gt;&lt;author&gt;Held, U.&lt;/author&gt;&lt;author&gt;Domingo-Salvany, A.&lt;/author&gt;&lt;author&gt;Mosenifar, Z.&lt;/author&gt;&lt;author&gt;Anto, J. M.&lt;/author&gt;&lt;author&gt;Moons, K. G.&lt;/author&gt;&lt;author&gt;Kessels, A.&lt;/author&gt;&lt;author&gt;Garcia-Aymerich, J.&lt;/author&gt;&lt;author&gt;International, Copd Cohorts Collaboration Working Group&lt;/author&gt;&lt;/authors&gt;&lt;/contributors&gt;&lt;auth-address&gt;Department of Epidemiology, Johns Hopkins Bloomberg School of Public Health, Baltimore, Maryland, USA.&lt;/auth-address&gt;&lt;titles&gt;&lt;title&gt;Large-scale international validation of the ADO index in subjects with COPD: an individual subject data analysis of 10 cohorts&lt;/title&gt;&lt;secondary-title&gt;BMJ Open&lt;/secondary-title&gt;&lt;/titles&gt;&lt;periodical&gt;&lt;full-title&gt;Bmj Open&lt;/full-title&gt;&lt;abbr-1&gt;Bmj Open&lt;/abbr-1&gt;&lt;/periodical&gt;&lt;volume&gt;2&lt;/volume&gt;&lt;number&gt;6&lt;/number&gt;&lt;dates&gt;&lt;year&gt;2012&lt;/year&gt;&lt;/dates&gt;&lt;isbn&gt;2044-6055 (Electronic)&amp;#xD;2044-6055 (Linking)&lt;/isbn&gt;&lt;accession-num&gt;23242246&lt;/accession-num&gt;&lt;urls&gt;&lt;related-urls&gt;&lt;url&gt;https://www.ncbi.nlm.nih.gov/pubmed/23242246&lt;/url&gt;&lt;/related-urls&gt;&lt;/urls&gt;&lt;custom2&gt;PMC3533065&lt;/custom2&gt;&lt;electronic-resource-num&gt;http://dx.doi.org/10.1136/bmjopen-2012-002152&lt;/electronic-resource-num&gt;&lt;/record&gt;&lt;/Cite&gt;&lt;/EndNote&gt;</w:instrText>
            </w:r>
            <w:r w:rsidRPr="005D140D">
              <w:rPr>
                <w:rFonts w:ascii="Calibri" w:eastAsia="Calibri" w:hAnsi="Calibri" w:cs="Calibri"/>
                <w:bCs/>
                <w:sz w:val="21"/>
                <w:szCs w:val="21"/>
                <w:lang w:eastAsia="en-GB"/>
              </w:rPr>
              <w:fldChar w:fldCharType="separate"/>
            </w:r>
            <w:r w:rsidR="00401EAF">
              <w:rPr>
                <w:rFonts w:ascii="Calibri" w:eastAsia="Calibri" w:hAnsi="Calibri" w:cs="Calibri"/>
                <w:bCs/>
                <w:noProof/>
                <w:sz w:val="21"/>
                <w:szCs w:val="21"/>
                <w:lang w:eastAsia="en-GB"/>
              </w:rPr>
              <w:t>[4]</w:t>
            </w:r>
            <w:r w:rsidRPr="005D140D">
              <w:rPr>
                <w:rFonts w:ascii="Calibri" w:eastAsia="Calibri" w:hAnsi="Calibri" w:cs="Calibri"/>
                <w:bCs/>
                <w:sz w:val="21"/>
                <w:szCs w:val="21"/>
                <w:lang w:eastAsia="en-GB"/>
              </w:rPr>
              <w:fldChar w:fldCharType="end"/>
            </w:r>
          </w:p>
        </w:tc>
        <w:tc>
          <w:tcPr>
            <w:tcW w:w="5606" w:type="dxa"/>
          </w:tcPr>
          <w:p w14:paraId="3745401B"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This index assigns points depending on:</w:t>
            </w:r>
          </w:p>
          <w:p w14:paraId="76B90F17" w14:textId="77777777" w:rsidR="007D2C95" w:rsidRPr="005D140D" w:rsidRDefault="007D2C95" w:rsidP="007D2C95">
            <w:pPr>
              <w:pStyle w:val="ListParagraph"/>
              <w:numPr>
                <w:ilvl w:val="0"/>
                <w:numId w:val="4"/>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FEV</w:t>
            </w:r>
            <w:r w:rsidRPr="005D140D">
              <w:rPr>
                <w:rFonts w:ascii="Calibri" w:eastAsia="Calibri" w:hAnsi="Calibri" w:cs="Calibri"/>
                <w:sz w:val="21"/>
                <w:szCs w:val="21"/>
                <w:vertAlign w:val="subscript"/>
                <w:lang w:eastAsia="en-GB"/>
              </w:rPr>
              <w:t>1</w:t>
            </w:r>
            <w:r w:rsidRPr="005D140D">
              <w:rPr>
                <w:rFonts w:ascii="Calibri" w:eastAsia="Calibri" w:hAnsi="Calibri" w:cs="Calibri"/>
                <w:sz w:val="21"/>
                <w:szCs w:val="21"/>
                <w:lang w:eastAsia="en-GB"/>
              </w:rPr>
              <w:t>% predicted (≥81% =0, 65% to 80%=1, 51% to 64%=2, 36% to 50%=3, ≤35% =4)</w:t>
            </w:r>
          </w:p>
          <w:p w14:paraId="3484E9E8" w14:textId="77777777" w:rsidR="007D2C95" w:rsidRPr="005D140D" w:rsidRDefault="007D2C95" w:rsidP="007D2C95">
            <w:pPr>
              <w:pStyle w:val="ListParagraph"/>
              <w:numPr>
                <w:ilvl w:val="0"/>
                <w:numId w:val="4"/>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MRC dyspnoea (0=0, 1 to 2=1, 3=2, 4=3)*</w:t>
            </w:r>
          </w:p>
          <w:p w14:paraId="6A0E2931" w14:textId="77777777" w:rsidR="007D2C95" w:rsidRPr="005D140D" w:rsidRDefault="007D2C95" w:rsidP="007D2C95">
            <w:pPr>
              <w:pStyle w:val="ListParagraph"/>
              <w:numPr>
                <w:ilvl w:val="0"/>
                <w:numId w:val="4"/>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Age in years (40 to 49=0, 50 to 59=2, 60 to 69=4, 70 to 79=5, ≥80 =7). </w:t>
            </w:r>
          </w:p>
          <w:p w14:paraId="3C4F3AAE"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These are summed to create a create a total score from 0-14. </w:t>
            </w:r>
          </w:p>
          <w:p w14:paraId="468B050B" w14:textId="77777777" w:rsidR="007D2C95" w:rsidRPr="005D140D" w:rsidRDefault="007D2C95" w:rsidP="00EA17A2">
            <w:pPr>
              <w:spacing w:line="240" w:lineRule="auto"/>
              <w:contextualSpacing/>
              <w:rPr>
                <w:rFonts w:ascii="Calibri" w:eastAsia="Calibri" w:hAnsi="Calibri" w:cs="Calibri"/>
                <w:sz w:val="21"/>
                <w:szCs w:val="21"/>
                <w:lang w:eastAsia="en-GB"/>
              </w:rPr>
            </w:pPr>
          </w:p>
        </w:tc>
        <w:tc>
          <w:tcPr>
            <w:tcW w:w="2127" w:type="dxa"/>
          </w:tcPr>
          <w:p w14:paraId="5E4D5D0C"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greater mortality risk.</w:t>
            </w:r>
          </w:p>
        </w:tc>
        <w:tc>
          <w:tcPr>
            <w:tcW w:w="3433" w:type="dxa"/>
          </w:tcPr>
          <w:p w14:paraId="58F77E55"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w:t>
            </w:r>
          </w:p>
        </w:tc>
      </w:tr>
      <w:tr w:rsidR="007D2C95" w:rsidRPr="005D140D" w14:paraId="3426956E" w14:textId="77777777" w:rsidTr="00EA17A2">
        <w:trPr>
          <w:cantSplit/>
        </w:trPr>
        <w:tc>
          <w:tcPr>
            <w:tcW w:w="1545" w:type="dxa"/>
            <w:shd w:val="clear" w:color="auto" w:fill="F2F2F2" w:themeFill="background1" w:themeFillShade="F2"/>
          </w:tcPr>
          <w:p w14:paraId="56D010D4"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Body Mass Index</w:t>
            </w:r>
          </w:p>
        </w:tc>
        <w:tc>
          <w:tcPr>
            <w:tcW w:w="1926" w:type="dxa"/>
            <w:shd w:val="clear" w:color="auto" w:fill="F2F2F2" w:themeFill="background1" w:themeFillShade="F2"/>
          </w:tcPr>
          <w:p w14:paraId="0722888F"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Body Mass Index (BMI)</w:t>
            </w:r>
          </w:p>
        </w:tc>
        <w:tc>
          <w:tcPr>
            <w:tcW w:w="5606" w:type="dxa"/>
            <w:shd w:val="clear" w:color="auto" w:fill="F2F2F2" w:themeFill="background1" w:themeFillShade="F2"/>
          </w:tcPr>
          <w:p w14:paraId="52DD8CDF"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This index is calculated using weight in kilograms, divided by a person’s height in metres squared. </w:t>
            </w:r>
          </w:p>
        </w:tc>
        <w:tc>
          <w:tcPr>
            <w:tcW w:w="2127" w:type="dxa"/>
            <w:shd w:val="clear" w:color="auto" w:fill="F2F2F2" w:themeFill="background1" w:themeFillShade="F2"/>
          </w:tcPr>
          <w:p w14:paraId="18722653"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Higher scores can indicate higher body fatness. </w:t>
            </w:r>
          </w:p>
        </w:tc>
        <w:tc>
          <w:tcPr>
            <w:tcW w:w="3433" w:type="dxa"/>
            <w:shd w:val="clear" w:color="auto" w:fill="F2F2F2" w:themeFill="background1" w:themeFillShade="F2"/>
          </w:tcPr>
          <w:p w14:paraId="6E34F36D" w14:textId="2A232A8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The National Health Service defines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&lt;EndNote&gt;&lt;Cite&gt;&lt;Author&gt;National Health Service&lt;/Author&gt;&lt;Year&gt;2019&lt;/Year&gt;&lt;RecNum&gt;2712&lt;/RecNum&gt;&lt;DisplayText&gt;[5]&lt;/DisplayText&gt;&lt;record&gt;&lt;rec-number&gt;2712&lt;/rec-number&gt;&lt;foreign-keys&gt;&lt;key app="EN" db-id="zp2wrvw9nr2dw7e9prcpvfa9vp5swwd29rw0" timestamp="1624888579"&gt;2712&lt;/key&gt;&lt;/foreign-keys&gt;&lt;ref-type name="Report"&gt;27&lt;/ref-type&gt;&lt;contributors&gt;&lt;authors&gt;&lt;author&gt;National Health Service,&lt;/author&gt;&lt;/authors&gt;&lt;/contributors&gt;&lt;titles&gt;&lt;title&gt;What is the body mass index (BMI)?&lt;/title&gt;&lt;/titles&gt;&lt;dates&gt;&lt;year&gt;2019&lt;/year&gt;&lt;/dates&gt;&lt;pub-location&gt;Retrieved from https://www.nhs.uk/common-health-questions/lifestyle/what-is-the-body-mass-index-bmi/, accessed 28 June 2021.&lt;/pub-location&gt;&lt;urls&gt;&lt;/urls&gt;&lt;/record&gt;&lt;/Cite&gt;&lt;/EndNote&gt;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[5]</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BMI scores as: </w:t>
            </w:r>
          </w:p>
          <w:p w14:paraId="006B7C0F" w14:textId="77777777" w:rsidR="007D2C95" w:rsidRPr="005D140D" w:rsidRDefault="007D2C95" w:rsidP="007D2C95">
            <w:pPr>
              <w:pStyle w:val="ListParagraph"/>
              <w:numPr>
                <w:ilvl w:val="0"/>
                <w:numId w:val="2"/>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&gt;18.5 underweight</w:t>
            </w:r>
          </w:p>
          <w:p w14:paraId="36830ED0" w14:textId="77777777" w:rsidR="007D2C95" w:rsidRPr="005D140D" w:rsidRDefault="007D2C95" w:rsidP="007D2C95">
            <w:pPr>
              <w:pStyle w:val="ListParagraph"/>
              <w:numPr>
                <w:ilvl w:val="0"/>
                <w:numId w:val="2"/>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18.5 to 24.9 healthy</w:t>
            </w:r>
          </w:p>
          <w:p w14:paraId="5CDC005A" w14:textId="77777777" w:rsidR="007D2C95" w:rsidRPr="005D140D" w:rsidRDefault="007D2C95" w:rsidP="007D2C95">
            <w:pPr>
              <w:pStyle w:val="ListParagraph"/>
              <w:numPr>
                <w:ilvl w:val="0"/>
                <w:numId w:val="2"/>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25 to 29.9 overweight</w:t>
            </w:r>
          </w:p>
          <w:p w14:paraId="7F066A3D" w14:textId="77777777" w:rsidR="007D2C95" w:rsidRPr="005D140D" w:rsidRDefault="007D2C95" w:rsidP="007D2C95">
            <w:pPr>
              <w:pStyle w:val="ListParagraph"/>
              <w:numPr>
                <w:ilvl w:val="0"/>
                <w:numId w:val="2"/>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30 to 39.9 obese. </w:t>
            </w:r>
          </w:p>
        </w:tc>
      </w:tr>
      <w:tr w:rsidR="007D2C95" w:rsidRPr="005D140D" w14:paraId="552A7753" w14:textId="77777777" w:rsidTr="00EA17A2">
        <w:trPr>
          <w:cantSplit/>
        </w:trPr>
        <w:tc>
          <w:tcPr>
            <w:tcW w:w="1545" w:type="dxa"/>
          </w:tcPr>
          <w:p w14:paraId="473F6CC2"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lastRenderedPageBreak/>
              <w:t xml:space="preserve">Comorbidities </w:t>
            </w:r>
          </w:p>
        </w:tc>
        <w:tc>
          <w:tcPr>
            <w:tcW w:w="1926" w:type="dxa"/>
          </w:tcPr>
          <w:p w14:paraId="673C3979" w14:textId="2E318B6F"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Age-adjusted Charlson comorbidity index</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&lt;EndNote&gt;&lt;Cite&gt;&lt;Author&gt;Charlson&lt;/Author&gt;&lt;Year&gt;1994&lt;/Year&gt;&lt;RecNum&gt;2710&lt;/RecNum&gt;&lt;DisplayText&gt;[6]&lt;/DisplayText&gt;&lt;record&gt;&lt;rec-number&gt;2710&lt;/rec-number&gt;&lt;foreign-keys&gt;&lt;key app="EN" db-id="zp2wrvw9nr2dw7e9prcpvfa9vp5swwd29rw0" timestamp="1624881520"&gt;2710&lt;/key&gt;&lt;/foreign-keys&gt;&lt;ref-type name="Journal Article"&gt;17&lt;/ref-type&gt;&lt;contributors&gt;&lt;authors&gt;&lt;author&gt;Charlson, M.&lt;/author&gt;&lt;author&gt;Szatrowski, T. P.&lt;/author&gt;&lt;author&gt;Peterson, J.&lt;/author&gt;&lt;author&gt;Gold, J.&lt;/author&gt;&lt;/authors&gt;&lt;/contributors&gt;&lt;auth-address&gt;Department of Medicine, Cornell Arthritis and Musculoskeletal Disease Center, Hospital for Special Surgery, New York, NY, USA.&lt;/auth-address&gt;&lt;titles&gt;&lt;title&gt;Validation of a combined comorbidity index&lt;/title&gt;&lt;secondary-title&gt;Journal of Clinical Epidemiology&lt;/secondary-title&gt;&lt;alt-title&gt;Journal of clinical epidemiology&lt;/alt-title&gt;&lt;/titles&gt;&lt;periodical&gt;&lt;full-title&gt;Journal of Clinical Epidemiology&lt;/full-title&gt;&lt;abbr-1&gt;Journal of clinical epidemiology&lt;/abbr-1&gt;&lt;/periodical&gt;&lt;alt-periodical&gt;&lt;full-title&gt;Journal of Clinical Epidemiology&lt;/full-title&gt;&lt;abbr-1&gt;Journal of clinical epidemiology&lt;/abbr-1&gt;&lt;/alt-periodical&gt;&lt;pages&gt;1245-51&lt;/pages&gt;&lt;volume&gt;47&lt;/volume&gt;&lt;number&gt;11&lt;/number&gt;&lt;edition&gt;1994/11/01&lt;/edition&gt;&lt;keywords&gt;&lt;keyword&gt;Age Factors&lt;/keyword&gt;&lt;keyword&gt;Cohort Studies&lt;/keyword&gt;&lt;keyword&gt;*Comorbidity&lt;/keyword&gt;&lt;keyword&gt;Humans&lt;/keyword&gt;&lt;keyword&gt;Models, Theoretical&lt;/keyword&gt;&lt;keyword&gt;*Mortality&lt;/keyword&gt;&lt;keyword&gt;Prognosis&lt;/keyword&gt;&lt;keyword&gt;Proportional Hazards Models&lt;/keyword&gt;&lt;keyword&gt;Reproducibility of Results&lt;/keyword&gt;&lt;keyword&gt;Risk&lt;/keyword&gt;&lt;keyword&gt;Survival Analysis&lt;/keyword&gt;&lt;/keywords&gt;&lt;dates&gt;&lt;year&gt;1994&lt;/year&gt;&lt;pub-dates&gt;&lt;date&gt;Nov&lt;/date&gt;&lt;/pub-dates&gt;&lt;/dates&gt;&lt;isbn&gt;0895-4356 (Print)&amp;#xD;0895-4356&lt;/isbn&gt;&lt;accession-num&gt;7722560&lt;/accession-num&gt;&lt;urls&gt;&lt;/urls&gt;&lt;electronic-resource-num&gt;10.1016/0895-4356(94)90129-5&lt;/electronic-resource-num&gt;&lt;remote-database-provider&gt;NLM&lt;/remote-database-provider&gt;&lt;language&gt;eng&lt;/languag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[6]</w:t>
            </w:r>
            <w:r w:rsidRPr="005D140D">
              <w:rPr>
                <w:rFonts w:ascii="Calibri" w:eastAsia="Calibri" w:hAnsi="Calibri" w:cs="Calibri"/>
                <w:sz w:val="21"/>
                <w:szCs w:val="21"/>
                <w:lang w:eastAsia="en-GB"/>
              </w:rPr>
              <w:fldChar w:fldCharType="end"/>
            </w:r>
          </w:p>
        </w:tc>
        <w:tc>
          <w:tcPr>
            <w:tcW w:w="5606" w:type="dxa"/>
          </w:tcPr>
          <w:p w14:paraId="0C75BF7C" w14:textId="57C6B9F2"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This index assigns scores (1,2,3 or 6) to specific comorbidities based on mortality risk</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&lt;EndNote&gt;&lt;Cite&gt;&lt;Author&gt;Charlson&lt;/Author&gt;&lt;Year&gt;1987&lt;/Year&gt;&lt;RecNum&gt;2711&lt;/RecNum&gt;&lt;DisplayText&gt;[7]&lt;/DisplayText&gt;&lt;record&gt;&lt;rec-number&gt;2711&lt;/rec-number&gt;&lt;foreign-keys&gt;&lt;key app="EN" db-id="zp2wrvw9nr2dw7e9prcpvfa9vp5swwd29rw0" timestamp="1624881520"&gt;2711&lt;/key&gt;&lt;/foreign-keys&gt;&lt;ref-type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Dis&lt;/secondary-title&gt;&lt;alt-title&gt;Journal of chronic diseases&lt;/alt-title&gt;&lt;/titles&gt;&lt;periodical&gt;&lt;full-title&gt;J Chronic Dis&lt;/full-title&gt;&lt;abbr-1&gt;Journal of chronic diseases&lt;/abbr-1&gt;&lt;/periodical&gt;&lt;alt-periodical&gt;&lt;full-title&gt;J Chronic Dis&lt;/full-title&gt;&lt;abbr-1&gt;Journal of chronic diseases&lt;/abbr-1&gt;&lt;/alt-periodical&gt;&lt;pages&gt;373-83&lt;/pages&gt;&lt;volume&gt;40&lt;/volume&gt;&lt;number&gt;5&lt;/number&gt;&lt;edition&gt;1987/01/01&lt;/edition&gt;&lt;keywords&gt;&lt;keyword&gt;Actuarial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electronic-resource-num&gt;10.1016/0021-9681(87)90171-8&lt;/electronic-resource-num&gt;&lt;remote-database-provider&gt;NLM&lt;/remote-database-provider&gt;&lt;language&gt;eng&lt;/languag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[7]</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For example, 1 point for diabetes, 2 points for any tumour, 3 points for moderate or severe liver disease, and 6 points for metastatic solid tumours. Additional points are then added for each decade aged over 40 years. </w:t>
            </w:r>
          </w:p>
        </w:tc>
        <w:tc>
          <w:tcPr>
            <w:tcW w:w="2127" w:type="dxa"/>
          </w:tcPr>
          <w:p w14:paraId="1C3FBA70"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greater burden of comorbidities and mortality risk.</w:t>
            </w:r>
          </w:p>
        </w:tc>
        <w:tc>
          <w:tcPr>
            <w:tcW w:w="3433" w:type="dxa"/>
          </w:tcPr>
          <w:p w14:paraId="53E00B9D"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 </w:t>
            </w:r>
          </w:p>
        </w:tc>
      </w:tr>
      <w:tr w:rsidR="007D2C95" w:rsidRPr="005D140D" w14:paraId="002A97B7" w14:textId="77777777" w:rsidTr="00EA17A2">
        <w:trPr>
          <w:cantSplit/>
        </w:trPr>
        <w:tc>
          <w:tcPr>
            <w:tcW w:w="1545" w:type="dxa"/>
            <w:shd w:val="clear" w:color="auto" w:fill="F2F2F2" w:themeFill="background1" w:themeFillShade="F2"/>
          </w:tcPr>
          <w:p w14:paraId="59309D91"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 xml:space="preserve">Exercise Capacity </w:t>
            </w:r>
          </w:p>
        </w:tc>
        <w:tc>
          <w:tcPr>
            <w:tcW w:w="1926" w:type="dxa"/>
            <w:shd w:val="clear" w:color="auto" w:fill="F2F2F2" w:themeFill="background1" w:themeFillShade="F2"/>
          </w:tcPr>
          <w:p w14:paraId="3919AB87" w14:textId="3915F5D3"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Incremental Shuttle Walk Test (ISWT)</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&lt;EndNote&gt;&lt;Cite&gt;&lt;Author&gt;Singh&lt;/Author&gt;&lt;Year&gt;1992&lt;/Year&gt;&lt;RecNum&gt;2716&lt;/RecNum&gt;&lt;DisplayText&gt;[8]&lt;/DisplayText&gt;&lt;record&gt;&lt;rec-number&gt;2716&lt;/rec-number&gt;&lt;foreign-keys&gt;&lt;key app="EN" db-id="zp2wrvw9nr2dw7e9prcpvfa9vp5swwd29rw0" timestamp="1624890603"&gt;2716&lt;/key&gt;&lt;/foreign-keys&gt;&lt;ref-type name="Journal Article"&gt;17&lt;/ref-type&gt;&lt;contributors&gt;&lt;authors&gt;&lt;author&gt;Singh, S. J.&lt;/author&gt;&lt;author&gt;Morgan, M. D.&lt;/author&gt;&lt;author&gt;Scott, S.&lt;/author&gt;&lt;author&gt;Walters, D.&lt;/author&gt;&lt;author&gt;Hardman, A. E.&lt;/author&gt;&lt;/authors&gt;&lt;/contributors&gt;&lt;titles&gt;&lt;title&gt;Development of a shuttle walking test of disability in patients with chronic airways obstruction&lt;/title&gt;&lt;secondary-title&gt;Thorax&lt;/secondary-title&gt;&lt;/titles&gt;&lt;periodical&gt;&lt;full-title&gt;Thorax&lt;/full-title&gt;&lt;abbr-1&gt;Thorax&lt;/abbr-1&gt;&lt;abbr-2&gt;Thorax&lt;/abbr-2&gt;&lt;/periodical&gt;&lt;pages&gt;1019&lt;/pages&gt;&lt;volume&gt;47&lt;/volume&gt;&lt;number&gt;12&lt;/number&gt;&lt;dates&gt;&lt;year&gt;1992&lt;/year&gt;&lt;/dates&gt;&lt;urls&gt;&lt;related-urls&gt;&lt;url&gt;http://thorax.bmj.com/content/47/12/1019.abstract&lt;/url&gt;&lt;/related-urls&gt;&lt;/urls&gt;&lt;electronic-resource-num&gt;10.1136/thx.47.12.1019&lt;/electronic-resource-num&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[8]</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w:t>
            </w:r>
          </w:p>
        </w:tc>
        <w:tc>
          <w:tcPr>
            <w:tcW w:w="5606" w:type="dxa"/>
            <w:shd w:val="clear" w:color="auto" w:fill="F2F2F2" w:themeFill="background1" w:themeFillShade="F2"/>
          </w:tcPr>
          <w:p w14:paraId="28D62A71"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In this physical test the participant walks around two cones set 9 metres apart, in time to auditory beeps. The beeps increase in speed as the test progresses. The result is the distance in metres the participant can walk before becoming too breathlessness, or unable to keep up with the beeps.</w:t>
            </w:r>
            <w:r w:rsidRPr="005D140D" w:rsidDel="006B1E81">
              <w:rPr>
                <w:rFonts w:ascii="Calibri" w:eastAsia="Calibri" w:hAnsi="Calibri" w:cs="Calibri"/>
                <w:sz w:val="21"/>
                <w:szCs w:val="21"/>
                <w:lang w:eastAsia="en-GB"/>
              </w:rPr>
              <w:t xml:space="preserve"> </w:t>
            </w:r>
          </w:p>
          <w:p w14:paraId="3B270712" w14:textId="77777777" w:rsidR="007D2C95" w:rsidRPr="005D140D" w:rsidRDefault="007D2C95" w:rsidP="00EA17A2">
            <w:pPr>
              <w:spacing w:line="240" w:lineRule="auto"/>
              <w:contextualSpacing/>
              <w:rPr>
                <w:rFonts w:ascii="Calibri" w:eastAsia="Calibri" w:hAnsi="Calibri" w:cs="Calibri"/>
                <w:sz w:val="10"/>
                <w:szCs w:val="10"/>
                <w:lang w:eastAsia="en-GB"/>
              </w:rPr>
            </w:pPr>
          </w:p>
        </w:tc>
        <w:tc>
          <w:tcPr>
            <w:tcW w:w="2127" w:type="dxa"/>
            <w:shd w:val="clear" w:color="auto" w:fill="F2F2F2" w:themeFill="background1" w:themeFillShade="F2"/>
          </w:tcPr>
          <w:p w14:paraId="63470518"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higher exercise capacity.</w:t>
            </w:r>
          </w:p>
        </w:tc>
        <w:tc>
          <w:tcPr>
            <w:tcW w:w="3433" w:type="dxa"/>
            <w:shd w:val="clear" w:color="auto" w:fill="F2F2F2" w:themeFill="background1" w:themeFillShade="F2"/>
          </w:tcPr>
          <w:p w14:paraId="369B5577" w14:textId="30430BEC"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MCID in COPD: 48 metres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&lt;EndNote&gt;&lt;Cite&gt;&lt;Author&gt;Singh&lt;/Author&gt;&lt;Year&gt;2008&lt;/Year&gt;&lt;RecNum&gt;6061&lt;/RecNum&gt;&lt;DisplayText&gt;[9]&lt;/DisplayText&gt;&lt;record&gt;&lt;rec-number&gt;6061&lt;/rec-number&gt;&lt;foreign-keys&gt;&lt;key app="EN" db-id="zp2wrvw9nr2dw7e9prcpvfa9vp5swwd29rw0" timestamp="1650634135"&gt;6061&lt;/key&gt;&lt;/foreign-keys&gt;&lt;ref-type name="Journal Article"&gt;17&lt;/ref-type&gt;&lt;contributors&gt;&lt;authors&gt;&lt;author&gt;Singh, S. J.&lt;/author&gt;&lt;author&gt;Jones, P. W.&lt;/author&gt;&lt;author&gt;Evans, R.&lt;/author&gt;&lt;author&gt;Morgan, M. D.&lt;/author&gt;&lt;/authors&gt;&lt;/contributors&gt;&lt;auth-address&gt;Pulmonary Rehabilitation Research Group, Department of Respiratory Medicine and Thoracic Surgery, Glenfield Hospital, University Hospitals of Leicester NHS Trust, Groby Road, Leicester LE3 9QP, UK. sally.singh@uhl-tr.nhs.uk&lt;/auth-address&gt;&lt;titles&gt;&lt;title&gt;Minimum clinically important improvement for the incremental shuttle walking test&lt;/title&gt;&lt;secondary-title&gt;Thorax&lt;/secondary-title&gt;&lt;/titles&gt;&lt;periodical&gt;&lt;full-title&gt;Thorax&lt;/full-title&gt;&lt;abbr-1&gt;Thorax&lt;/abbr-1&gt;&lt;abbr-2&gt;Thorax&lt;/abbr-2&gt;&lt;/periodical&gt;&lt;pages&gt;775-7&lt;/pages&gt;&lt;volume&gt;63&lt;/volume&gt;&lt;number&gt;9&lt;/number&gt;&lt;edition&gt;2008/04/09&lt;/edition&gt;&lt;keywords&gt;&lt;keyword&gt;Aged&lt;/keyword&gt;&lt;keyword&gt;Analysis of Variance&lt;/keyword&gt;&lt;keyword&gt;Exercise Test&lt;/keyword&gt;&lt;keyword&gt;Exercise Tolerance/*physiology&lt;/keyword&gt;&lt;keyword&gt;Female&lt;/keyword&gt;&lt;keyword&gt;Forced Expiratory Volume/physiology&lt;/keyword&gt;&lt;keyword&gt;Humans&lt;/keyword&gt;&lt;keyword&gt;Male&lt;/keyword&gt;&lt;keyword&gt;Patient Satisfaction&lt;/keyword&gt;&lt;keyword&gt;Pulmonary Disease, Chronic Obstructive/physiopathology/*rehabilitation&lt;/keyword&gt;&lt;keyword&gt;Surveys and Questionnaires&lt;/keyword&gt;&lt;keyword&gt;Treatment Outcome&lt;/keyword&gt;&lt;keyword&gt;Vital Capacity/physiology&lt;/keyword&gt;&lt;keyword&gt;Walking/*physiology&lt;/keyword&gt;&lt;/keywords&gt;&lt;dates&gt;&lt;year&gt;2008&lt;/year&gt;&lt;pub-dates&gt;&lt;date&gt;Sep&lt;/date&gt;&lt;/pub-dates&gt;&lt;/dates&gt;&lt;isbn&gt;1468-3296 (Electronic)&amp;#xD;0040-6376 (Linking)&lt;/isbn&gt;&lt;accession-num&gt;18390634&lt;/accession-num&gt;&lt;urls&gt;&lt;related-urls&gt;&lt;url&gt;https://www.ncbi.nlm.nih.gov/pubmed/18390634&lt;/url&gt;&lt;/related-urls&gt;&lt;/urls&gt;&lt;electronic-resource-num&gt;10.1136/thx.2007.081208&lt;/electronic-resource-num&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[9]</w:t>
            </w:r>
            <w:r w:rsidRPr="005D140D">
              <w:rPr>
                <w:rFonts w:ascii="Calibri" w:eastAsia="Calibri" w:hAnsi="Calibri" w:cs="Calibri"/>
                <w:sz w:val="21"/>
                <w:szCs w:val="21"/>
                <w:lang w:eastAsia="en-GB"/>
              </w:rPr>
              <w:fldChar w:fldCharType="end"/>
            </w:r>
          </w:p>
        </w:tc>
      </w:tr>
      <w:tr w:rsidR="007D2C95" w:rsidRPr="005D140D" w14:paraId="359CD1CF" w14:textId="77777777" w:rsidTr="00EA17A2">
        <w:trPr>
          <w:cantSplit/>
        </w:trPr>
        <w:tc>
          <w:tcPr>
            <w:tcW w:w="1545" w:type="dxa"/>
          </w:tcPr>
          <w:p w14:paraId="7D0B0704"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Anxiety and Depression symptoms</w:t>
            </w:r>
          </w:p>
        </w:tc>
        <w:tc>
          <w:tcPr>
            <w:tcW w:w="1926" w:type="dxa"/>
          </w:tcPr>
          <w:p w14:paraId="2B1925DB" w14:textId="132F4AFB"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Hospital Anxiety and Depression Questionnaire (HADS)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&lt;EndNote&gt;&lt;Cite&gt;&lt;Author&gt;Zigmond&lt;/Author&gt;&lt;Year&gt;1983&lt;/Year&gt;&lt;RecNum&gt;2714&lt;/RecNum&gt;&lt;DisplayText&gt;[10]&lt;/DisplayText&gt;&lt;record&gt;&lt;rec-number&gt;2714&lt;/rec-number&gt;&lt;foreign-keys&gt;&lt;key app="EN" db-id="zp2wrvw9nr2dw7e9prcpvfa9vp5swwd29rw0" timestamp="1624889271"&gt;2714&lt;/key&gt;&lt;/foreign-keys&gt;&lt;ref-type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Psychiatrica Scandinavica&lt;/secondary-title&gt;&lt;/titles&gt;&lt;pages&gt;361-370&lt;/pages&gt;&lt;volume&gt;67&lt;/volume&gt;&lt;number&gt;6&lt;/number&gt;&lt;keywords&gt;&lt;keyword&gt;Psychiatric status rating scales&lt;/keyword&gt;&lt;keyword&gt;anxiety disorders&lt;/keyword&gt;&lt;keyword&gt;depressive disorders&lt;/keyword&gt;&lt;/keywords&gt;&lt;dates&gt;&lt;year&gt;1983&lt;/year&gt;&lt;pub-dates&gt;&lt;date&gt;1983/06/01&lt;/date&gt;&lt;/pub-dates&gt;&lt;/dates&gt;&lt;publisher&gt;John Wiley &amp;amp; Sons, Ltd&lt;/publisher&gt;&lt;isbn&gt;0001-690X&lt;/isbn&gt;&lt;work-type&gt;https://doi.org/10.1111/j.1600-0447.1983.tb09716.x&lt;/work-type&gt;&lt;urls&gt;&lt;related-urls&gt;&lt;url&gt;https://doi.org/10.1111/j.1600-0447.1983.tb09716.x&lt;/url&gt;&lt;/related-urls&gt;&lt;/urls&gt;&lt;electronic-resource-num&gt;https://doi.org/10.1111/j.1600-0447.1983.tb09716.x&lt;/electronic-resource-num&gt;&lt;access-date&gt;2021/06/28&lt;/access-dat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[10]</w:t>
            </w:r>
            <w:r w:rsidRPr="005D140D">
              <w:rPr>
                <w:rFonts w:ascii="Calibri" w:eastAsia="Calibri" w:hAnsi="Calibri" w:cs="Calibri"/>
                <w:sz w:val="21"/>
                <w:szCs w:val="21"/>
                <w:lang w:eastAsia="en-GB"/>
              </w:rPr>
              <w:fldChar w:fldCharType="end"/>
            </w:r>
          </w:p>
        </w:tc>
        <w:tc>
          <w:tcPr>
            <w:tcW w:w="5606" w:type="dxa"/>
          </w:tcPr>
          <w:p w14:paraId="7ECE1F17"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This is a 14-item self-report questionnaire measuring anxiety (7 items) and depression (7 items) over the past week. Items are scored on a scale of 0 to 3. Items are summed to create a maximum score of 21 on each subscale. </w:t>
            </w:r>
          </w:p>
        </w:tc>
        <w:tc>
          <w:tcPr>
            <w:tcW w:w="2127" w:type="dxa"/>
          </w:tcPr>
          <w:p w14:paraId="448BC212"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more symptoms of anxiety or depression.</w:t>
            </w:r>
          </w:p>
        </w:tc>
        <w:tc>
          <w:tcPr>
            <w:tcW w:w="3433" w:type="dxa"/>
          </w:tcPr>
          <w:p w14:paraId="40A10B2C" w14:textId="7153E46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MCID in COPD: 1.5 points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&lt;EndNote&gt;&lt;Cite&gt;&lt;Author&gt;Puhan&lt;/Author&gt;&lt;Year&gt;2008&lt;/Year&gt;&lt;RecNum&gt;3016&lt;/RecNum&gt;&lt;DisplayText&gt;[11]&lt;/DisplayText&gt;&lt;record&gt;&lt;rec-number&gt;3016&lt;/rec-number&gt;&lt;foreign-keys&gt;&lt;key app="EN" db-id="zp2wrvw9nr2dw7e9prcpvfa9vp5swwd29rw0" timestamp="1632239258"&gt;3016&lt;/key&gt;&lt;/foreign-keys&gt;&lt;ref-type name="Journal Article"&gt;17&lt;/ref-type&gt;&lt;contributors&gt;&lt;authors&gt;&lt;author&gt;Puhan, Milo A.&lt;/author&gt;&lt;author&gt;Frey, Martin&lt;/author&gt;&lt;author&gt;Büchi, Stefan&lt;/author&gt;&lt;author&gt;Schünemann, Holger J.&lt;/author&gt;&lt;/authors&gt;&lt;/contributors&gt;&lt;titles&gt;&lt;title&gt;The minimal important difference of the hospital anxiety and depression scale in patients with chronic obstructive pulmonary disease&lt;/title&gt;&lt;secondary-title&gt;Health and quality of life outcomes&lt;/secondary-title&gt;&lt;alt-title&gt;Health Qual Life Outcomes&lt;/alt-title&gt;&lt;/titles&gt;&lt;periodical&gt;&lt;full-title&gt;Health and quality of life outcomes&lt;/full-title&gt;&lt;/periodical&gt;&lt;alt-periodical&gt;&lt;full-title&gt;Health Qual Life Outcomes&lt;/full-title&gt;&lt;/alt-periodical&gt;&lt;pages&gt;46-46&lt;/pages&gt;&lt;volume&gt;6&lt;/volume&gt;&lt;dates&gt;&lt;year&gt;2008&lt;/year&gt;&lt;/dates&gt;&lt;publisher&gt;BioMed Central&lt;/publisher&gt;&lt;isbn&gt;1477-7525&lt;/isbn&gt;&lt;accession-num&gt;18597689&lt;/accession-num&gt;&lt;urls&gt;&lt;related-urls&gt;&lt;url&gt;https://pubmed.ncbi.nlm.nih.gov/18597689&lt;/url&gt;&lt;url&gt;https://www.ncbi.nlm.nih.gov/pmc/articles/PMC2459149/&lt;/url&gt;&lt;/related-urls&gt;&lt;/urls&gt;&lt;electronic-resource-num&gt;10.1186/1477-7525-6-46&lt;/electronic-resource-num&gt;&lt;remote-database-name&gt;PubMed&lt;/remote-database-name&gt;&lt;language&gt;eng&lt;/languag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[11]</w:t>
            </w:r>
            <w:r w:rsidRPr="005D140D">
              <w:rPr>
                <w:rFonts w:ascii="Calibri" w:eastAsia="Calibri" w:hAnsi="Calibri" w:cs="Calibri"/>
                <w:sz w:val="21"/>
                <w:szCs w:val="21"/>
                <w:lang w:eastAsia="en-GB"/>
              </w:rPr>
              <w:fldChar w:fldCharType="end"/>
            </w:r>
          </w:p>
          <w:p w14:paraId="7D3680A1" w14:textId="50B3F242"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Scores can be classified as follows</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&lt;EndNote&gt;&lt;Cite&gt;&lt;Author&gt;Stern&lt;/Author&gt;&lt;Year&gt;2014&lt;/Year&gt;&lt;RecNum&gt;3014&lt;/RecNum&gt;&lt;DisplayText&gt;[12]&lt;/DisplayText&gt;&lt;record&gt;&lt;rec-number&gt;3014&lt;/rec-number&gt;&lt;foreign-keys&gt;&lt;key app="EN" db-id="zp2wrvw9nr2dw7e9prcpvfa9vp5swwd29rw0" timestamp="1632237027"&gt;3014&lt;/key&gt;&lt;/foreign-keys&gt;&lt;ref-type name="Journal Article"&gt;17&lt;/ref-type&gt;&lt;contributors&gt;&lt;authors&gt;&lt;author&gt;Stern, Anna F.&lt;/author&gt;&lt;/authors&gt;&lt;/contributors&gt;&lt;titles&gt;&lt;title&gt;The Hospital Anxiety and Depression Scale&lt;/title&gt;&lt;secondary-title&gt;Occupational Medicine&lt;/secondary-title&gt;&lt;/titles&gt;&lt;periodical&gt;&lt;full-title&gt;Occupational Medicine&lt;/full-title&gt;&lt;/periodical&gt;&lt;pages&gt;393-394&lt;/pages&gt;&lt;volume&gt;64&lt;/volume&gt;&lt;number&gt;5&lt;/number&gt;&lt;dates&gt;&lt;year&gt;2014&lt;/year&gt;&lt;/dates&gt;&lt;isbn&gt;0962-7480&lt;/isbn&gt;&lt;urls&gt;&lt;related-urls&gt;&lt;url&gt;https://doi.org/10.1093/occmed/kqu024&lt;/url&gt;&lt;/related-urls&gt;&lt;/urls&gt;&lt;electronic-resource-num&gt;10.1093/occmed/kqu024&lt;/electronic-resource-num&gt;&lt;access-date&gt;9/21/2021&lt;/access-dat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[12]</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w:t>
            </w:r>
          </w:p>
          <w:p w14:paraId="2EF1A50A" w14:textId="77777777" w:rsidR="007D2C95" w:rsidRPr="005D140D" w:rsidRDefault="007D2C95" w:rsidP="007D2C95">
            <w:pPr>
              <w:pStyle w:val="ListParagraph"/>
              <w:numPr>
                <w:ilvl w:val="0"/>
                <w:numId w:val="3"/>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0-7: Non-case</w:t>
            </w:r>
          </w:p>
          <w:p w14:paraId="0755308D" w14:textId="77777777" w:rsidR="007D2C95" w:rsidRPr="005D140D" w:rsidRDefault="007D2C95" w:rsidP="007D2C95">
            <w:pPr>
              <w:pStyle w:val="ListParagraph"/>
              <w:numPr>
                <w:ilvl w:val="0"/>
                <w:numId w:val="3"/>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8-10: Mild</w:t>
            </w:r>
          </w:p>
          <w:p w14:paraId="6A344260" w14:textId="77777777" w:rsidR="007D2C95" w:rsidRPr="005D140D" w:rsidRDefault="007D2C95" w:rsidP="007D2C95">
            <w:pPr>
              <w:pStyle w:val="ListParagraph"/>
              <w:numPr>
                <w:ilvl w:val="0"/>
                <w:numId w:val="3"/>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11-14: Moderate</w:t>
            </w:r>
          </w:p>
          <w:p w14:paraId="71E33CB5" w14:textId="77777777" w:rsidR="007D2C95" w:rsidRPr="005D140D" w:rsidRDefault="007D2C95" w:rsidP="007D2C95">
            <w:pPr>
              <w:pStyle w:val="ListParagraph"/>
              <w:numPr>
                <w:ilvl w:val="0"/>
                <w:numId w:val="3"/>
              </w:numPr>
              <w:spacing w:line="240" w:lineRule="auto"/>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15-51: Severe  </w:t>
            </w:r>
          </w:p>
        </w:tc>
      </w:tr>
      <w:tr w:rsidR="007D2C95" w:rsidRPr="005D140D" w14:paraId="479D465C" w14:textId="77777777" w:rsidTr="00EA17A2">
        <w:trPr>
          <w:cantSplit/>
        </w:trPr>
        <w:tc>
          <w:tcPr>
            <w:tcW w:w="1545" w:type="dxa"/>
            <w:shd w:val="clear" w:color="auto" w:fill="F2F2F2" w:themeFill="background1" w:themeFillShade="F2"/>
          </w:tcPr>
          <w:p w14:paraId="5C29B4F5"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 xml:space="preserve">Health-related quality of life </w:t>
            </w:r>
          </w:p>
        </w:tc>
        <w:tc>
          <w:tcPr>
            <w:tcW w:w="1926" w:type="dxa"/>
            <w:shd w:val="clear" w:color="auto" w:fill="F2F2F2" w:themeFill="background1" w:themeFillShade="F2"/>
          </w:tcPr>
          <w:p w14:paraId="47101523" w14:textId="01E93BD6"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Chronic Respiratory Questionnaire (CRQ)</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&lt;EndNote&gt;&lt;Cite&gt;&lt;Author&gt;Williams&lt;/Author&gt;&lt;Year&gt;2001&lt;/Year&gt;&lt;RecNum&gt;929&lt;/RecNum&gt;&lt;DisplayText&gt;[13]&lt;/DisplayText&gt;&lt;record&gt;&lt;rec-number&gt;929&lt;/rec-number&gt;&lt;foreign-keys&gt;&lt;key app="EN" db-id="zp2wrvw9nr2dw7e9prcpvfa9vp5swwd29rw0" timestamp="1546862106"&gt;929&lt;/key&gt;&lt;/foreign-keys&gt;&lt;ref-type name="Journal Article"&gt;17&lt;/ref-type&gt;&lt;contributors&gt;&lt;authors&gt;&lt;author&gt;Williams, J. E. A.&lt;/author&gt;&lt;author&gt;Singh, S. J.&lt;/author&gt;&lt;author&gt;Sewell, L.&lt;/author&gt;&lt;author&gt;Guyatt, G. H.&lt;/author&gt;&lt;author&gt;Morgan, M. D. L.&lt;/author&gt;&lt;/authors&gt;&lt;/contributors&gt;&lt;titles&gt;&lt;title&gt;Development of a self-reported Chronic Respiratory Questionnaire (CRQ-SR)&lt;/title&gt;&lt;secondary-title&gt;Thorax&lt;/secondary-title&gt;&lt;/titles&gt;&lt;periodical&gt;&lt;full-title&gt;Thorax&lt;/full-title&gt;&lt;abbr-1&gt;Thorax&lt;/abbr-1&gt;&lt;abbr-2&gt;Thorax&lt;/abbr-2&gt;&lt;/periodical&gt;&lt;pages&gt;954&lt;/pages&gt;&lt;volume&gt;56&lt;/volume&gt;&lt;number&gt;12&lt;/number&gt;&lt;dates&gt;&lt;year&gt;2001&lt;/year&gt;&lt;/dates&gt;&lt;urls&gt;&lt;related-urls&gt;&lt;url&gt;http://thorax.bmj.com/content/56/12/954.abstract&lt;/url&gt;&lt;/related-urls&gt;&lt;/urls&gt;&lt;electronic-resource-num&gt;10.1136/thorax.56.12.954&lt;/electronic-resource-num&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[13]</w:t>
            </w:r>
            <w:r w:rsidRPr="005D140D">
              <w:rPr>
                <w:rFonts w:ascii="Calibri" w:eastAsia="Calibri" w:hAnsi="Calibri" w:cs="Calibri"/>
                <w:sz w:val="21"/>
                <w:szCs w:val="21"/>
                <w:lang w:eastAsia="en-GB"/>
              </w:rPr>
              <w:fldChar w:fldCharType="end"/>
            </w:r>
          </w:p>
        </w:tc>
        <w:tc>
          <w:tcPr>
            <w:tcW w:w="5606" w:type="dxa"/>
            <w:shd w:val="clear" w:color="auto" w:fill="F2F2F2" w:themeFill="background1" w:themeFillShade="F2"/>
          </w:tcPr>
          <w:p w14:paraId="4F07BC67"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This self-report scale contains 20 items measuring the impact of chronic respiratory disease over the past 2 weeks. Each item is scored from 1-7, and the total score for the following four domains are calculated: Dyspnoea (range 5-35), Emotion (range 7-49), Fatigue (range 4-28) and Mastery (range 4-28). </w:t>
            </w:r>
          </w:p>
        </w:tc>
        <w:tc>
          <w:tcPr>
            <w:tcW w:w="2127" w:type="dxa"/>
            <w:shd w:val="clear" w:color="auto" w:fill="F2F2F2" w:themeFill="background1" w:themeFillShade="F2"/>
          </w:tcPr>
          <w:p w14:paraId="76D38957"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better health status.</w:t>
            </w:r>
          </w:p>
        </w:tc>
        <w:tc>
          <w:tcPr>
            <w:tcW w:w="3433" w:type="dxa"/>
            <w:shd w:val="clear" w:color="auto" w:fill="F2F2F2" w:themeFill="background1" w:themeFillShade="F2"/>
          </w:tcPr>
          <w:p w14:paraId="2C48CB36" w14:textId="558DBD5A"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MCIDs in COPD:</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&lt;EndNote&gt;&lt;Cite&gt;&lt;Author&gt;Schünemann&lt;/Author&gt;&lt;Year&gt;2005&lt;/Year&gt;&lt;RecNum&gt;3017&lt;/RecNum&gt;&lt;DisplayText&gt;[14]&lt;/DisplayText&gt;&lt;record&gt;&lt;rec-number&gt;3017&lt;/rec-number&gt;&lt;foreign-keys&gt;&lt;key app="EN" db-id="zp2wrvw9nr2dw7e9prcpvfa9vp5swwd29rw0" timestamp="1632239901"&gt;3017&lt;/key&gt;&lt;/foreign-keys&gt;&lt;ref-type name="Journal Article"&gt;17&lt;/ref-type&gt;&lt;contributors&gt;&lt;authors&gt;&lt;author&gt;Schünemann, Holger J.&lt;/author&gt;&lt;author&gt;Puhan, Milo&lt;/author&gt;&lt;author&gt;Goldstein, Roger&lt;/author&gt;&lt;author&gt;Jaeschke, Roman&lt;/author&gt;&lt;author&gt;Guyatt, Gordon H.&lt;/author&gt;&lt;/authors&gt;&lt;/contributors&gt;&lt;titles&gt;&lt;title&gt;Measurement Properties and Interpretability of the Chronic Respiratory Disease Questionnaire (CRQ)&lt;/title&gt;&lt;secondary-title&gt;COPD: Journal of Chronic Obstructive Pulmonary Disease&lt;/secondary-title&gt;&lt;/titles&gt;&lt;periodical&gt;&lt;full-title&gt;COPD: Journal of Chronic Obstructive Pulmonary Disease&lt;/full-title&gt;&lt;/periodical&gt;&lt;pages&gt;81-89&lt;/pages&gt;&lt;volume&gt;2&lt;/volume&gt;&lt;number&gt;1&lt;/number&gt;&lt;dates&gt;&lt;year&gt;2005&lt;/year&gt;&lt;pub-dates&gt;&lt;date&gt;2005/01/01&lt;/date&gt;&lt;/pub-dates&gt;&lt;/dates&gt;&lt;publisher&gt;Taylor &amp;amp; Francis&lt;/publisher&gt;&lt;isbn&gt;1541-2555&lt;/isbn&gt;&lt;urls&gt;&lt;related-urls&gt;&lt;url&gt;https://doi.org/10.1081/COPD-200050651&lt;/url&gt;&lt;/related-urls&gt;&lt;/urls&gt;&lt;electronic-resource-num&gt;10.1081/COPD-200050651&lt;/electronic-resource-num&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[14]</w:t>
            </w:r>
            <w:r w:rsidRPr="005D140D">
              <w:rPr>
                <w:rFonts w:ascii="Calibri" w:eastAsia="Calibri" w:hAnsi="Calibri" w:cs="Calibri"/>
                <w:sz w:val="21"/>
                <w:szCs w:val="21"/>
                <w:lang w:eastAsia="en-GB"/>
              </w:rPr>
              <w:fldChar w:fldCharType="end"/>
            </w:r>
          </w:p>
          <w:p w14:paraId="7FA8B326"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Dyspnoea: 2.5 points</w:t>
            </w:r>
          </w:p>
          <w:p w14:paraId="05EDC586"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Emotion: 3.5 points</w:t>
            </w:r>
          </w:p>
          <w:p w14:paraId="0DBF5DF4"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Fatigue: 2 points</w:t>
            </w:r>
          </w:p>
          <w:p w14:paraId="01841CEE"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 xml:space="preserve">Mastery: 2 points </w:t>
            </w:r>
          </w:p>
          <w:p w14:paraId="44568E48" w14:textId="77777777" w:rsidR="007D2C95" w:rsidRPr="005D140D" w:rsidRDefault="007D2C95" w:rsidP="00EA17A2">
            <w:pPr>
              <w:spacing w:line="240" w:lineRule="auto"/>
              <w:contextualSpacing/>
              <w:rPr>
                <w:rFonts w:ascii="Calibri" w:eastAsia="Calibri" w:hAnsi="Calibri" w:cs="Calibri"/>
                <w:sz w:val="21"/>
                <w:szCs w:val="21"/>
                <w:lang w:eastAsia="en-GB"/>
              </w:rPr>
            </w:pPr>
          </w:p>
        </w:tc>
      </w:tr>
      <w:tr w:rsidR="007D2C95" w:rsidRPr="005D140D" w14:paraId="49D87269" w14:textId="77777777" w:rsidTr="00EA17A2">
        <w:trPr>
          <w:cantSplit/>
          <w:trHeight w:val="106"/>
        </w:trPr>
        <w:tc>
          <w:tcPr>
            <w:tcW w:w="1545" w:type="dxa"/>
          </w:tcPr>
          <w:p w14:paraId="77A1136E" w14:textId="77777777" w:rsidR="007D2C95" w:rsidRPr="005D140D" w:rsidRDefault="007D2C95" w:rsidP="00EA17A2">
            <w:pPr>
              <w:spacing w:line="240" w:lineRule="auto"/>
              <w:contextualSpacing/>
              <w:rPr>
                <w:rFonts w:ascii="Calibri" w:eastAsia="Calibri" w:hAnsi="Calibri" w:cs="Calibri"/>
                <w:bCs/>
                <w:sz w:val="21"/>
                <w:szCs w:val="21"/>
                <w:lang w:eastAsia="en-GB"/>
              </w:rPr>
            </w:pPr>
            <w:r w:rsidRPr="005D140D">
              <w:rPr>
                <w:rFonts w:ascii="Calibri" w:eastAsia="Calibri" w:hAnsi="Calibri" w:cs="Calibri"/>
                <w:bCs/>
                <w:sz w:val="21"/>
                <w:szCs w:val="21"/>
                <w:lang w:eastAsia="en-GB"/>
              </w:rPr>
              <w:t xml:space="preserve">Independence in activities of daily living </w:t>
            </w:r>
          </w:p>
        </w:tc>
        <w:tc>
          <w:tcPr>
            <w:tcW w:w="1926" w:type="dxa"/>
          </w:tcPr>
          <w:p w14:paraId="79736542" w14:textId="5EDA9F01"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Katz Index of Independence in Activities of Daily Living</w:t>
            </w:r>
            <w:r w:rsidRPr="005D140D">
              <w:rPr>
                <w:rFonts w:ascii="Calibri" w:eastAsia="Calibri" w:hAnsi="Calibri" w:cs="Calibri"/>
                <w:sz w:val="21"/>
                <w:szCs w:val="21"/>
                <w:lang w:eastAsia="en-GB"/>
              </w:rPr>
              <w:fldChar w:fldCharType="begin"/>
            </w:r>
            <w:r w:rsidR="00401EAF">
              <w:rPr>
                <w:rFonts w:ascii="Calibri" w:eastAsia="Calibri" w:hAnsi="Calibri" w:cs="Calibri"/>
                <w:sz w:val="21"/>
                <w:szCs w:val="21"/>
                <w:lang w:eastAsia="en-GB"/>
              </w:rPr>
              <w:instrText xml:space="preserve"> ADDIN EN.CITE &lt;EndNote&gt;&lt;Cite&gt;&lt;Author&gt;Katz&lt;/Author&gt;&lt;Year&gt;1976&lt;/Year&gt;&lt;RecNum&gt;2715&lt;/RecNum&gt;&lt;DisplayText&gt;[15]&lt;/DisplayText&gt;&lt;record&gt;&lt;rec-number&gt;2715&lt;/rec-number&gt;&lt;foreign-keys&gt;&lt;key app="EN" db-id="zp2wrvw9nr2dw7e9prcpvfa9vp5swwd29rw0" timestamp="1624890070"&gt;2715&lt;/key&gt;&lt;/foreign-keys&gt;&lt;ref-type name="Journal Article"&gt;17&lt;/ref-type&gt;&lt;contributors&gt;&lt;authors&gt;&lt;author&gt;Katz, S.&lt;/author&gt;&lt;author&gt;Akpom, C. A.&lt;/author&gt;&lt;/authors&gt;&lt;/contributors&gt;&lt;titles&gt;&lt;title&gt;A measure of primary sociobiological functions&lt;/title&gt;&lt;secondary-title&gt;International Journal of Health Services&lt;/secondary-title&gt;&lt;alt-title&gt;International journal of health services : planning, administration, evaluation&lt;/alt-title&gt;&lt;/titles&gt;&lt;periodical&gt;&lt;full-title&gt;International Journal of Health Services&lt;/full-title&gt;&lt;abbr-1&gt;Int. J. Health Serv.&lt;/abbr-1&gt;&lt;abbr-2&gt;Int J Health Serv&lt;/abbr-2&gt;&lt;/periodical&gt;&lt;alt-periodical&gt;&lt;full-title&gt;Int J Health Serv&lt;/full-title&gt;&lt;abbr-1&gt;International journal of health services : planning, administration, evaluation&lt;/abbr-1&gt;&lt;/alt-periodical&gt;&lt;pages&gt;493-508&lt;/pages&gt;&lt;volume&gt;6&lt;/volume&gt;&lt;number&gt;3&lt;/number&gt;&lt;edition&gt;1976/01/01&lt;/edition&gt;&lt;keywords&gt;&lt;keyword&gt;*Activities of Daily Living&lt;/keyword&gt;&lt;keyword&gt;Chronic Disease&lt;/keyword&gt;&lt;keyword&gt;Disabled Persons&lt;/keyword&gt;&lt;keyword&gt;*Health Status Indicators&lt;/keyword&gt;&lt;keyword&gt;*Health Surveys&lt;/keyword&gt;&lt;keyword&gt;Humans&lt;/keyword&gt;&lt;keyword&gt;Intellectual Disability&lt;/keyword&gt;&lt;keyword&gt;Long-Term Care&lt;/keyword&gt;&lt;/keywords&gt;&lt;dates&gt;&lt;year&gt;1976&lt;/year&gt;&lt;/dates&gt;&lt;isbn&gt;0020-7314 (Print)&amp;#xD;0020-7314&lt;/isbn&gt;&lt;accession-num&gt;133997&lt;/accession-num&gt;&lt;urls&gt;&lt;/urls&gt;&lt;electronic-resource-num&gt;10.2190/uurl-2ryu-wryd-ey3k&lt;/electronic-resource-num&gt;&lt;remote-database-provider&gt;NLM&lt;/remote-database-provider&gt;&lt;language&gt;eng&lt;/language&gt;&lt;/record&gt;&lt;/Cite&gt;&lt;/EndNote&gt;</w:instrText>
            </w:r>
            <w:r w:rsidRPr="005D140D">
              <w:rPr>
                <w:rFonts w:ascii="Calibri" w:eastAsia="Calibri" w:hAnsi="Calibri" w:cs="Calibri"/>
                <w:sz w:val="21"/>
                <w:szCs w:val="21"/>
                <w:lang w:eastAsia="en-GB"/>
              </w:rPr>
              <w:fldChar w:fldCharType="separate"/>
            </w:r>
            <w:r w:rsidR="00401EAF">
              <w:rPr>
                <w:rFonts w:ascii="Calibri" w:eastAsia="Calibri" w:hAnsi="Calibri" w:cs="Calibri"/>
                <w:noProof/>
                <w:sz w:val="21"/>
                <w:szCs w:val="21"/>
                <w:lang w:eastAsia="en-GB"/>
              </w:rPr>
              <w:t>[15]</w:t>
            </w:r>
            <w:r w:rsidRPr="005D140D">
              <w:rPr>
                <w:rFonts w:ascii="Calibri" w:eastAsia="Calibri" w:hAnsi="Calibri" w:cs="Calibri"/>
                <w:sz w:val="21"/>
                <w:szCs w:val="21"/>
                <w:lang w:eastAsia="en-GB"/>
              </w:rPr>
              <w:fldChar w:fldCharType="end"/>
            </w:r>
            <w:r w:rsidRPr="005D140D">
              <w:rPr>
                <w:rFonts w:ascii="Calibri" w:eastAsia="Calibri" w:hAnsi="Calibri" w:cs="Calibri"/>
                <w:sz w:val="21"/>
                <w:szCs w:val="21"/>
                <w:lang w:eastAsia="en-GB"/>
              </w:rPr>
              <w:t xml:space="preserve"> </w:t>
            </w:r>
          </w:p>
        </w:tc>
        <w:tc>
          <w:tcPr>
            <w:tcW w:w="5606" w:type="dxa"/>
          </w:tcPr>
          <w:p w14:paraId="5B009062"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On this scale, participants score one point for each of 6 basic activities of daily living that they self-report they are able to undertake, resulting in a total score from 0-6. In this study, scores were dichotomised as some dependence (scores 1-5) and independent (score 6).</w:t>
            </w:r>
          </w:p>
        </w:tc>
        <w:tc>
          <w:tcPr>
            <w:tcW w:w="2127" w:type="dxa"/>
          </w:tcPr>
          <w:p w14:paraId="3FAFDFBC" w14:textId="77777777" w:rsidR="007D2C95" w:rsidRPr="005D140D" w:rsidRDefault="007D2C95" w:rsidP="00EA17A2">
            <w:pPr>
              <w:spacing w:line="240" w:lineRule="auto"/>
              <w:contextualSpacing/>
              <w:rPr>
                <w:rFonts w:ascii="Calibri" w:eastAsia="Calibri" w:hAnsi="Calibri" w:cs="Calibri"/>
                <w:sz w:val="21"/>
                <w:szCs w:val="21"/>
                <w:lang w:eastAsia="en-GB"/>
              </w:rPr>
            </w:pPr>
            <w:r w:rsidRPr="005D140D">
              <w:rPr>
                <w:rFonts w:ascii="Calibri" w:eastAsia="Calibri" w:hAnsi="Calibri" w:cs="Calibri"/>
                <w:sz w:val="21"/>
                <w:szCs w:val="21"/>
                <w:lang w:eastAsia="en-GB"/>
              </w:rPr>
              <w:t>Higher scores indicate higher independence.</w:t>
            </w:r>
          </w:p>
        </w:tc>
        <w:tc>
          <w:tcPr>
            <w:tcW w:w="3433" w:type="dxa"/>
          </w:tcPr>
          <w:p w14:paraId="59270ADC" w14:textId="77777777" w:rsidR="007D2C95" w:rsidRPr="005D140D" w:rsidRDefault="007D2C95" w:rsidP="00EA17A2">
            <w:pPr>
              <w:spacing w:line="240" w:lineRule="auto"/>
              <w:contextualSpacing/>
              <w:rPr>
                <w:rFonts w:ascii="Calibri" w:eastAsia="Calibri" w:hAnsi="Calibri" w:cs="Calibri"/>
                <w:sz w:val="21"/>
                <w:szCs w:val="21"/>
                <w:lang w:eastAsia="en-GB"/>
              </w:rPr>
            </w:pPr>
          </w:p>
        </w:tc>
      </w:tr>
      <w:tr w:rsidR="007D2C95" w:rsidRPr="005D140D" w14:paraId="20DE4383" w14:textId="77777777" w:rsidTr="00EA17A2">
        <w:trPr>
          <w:cantSplit/>
          <w:trHeight w:val="106"/>
        </w:trPr>
        <w:tc>
          <w:tcPr>
            <w:tcW w:w="1545" w:type="dxa"/>
            <w:tcBorders>
              <w:bottom w:val="single" w:sz="4" w:space="0" w:color="auto"/>
            </w:tcBorders>
          </w:tcPr>
          <w:p w14:paraId="0FAA13D8" w14:textId="77777777" w:rsidR="007D2C95" w:rsidRPr="005D140D" w:rsidRDefault="007D2C95" w:rsidP="00EA17A2">
            <w:pPr>
              <w:spacing w:line="240" w:lineRule="auto"/>
              <w:contextualSpacing/>
              <w:rPr>
                <w:rFonts w:ascii="Calibri" w:eastAsia="Calibri" w:hAnsi="Calibri" w:cs="Calibri"/>
                <w:bCs/>
                <w:sz w:val="21"/>
                <w:szCs w:val="21"/>
                <w:lang w:eastAsia="en-GB"/>
              </w:rPr>
            </w:pPr>
          </w:p>
        </w:tc>
        <w:tc>
          <w:tcPr>
            <w:tcW w:w="1926" w:type="dxa"/>
            <w:tcBorders>
              <w:bottom w:val="single" w:sz="4" w:space="0" w:color="auto"/>
            </w:tcBorders>
          </w:tcPr>
          <w:p w14:paraId="0AC7F5F3" w14:textId="77777777" w:rsidR="007D2C95" w:rsidRPr="005D140D" w:rsidRDefault="007D2C95" w:rsidP="00EA17A2">
            <w:pPr>
              <w:spacing w:line="240" w:lineRule="auto"/>
              <w:contextualSpacing/>
              <w:rPr>
                <w:rFonts w:ascii="Calibri" w:eastAsia="Calibri" w:hAnsi="Calibri" w:cs="Calibri"/>
                <w:sz w:val="21"/>
                <w:szCs w:val="21"/>
                <w:lang w:eastAsia="en-GB"/>
              </w:rPr>
            </w:pPr>
          </w:p>
        </w:tc>
        <w:tc>
          <w:tcPr>
            <w:tcW w:w="5606" w:type="dxa"/>
            <w:tcBorders>
              <w:bottom w:val="single" w:sz="4" w:space="0" w:color="auto"/>
            </w:tcBorders>
          </w:tcPr>
          <w:p w14:paraId="343332C3" w14:textId="77777777" w:rsidR="007D2C95" w:rsidRPr="005D140D" w:rsidRDefault="007D2C95" w:rsidP="00EA17A2">
            <w:pPr>
              <w:spacing w:line="240" w:lineRule="auto"/>
              <w:contextualSpacing/>
              <w:rPr>
                <w:rFonts w:ascii="Calibri" w:eastAsia="Calibri" w:hAnsi="Calibri" w:cs="Calibri"/>
                <w:sz w:val="16"/>
                <w:szCs w:val="16"/>
                <w:lang w:eastAsia="en-GB"/>
              </w:rPr>
            </w:pPr>
          </w:p>
        </w:tc>
        <w:tc>
          <w:tcPr>
            <w:tcW w:w="2127" w:type="dxa"/>
            <w:tcBorders>
              <w:bottom w:val="single" w:sz="4" w:space="0" w:color="auto"/>
            </w:tcBorders>
          </w:tcPr>
          <w:p w14:paraId="2B2F2142" w14:textId="77777777" w:rsidR="007D2C95" w:rsidRPr="005D140D" w:rsidRDefault="007D2C95" w:rsidP="00EA17A2">
            <w:pPr>
              <w:spacing w:line="240" w:lineRule="auto"/>
              <w:contextualSpacing/>
              <w:rPr>
                <w:rFonts w:ascii="Calibri" w:eastAsia="Calibri" w:hAnsi="Calibri" w:cs="Calibri"/>
                <w:sz w:val="21"/>
                <w:szCs w:val="21"/>
                <w:lang w:eastAsia="en-GB"/>
              </w:rPr>
            </w:pPr>
          </w:p>
        </w:tc>
        <w:tc>
          <w:tcPr>
            <w:tcW w:w="3433" w:type="dxa"/>
            <w:tcBorders>
              <w:bottom w:val="single" w:sz="4" w:space="0" w:color="auto"/>
            </w:tcBorders>
          </w:tcPr>
          <w:p w14:paraId="4A1BA037" w14:textId="77777777" w:rsidR="007D2C95" w:rsidRPr="005D140D" w:rsidRDefault="007D2C95" w:rsidP="00EA17A2">
            <w:pPr>
              <w:spacing w:line="240" w:lineRule="auto"/>
              <w:contextualSpacing/>
              <w:rPr>
                <w:rFonts w:ascii="Calibri" w:eastAsia="Calibri" w:hAnsi="Calibri" w:cs="Calibri"/>
                <w:sz w:val="21"/>
                <w:szCs w:val="21"/>
                <w:lang w:eastAsia="en-GB"/>
              </w:rPr>
            </w:pPr>
          </w:p>
        </w:tc>
      </w:tr>
    </w:tbl>
    <w:p w14:paraId="4498772C" w14:textId="77777777" w:rsidR="00E34E4D" w:rsidRDefault="007D2C95" w:rsidP="007D2C95">
      <w:pPr>
        <w:spacing w:after="0" w:line="259" w:lineRule="auto"/>
        <w:rPr>
          <w:rFonts w:eastAsia="Calibri" w:cs="Arial"/>
          <w:color w:val="000000" w:themeColor="text1"/>
          <w:sz w:val="18"/>
          <w:szCs w:val="18"/>
        </w:rPr>
      </w:pPr>
      <w:r w:rsidRPr="005D140D">
        <w:rPr>
          <w:rFonts w:eastAsia="Calibri" w:cs="Arial"/>
          <w:color w:val="000000" w:themeColor="text1"/>
          <w:sz w:val="18"/>
          <w:szCs w:val="18"/>
        </w:rPr>
        <w:t>COPD=Chronic Obstructive Pulmonary Disease, MCID=Minimal Clinically Important Difference; *MRC Dyspnoea scores of 5 were scored the same as MRC 4 (3 points) when constructing the ADO index</w:t>
      </w:r>
    </w:p>
    <w:p w14:paraId="09FFFBE7" w14:textId="3AE0FCB1" w:rsidR="00E34E4D" w:rsidRDefault="00E34E4D" w:rsidP="007D2C95">
      <w:pPr>
        <w:spacing w:after="0" w:line="259" w:lineRule="auto"/>
        <w:rPr>
          <w:rFonts w:eastAsia="Calibri" w:cs="Arial"/>
          <w:color w:val="000000" w:themeColor="text1"/>
          <w:sz w:val="18"/>
          <w:szCs w:val="18"/>
        </w:rPr>
      </w:pPr>
    </w:p>
    <w:p w14:paraId="644AE70B" w14:textId="288E7B8C" w:rsidR="003B7CA9" w:rsidRDefault="003B7CA9" w:rsidP="007D2C95">
      <w:pPr>
        <w:spacing w:after="0" w:line="259" w:lineRule="auto"/>
        <w:rPr>
          <w:rFonts w:eastAsia="Calibri" w:cs="Arial"/>
          <w:color w:val="000000" w:themeColor="text1"/>
          <w:sz w:val="18"/>
          <w:szCs w:val="18"/>
        </w:rPr>
      </w:pPr>
    </w:p>
    <w:p w14:paraId="7D266892" w14:textId="4586AA84" w:rsidR="003B7CA9" w:rsidRDefault="003B7CA9" w:rsidP="007D2C95">
      <w:pPr>
        <w:spacing w:after="0" w:line="259" w:lineRule="auto"/>
        <w:rPr>
          <w:rFonts w:eastAsia="Calibri" w:cs="Arial"/>
          <w:color w:val="000000" w:themeColor="text1"/>
          <w:sz w:val="18"/>
          <w:szCs w:val="18"/>
        </w:rPr>
      </w:pPr>
    </w:p>
    <w:p w14:paraId="5A485EFF" w14:textId="31B21219" w:rsidR="003B7CA9" w:rsidRPr="003B7CA9" w:rsidRDefault="003B7CA9" w:rsidP="007D2C95">
      <w:pPr>
        <w:spacing w:after="0" w:line="259" w:lineRule="auto"/>
        <w:rPr>
          <w:rFonts w:asciiTheme="minorHAnsi" w:eastAsia="Calibri" w:hAnsiTheme="minorHAnsi" w:cstheme="minorHAnsi"/>
          <w:b/>
          <w:bCs/>
          <w:color w:val="000000" w:themeColor="text1"/>
          <w:sz w:val="21"/>
          <w:szCs w:val="21"/>
        </w:rPr>
      </w:pPr>
      <w:r w:rsidRPr="003B7CA9">
        <w:rPr>
          <w:rFonts w:asciiTheme="minorHAnsi" w:eastAsia="Calibri" w:hAnsiTheme="minorHAnsi" w:cstheme="minorHAnsi"/>
          <w:b/>
          <w:bCs/>
          <w:color w:val="000000" w:themeColor="text1"/>
          <w:sz w:val="21"/>
          <w:szCs w:val="21"/>
        </w:rPr>
        <w:lastRenderedPageBreak/>
        <w:t xml:space="preserve">References </w:t>
      </w:r>
    </w:p>
    <w:p w14:paraId="176D2745" w14:textId="77777777" w:rsidR="003B7CA9" w:rsidRPr="003B7CA9" w:rsidRDefault="003B7CA9" w:rsidP="007D2C95">
      <w:pPr>
        <w:spacing w:after="0" w:line="259" w:lineRule="auto"/>
        <w:rPr>
          <w:rFonts w:asciiTheme="minorHAnsi" w:eastAsia="Calibri" w:hAnsiTheme="minorHAnsi" w:cstheme="minorHAnsi"/>
          <w:color w:val="000000" w:themeColor="text1"/>
          <w:sz w:val="21"/>
          <w:szCs w:val="21"/>
        </w:rPr>
      </w:pPr>
    </w:p>
    <w:p w14:paraId="572E78E7" w14:textId="77777777" w:rsidR="00401EAF" w:rsidRPr="003B7CA9" w:rsidRDefault="00E34E4D"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fldChar w:fldCharType="begin"/>
      </w:r>
      <w:r w:rsidRPr="003B7CA9">
        <w:rPr>
          <w:rFonts w:asciiTheme="minorHAnsi" w:hAnsiTheme="minorHAnsi" w:cstheme="minorHAnsi"/>
          <w:sz w:val="21"/>
          <w:szCs w:val="21"/>
        </w:rPr>
        <w:instrText xml:space="preserve"> ADDIN EN.REFLIST </w:instrText>
      </w:r>
      <w:r w:rsidRPr="003B7CA9">
        <w:rPr>
          <w:rFonts w:asciiTheme="minorHAnsi" w:hAnsiTheme="minorHAnsi" w:cstheme="minorHAnsi"/>
          <w:sz w:val="21"/>
          <w:szCs w:val="21"/>
        </w:rPr>
        <w:fldChar w:fldCharType="separate"/>
      </w:r>
      <w:r w:rsidR="00401EAF" w:rsidRPr="003B7CA9">
        <w:rPr>
          <w:rFonts w:asciiTheme="minorHAnsi" w:hAnsiTheme="minorHAnsi" w:cstheme="minorHAnsi"/>
          <w:sz w:val="21"/>
          <w:szCs w:val="21"/>
        </w:rPr>
        <w:t>1.</w:t>
      </w:r>
      <w:r w:rsidR="00401EAF" w:rsidRPr="003B7CA9">
        <w:rPr>
          <w:rFonts w:asciiTheme="minorHAnsi" w:hAnsiTheme="minorHAnsi" w:cstheme="minorHAnsi"/>
          <w:sz w:val="21"/>
          <w:szCs w:val="21"/>
        </w:rPr>
        <w:tab/>
        <w:t xml:space="preserve">Redelmeier, D.A., et al., </w:t>
      </w:r>
      <w:r w:rsidR="00401EAF" w:rsidRPr="003B7CA9">
        <w:rPr>
          <w:rFonts w:asciiTheme="minorHAnsi" w:hAnsiTheme="minorHAnsi" w:cstheme="minorHAnsi"/>
          <w:i/>
          <w:sz w:val="21"/>
          <w:szCs w:val="21"/>
        </w:rPr>
        <w:t>Spirometry and dyspnea in patients with COPD. When small differences mean little.</w:t>
      </w:r>
      <w:r w:rsidR="00401EAF" w:rsidRPr="003B7CA9">
        <w:rPr>
          <w:rFonts w:asciiTheme="minorHAnsi" w:hAnsiTheme="minorHAnsi" w:cstheme="minorHAnsi"/>
          <w:sz w:val="21"/>
          <w:szCs w:val="21"/>
        </w:rPr>
        <w:t xml:space="preserve"> Chest, 1996. </w:t>
      </w:r>
      <w:r w:rsidR="00401EAF" w:rsidRPr="003B7CA9">
        <w:rPr>
          <w:rFonts w:asciiTheme="minorHAnsi" w:hAnsiTheme="minorHAnsi" w:cstheme="minorHAnsi"/>
          <w:b/>
          <w:sz w:val="21"/>
          <w:szCs w:val="21"/>
        </w:rPr>
        <w:t>109</w:t>
      </w:r>
      <w:r w:rsidR="00401EAF" w:rsidRPr="003B7CA9">
        <w:rPr>
          <w:rFonts w:asciiTheme="minorHAnsi" w:hAnsiTheme="minorHAnsi" w:cstheme="minorHAnsi"/>
          <w:sz w:val="21"/>
          <w:szCs w:val="21"/>
        </w:rPr>
        <w:t>(5): p. 1163-8.</w:t>
      </w:r>
    </w:p>
    <w:p w14:paraId="30A81951" w14:textId="0415B56F"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2.</w:t>
      </w:r>
      <w:r w:rsidRPr="003B7CA9">
        <w:rPr>
          <w:rFonts w:asciiTheme="minorHAnsi" w:hAnsiTheme="minorHAnsi" w:cstheme="minorHAnsi"/>
          <w:sz w:val="21"/>
          <w:szCs w:val="21"/>
        </w:rPr>
        <w:tab/>
        <w:t xml:space="preserve">Global Initiative for Chronic Obstructive Lung Disease, </w:t>
      </w:r>
      <w:r w:rsidRPr="003B7CA9">
        <w:rPr>
          <w:rFonts w:asciiTheme="minorHAnsi" w:hAnsiTheme="minorHAnsi" w:cstheme="minorHAnsi"/>
          <w:i/>
          <w:sz w:val="21"/>
          <w:szCs w:val="21"/>
        </w:rPr>
        <w:t>Spirometry for health care providers</w:t>
      </w:r>
      <w:r w:rsidRPr="003B7CA9">
        <w:rPr>
          <w:rFonts w:asciiTheme="minorHAnsi" w:hAnsiTheme="minorHAnsi" w:cstheme="minorHAnsi"/>
          <w:sz w:val="21"/>
          <w:szCs w:val="21"/>
        </w:rPr>
        <w:t xml:space="preserve">. 2010: Retrieved from </w:t>
      </w:r>
      <w:hyperlink r:id="rId7" w:history="1">
        <w:r w:rsidRPr="003B7CA9">
          <w:rPr>
            <w:rStyle w:val="Hyperlink"/>
            <w:rFonts w:asciiTheme="minorHAnsi" w:hAnsiTheme="minorHAnsi" w:cstheme="minorHAnsi"/>
            <w:sz w:val="21"/>
            <w:szCs w:val="21"/>
          </w:rPr>
          <w:t>https://goldcopd.org/gold-spirometry-guide/</w:t>
        </w:r>
      </w:hyperlink>
      <w:r w:rsidRPr="003B7CA9">
        <w:rPr>
          <w:rFonts w:asciiTheme="minorHAnsi" w:hAnsiTheme="minorHAnsi" w:cstheme="minorHAnsi"/>
          <w:sz w:val="21"/>
          <w:szCs w:val="21"/>
        </w:rPr>
        <w:t xml:space="preserve"> accessed 21 September 2021.</w:t>
      </w:r>
    </w:p>
    <w:p w14:paraId="609362C2" w14:textId="3194BD1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3.</w:t>
      </w:r>
      <w:r w:rsidRPr="003B7CA9">
        <w:rPr>
          <w:rFonts w:asciiTheme="minorHAnsi" w:hAnsiTheme="minorHAnsi" w:cstheme="minorHAnsi"/>
          <w:sz w:val="21"/>
          <w:szCs w:val="21"/>
        </w:rPr>
        <w:tab/>
        <w:t xml:space="preserve">Medical Research Council, </w:t>
      </w:r>
      <w:r w:rsidRPr="003B7CA9">
        <w:rPr>
          <w:rFonts w:asciiTheme="minorHAnsi" w:hAnsiTheme="minorHAnsi" w:cstheme="minorHAnsi"/>
          <w:i/>
          <w:sz w:val="21"/>
          <w:szCs w:val="21"/>
        </w:rPr>
        <w:t>MRC Dyspnoea scale / MRC Breathlessness scale</w:t>
      </w:r>
      <w:r w:rsidRPr="003B7CA9">
        <w:rPr>
          <w:rFonts w:asciiTheme="minorHAnsi" w:hAnsiTheme="minorHAnsi" w:cstheme="minorHAnsi"/>
          <w:sz w:val="21"/>
          <w:szCs w:val="21"/>
        </w:rPr>
        <w:t xml:space="preserve">. 2021: Retrieved from </w:t>
      </w:r>
      <w:hyperlink r:id="rId8" w:anchor="definition" w:history="1">
        <w:r w:rsidRPr="003B7CA9">
          <w:rPr>
            <w:rStyle w:val="Hyperlink"/>
            <w:rFonts w:asciiTheme="minorHAnsi" w:hAnsiTheme="minorHAnsi" w:cstheme="minorHAnsi"/>
            <w:sz w:val="21"/>
            <w:szCs w:val="21"/>
          </w:rPr>
          <w:t>https://mrc.ukri.org/research/facilities-and-resources-for-researchers/mrc-scales/mrc-dyspnoea-scale-mrc-breathlessness-scale/#definition</w:t>
        </w:r>
      </w:hyperlink>
      <w:r w:rsidRPr="003B7CA9">
        <w:rPr>
          <w:rFonts w:asciiTheme="minorHAnsi" w:hAnsiTheme="minorHAnsi" w:cstheme="minorHAnsi"/>
          <w:sz w:val="21"/>
          <w:szCs w:val="21"/>
        </w:rPr>
        <w:t>, accessed 28 June 2021.</w:t>
      </w:r>
    </w:p>
    <w:p w14:paraId="6115B6F0"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4.</w:t>
      </w:r>
      <w:r w:rsidRPr="003B7CA9">
        <w:rPr>
          <w:rFonts w:asciiTheme="minorHAnsi" w:hAnsiTheme="minorHAnsi" w:cstheme="minorHAnsi"/>
          <w:sz w:val="21"/>
          <w:szCs w:val="21"/>
        </w:rPr>
        <w:tab/>
        <w:t xml:space="preserve">Puhan, M.A., et al., </w:t>
      </w:r>
      <w:r w:rsidRPr="003B7CA9">
        <w:rPr>
          <w:rFonts w:asciiTheme="minorHAnsi" w:hAnsiTheme="minorHAnsi" w:cstheme="minorHAnsi"/>
          <w:i/>
          <w:sz w:val="21"/>
          <w:szCs w:val="21"/>
        </w:rPr>
        <w:t>Large-scale international validation of the ADO index in subjects with COPD: an individual subject data analysis of 10 cohorts.</w:t>
      </w:r>
      <w:r w:rsidRPr="003B7CA9">
        <w:rPr>
          <w:rFonts w:asciiTheme="minorHAnsi" w:hAnsiTheme="minorHAnsi" w:cstheme="minorHAnsi"/>
          <w:sz w:val="21"/>
          <w:szCs w:val="21"/>
        </w:rPr>
        <w:t xml:space="preserve"> BMJ Open, 2012. </w:t>
      </w:r>
      <w:r w:rsidRPr="003B7CA9">
        <w:rPr>
          <w:rFonts w:asciiTheme="minorHAnsi" w:hAnsiTheme="minorHAnsi" w:cstheme="minorHAnsi"/>
          <w:b/>
          <w:sz w:val="21"/>
          <w:szCs w:val="21"/>
        </w:rPr>
        <w:t>2</w:t>
      </w:r>
      <w:r w:rsidRPr="003B7CA9">
        <w:rPr>
          <w:rFonts w:asciiTheme="minorHAnsi" w:hAnsiTheme="minorHAnsi" w:cstheme="minorHAnsi"/>
          <w:sz w:val="21"/>
          <w:szCs w:val="21"/>
        </w:rPr>
        <w:t>(6).</w:t>
      </w:r>
    </w:p>
    <w:p w14:paraId="4919901B" w14:textId="29F3425B"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5.</w:t>
      </w:r>
      <w:r w:rsidRPr="003B7CA9">
        <w:rPr>
          <w:rFonts w:asciiTheme="minorHAnsi" w:hAnsiTheme="minorHAnsi" w:cstheme="minorHAnsi"/>
          <w:sz w:val="21"/>
          <w:szCs w:val="21"/>
        </w:rPr>
        <w:tab/>
        <w:t xml:space="preserve">National Health Service, </w:t>
      </w:r>
      <w:r w:rsidRPr="003B7CA9">
        <w:rPr>
          <w:rFonts w:asciiTheme="minorHAnsi" w:hAnsiTheme="minorHAnsi" w:cstheme="minorHAnsi"/>
          <w:i/>
          <w:sz w:val="21"/>
          <w:szCs w:val="21"/>
        </w:rPr>
        <w:t>What is the body mass index (BMI)?</w:t>
      </w:r>
      <w:r w:rsidRPr="003B7CA9">
        <w:rPr>
          <w:rFonts w:asciiTheme="minorHAnsi" w:hAnsiTheme="minorHAnsi" w:cstheme="minorHAnsi"/>
          <w:sz w:val="21"/>
          <w:szCs w:val="21"/>
        </w:rPr>
        <w:t xml:space="preserve"> 2019: Retrieved from </w:t>
      </w:r>
      <w:hyperlink r:id="rId9" w:history="1">
        <w:r w:rsidRPr="003B7CA9">
          <w:rPr>
            <w:rStyle w:val="Hyperlink"/>
            <w:rFonts w:asciiTheme="minorHAnsi" w:hAnsiTheme="minorHAnsi" w:cstheme="minorHAnsi"/>
            <w:sz w:val="21"/>
            <w:szCs w:val="21"/>
          </w:rPr>
          <w:t>https://www.nhs.uk/common-health-questions/lifestyle/what-is-the-body-mass-index-bmi/</w:t>
        </w:r>
      </w:hyperlink>
      <w:r w:rsidRPr="003B7CA9">
        <w:rPr>
          <w:rFonts w:asciiTheme="minorHAnsi" w:hAnsiTheme="minorHAnsi" w:cstheme="minorHAnsi"/>
          <w:sz w:val="21"/>
          <w:szCs w:val="21"/>
        </w:rPr>
        <w:t>, accessed 28 June 2021.</w:t>
      </w:r>
    </w:p>
    <w:p w14:paraId="6B41A2E0"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6.</w:t>
      </w:r>
      <w:r w:rsidRPr="003B7CA9">
        <w:rPr>
          <w:rFonts w:asciiTheme="minorHAnsi" w:hAnsiTheme="minorHAnsi" w:cstheme="minorHAnsi"/>
          <w:sz w:val="21"/>
          <w:szCs w:val="21"/>
        </w:rPr>
        <w:tab/>
        <w:t xml:space="preserve">Charlson, M., et al., </w:t>
      </w:r>
      <w:r w:rsidRPr="003B7CA9">
        <w:rPr>
          <w:rFonts w:asciiTheme="minorHAnsi" w:hAnsiTheme="minorHAnsi" w:cstheme="minorHAnsi"/>
          <w:i/>
          <w:sz w:val="21"/>
          <w:szCs w:val="21"/>
        </w:rPr>
        <w:t>Validation of a combined comorbidity index.</w:t>
      </w:r>
      <w:r w:rsidRPr="003B7CA9">
        <w:rPr>
          <w:rFonts w:asciiTheme="minorHAnsi" w:hAnsiTheme="minorHAnsi" w:cstheme="minorHAnsi"/>
          <w:sz w:val="21"/>
          <w:szCs w:val="21"/>
        </w:rPr>
        <w:t xml:space="preserve"> Journal of Clinical Epidemiology, 1994. </w:t>
      </w:r>
      <w:r w:rsidRPr="003B7CA9">
        <w:rPr>
          <w:rFonts w:asciiTheme="minorHAnsi" w:hAnsiTheme="minorHAnsi" w:cstheme="minorHAnsi"/>
          <w:b/>
          <w:sz w:val="21"/>
          <w:szCs w:val="21"/>
        </w:rPr>
        <w:t>47</w:t>
      </w:r>
      <w:r w:rsidRPr="003B7CA9">
        <w:rPr>
          <w:rFonts w:asciiTheme="minorHAnsi" w:hAnsiTheme="minorHAnsi" w:cstheme="minorHAnsi"/>
          <w:sz w:val="21"/>
          <w:szCs w:val="21"/>
        </w:rPr>
        <w:t>(11): p. 1245-51.</w:t>
      </w:r>
    </w:p>
    <w:p w14:paraId="68C2379E"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7.</w:t>
      </w:r>
      <w:r w:rsidRPr="003B7CA9">
        <w:rPr>
          <w:rFonts w:asciiTheme="minorHAnsi" w:hAnsiTheme="minorHAnsi" w:cstheme="minorHAnsi"/>
          <w:sz w:val="21"/>
          <w:szCs w:val="21"/>
        </w:rPr>
        <w:tab/>
        <w:t xml:space="preserve">Charlson, M.E., et al., </w:t>
      </w:r>
      <w:r w:rsidRPr="003B7CA9">
        <w:rPr>
          <w:rFonts w:asciiTheme="minorHAnsi" w:hAnsiTheme="minorHAnsi" w:cstheme="minorHAnsi"/>
          <w:i/>
          <w:sz w:val="21"/>
          <w:szCs w:val="21"/>
        </w:rPr>
        <w:t>A new method of classifying prognostic comorbidity in longitudinal studies: development and validation.</w:t>
      </w:r>
      <w:r w:rsidRPr="003B7CA9">
        <w:rPr>
          <w:rFonts w:asciiTheme="minorHAnsi" w:hAnsiTheme="minorHAnsi" w:cstheme="minorHAnsi"/>
          <w:sz w:val="21"/>
          <w:szCs w:val="21"/>
        </w:rPr>
        <w:t xml:space="preserve"> J Chronic Dis, 1987. </w:t>
      </w:r>
      <w:r w:rsidRPr="003B7CA9">
        <w:rPr>
          <w:rFonts w:asciiTheme="minorHAnsi" w:hAnsiTheme="minorHAnsi" w:cstheme="minorHAnsi"/>
          <w:b/>
          <w:sz w:val="21"/>
          <w:szCs w:val="21"/>
        </w:rPr>
        <w:t>40</w:t>
      </w:r>
      <w:r w:rsidRPr="003B7CA9">
        <w:rPr>
          <w:rFonts w:asciiTheme="minorHAnsi" w:hAnsiTheme="minorHAnsi" w:cstheme="minorHAnsi"/>
          <w:sz w:val="21"/>
          <w:szCs w:val="21"/>
        </w:rPr>
        <w:t>(5): p. 373-83.</w:t>
      </w:r>
    </w:p>
    <w:p w14:paraId="20AC4D48"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8.</w:t>
      </w:r>
      <w:r w:rsidRPr="003B7CA9">
        <w:rPr>
          <w:rFonts w:asciiTheme="minorHAnsi" w:hAnsiTheme="minorHAnsi" w:cstheme="minorHAnsi"/>
          <w:sz w:val="21"/>
          <w:szCs w:val="21"/>
        </w:rPr>
        <w:tab/>
        <w:t xml:space="preserve">Singh, S.J., et al., </w:t>
      </w:r>
      <w:r w:rsidRPr="003B7CA9">
        <w:rPr>
          <w:rFonts w:asciiTheme="minorHAnsi" w:hAnsiTheme="minorHAnsi" w:cstheme="minorHAnsi"/>
          <w:i/>
          <w:sz w:val="21"/>
          <w:szCs w:val="21"/>
        </w:rPr>
        <w:t>Development of a shuttle walking test of disability in patients with chronic airways obstruction.</w:t>
      </w:r>
      <w:r w:rsidRPr="003B7CA9">
        <w:rPr>
          <w:rFonts w:asciiTheme="minorHAnsi" w:hAnsiTheme="minorHAnsi" w:cstheme="minorHAnsi"/>
          <w:sz w:val="21"/>
          <w:szCs w:val="21"/>
        </w:rPr>
        <w:t xml:space="preserve"> Thorax, 1992. </w:t>
      </w:r>
      <w:r w:rsidRPr="003B7CA9">
        <w:rPr>
          <w:rFonts w:asciiTheme="minorHAnsi" w:hAnsiTheme="minorHAnsi" w:cstheme="minorHAnsi"/>
          <w:b/>
          <w:sz w:val="21"/>
          <w:szCs w:val="21"/>
        </w:rPr>
        <w:t>47</w:t>
      </w:r>
      <w:r w:rsidRPr="003B7CA9">
        <w:rPr>
          <w:rFonts w:asciiTheme="minorHAnsi" w:hAnsiTheme="minorHAnsi" w:cstheme="minorHAnsi"/>
          <w:sz w:val="21"/>
          <w:szCs w:val="21"/>
        </w:rPr>
        <w:t>(12): p. 1019.</w:t>
      </w:r>
    </w:p>
    <w:p w14:paraId="441A99F8"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9.</w:t>
      </w:r>
      <w:r w:rsidRPr="003B7CA9">
        <w:rPr>
          <w:rFonts w:asciiTheme="minorHAnsi" w:hAnsiTheme="minorHAnsi" w:cstheme="minorHAnsi"/>
          <w:sz w:val="21"/>
          <w:szCs w:val="21"/>
        </w:rPr>
        <w:tab/>
        <w:t xml:space="preserve">Singh, S.J., et al., </w:t>
      </w:r>
      <w:r w:rsidRPr="003B7CA9">
        <w:rPr>
          <w:rFonts w:asciiTheme="minorHAnsi" w:hAnsiTheme="minorHAnsi" w:cstheme="minorHAnsi"/>
          <w:i/>
          <w:sz w:val="21"/>
          <w:szCs w:val="21"/>
        </w:rPr>
        <w:t>Minimum clinically important improvement for the incremental shuttle walking test.</w:t>
      </w:r>
      <w:r w:rsidRPr="003B7CA9">
        <w:rPr>
          <w:rFonts w:asciiTheme="minorHAnsi" w:hAnsiTheme="minorHAnsi" w:cstheme="minorHAnsi"/>
          <w:sz w:val="21"/>
          <w:szCs w:val="21"/>
        </w:rPr>
        <w:t xml:space="preserve"> Thorax, 2008. </w:t>
      </w:r>
      <w:r w:rsidRPr="003B7CA9">
        <w:rPr>
          <w:rFonts w:asciiTheme="minorHAnsi" w:hAnsiTheme="minorHAnsi" w:cstheme="minorHAnsi"/>
          <w:b/>
          <w:sz w:val="21"/>
          <w:szCs w:val="21"/>
        </w:rPr>
        <w:t>63</w:t>
      </w:r>
      <w:r w:rsidRPr="003B7CA9">
        <w:rPr>
          <w:rFonts w:asciiTheme="minorHAnsi" w:hAnsiTheme="minorHAnsi" w:cstheme="minorHAnsi"/>
          <w:sz w:val="21"/>
          <w:szCs w:val="21"/>
        </w:rPr>
        <w:t>(9): p. 775-7.</w:t>
      </w:r>
    </w:p>
    <w:p w14:paraId="2CD58CCA"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10.</w:t>
      </w:r>
      <w:r w:rsidRPr="003B7CA9">
        <w:rPr>
          <w:rFonts w:asciiTheme="minorHAnsi" w:hAnsiTheme="minorHAnsi" w:cstheme="minorHAnsi"/>
          <w:sz w:val="21"/>
          <w:szCs w:val="21"/>
        </w:rPr>
        <w:tab/>
        <w:t xml:space="preserve">Zigmond, A.S. and R.P. Snaith, </w:t>
      </w:r>
      <w:r w:rsidRPr="003B7CA9">
        <w:rPr>
          <w:rFonts w:asciiTheme="minorHAnsi" w:hAnsiTheme="minorHAnsi" w:cstheme="minorHAnsi"/>
          <w:i/>
          <w:sz w:val="21"/>
          <w:szCs w:val="21"/>
        </w:rPr>
        <w:t>The Hospital Anxiety and Depression Scale.</w:t>
      </w:r>
      <w:r w:rsidRPr="003B7CA9">
        <w:rPr>
          <w:rFonts w:asciiTheme="minorHAnsi" w:hAnsiTheme="minorHAnsi" w:cstheme="minorHAnsi"/>
          <w:sz w:val="21"/>
          <w:szCs w:val="21"/>
        </w:rPr>
        <w:t xml:space="preserve"> Acta Psychiatrica Scandinavica, 1983. </w:t>
      </w:r>
      <w:r w:rsidRPr="003B7CA9">
        <w:rPr>
          <w:rFonts w:asciiTheme="minorHAnsi" w:hAnsiTheme="minorHAnsi" w:cstheme="minorHAnsi"/>
          <w:b/>
          <w:sz w:val="21"/>
          <w:szCs w:val="21"/>
        </w:rPr>
        <w:t>67</w:t>
      </w:r>
      <w:r w:rsidRPr="003B7CA9">
        <w:rPr>
          <w:rFonts w:asciiTheme="minorHAnsi" w:hAnsiTheme="minorHAnsi" w:cstheme="minorHAnsi"/>
          <w:sz w:val="21"/>
          <w:szCs w:val="21"/>
        </w:rPr>
        <w:t>(6): p. 361-370.</w:t>
      </w:r>
    </w:p>
    <w:p w14:paraId="22B37FEF"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11.</w:t>
      </w:r>
      <w:r w:rsidRPr="003B7CA9">
        <w:rPr>
          <w:rFonts w:asciiTheme="minorHAnsi" w:hAnsiTheme="minorHAnsi" w:cstheme="minorHAnsi"/>
          <w:sz w:val="21"/>
          <w:szCs w:val="21"/>
        </w:rPr>
        <w:tab/>
        <w:t xml:space="preserve">Puhan, M.A., et al., </w:t>
      </w:r>
      <w:r w:rsidRPr="003B7CA9">
        <w:rPr>
          <w:rFonts w:asciiTheme="minorHAnsi" w:hAnsiTheme="minorHAnsi" w:cstheme="minorHAnsi"/>
          <w:i/>
          <w:sz w:val="21"/>
          <w:szCs w:val="21"/>
        </w:rPr>
        <w:t>The minimal important difference of the hospital anxiety and depression scale in patients with chronic obstructive pulmonary disease.</w:t>
      </w:r>
      <w:r w:rsidRPr="003B7CA9">
        <w:rPr>
          <w:rFonts w:asciiTheme="minorHAnsi" w:hAnsiTheme="minorHAnsi" w:cstheme="minorHAnsi"/>
          <w:sz w:val="21"/>
          <w:szCs w:val="21"/>
        </w:rPr>
        <w:t xml:space="preserve"> Health and quality of life outcomes, 2008. </w:t>
      </w:r>
      <w:r w:rsidRPr="003B7CA9">
        <w:rPr>
          <w:rFonts w:asciiTheme="minorHAnsi" w:hAnsiTheme="minorHAnsi" w:cstheme="minorHAnsi"/>
          <w:b/>
          <w:sz w:val="21"/>
          <w:szCs w:val="21"/>
        </w:rPr>
        <w:t>6</w:t>
      </w:r>
      <w:r w:rsidRPr="003B7CA9">
        <w:rPr>
          <w:rFonts w:asciiTheme="minorHAnsi" w:hAnsiTheme="minorHAnsi" w:cstheme="minorHAnsi"/>
          <w:sz w:val="21"/>
          <w:szCs w:val="21"/>
        </w:rPr>
        <w:t>: p. 46-46.</w:t>
      </w:r>
    </w:p>
    <w:p w14:paraId="380FB7F5"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12.</w:t>
      </w:r>
      <w:r w:rsidRPr="003B7CA9">
        <w:rPr>
          <w:rFonts w:asciiTheme="minorHAnsi" w:hAnsiTheme="minorHAnsi" w:cstheme="minorHAnsi"/>
          <w:sz w:val="21"/>
          <w:szCs w:val="21"/>
        </w:rPr>
        <w:tab/>
        <w:t xml:space="preserve">Stern, A.F., </w:t>
      </w:r>
      <w:r w:rsidRPr="003B7CA9">
        <w:rPr>
          <w:rFonts w:asciiTheme="minorHAnsi" w:hAnsiTheme="minorHAnsi" w:cstheme="minorHAnsi"/>
          <w:i/>
          <w:sz w:val="21"/>
          <w:szCs w:val="21"/>
        </w:rPr>
        <w:t>The Hospital Anxiety and Depression Scale.</w:t>
      </w:r>
      <w:r w:rsidRPr="003B7CA9">
        <w:rPr>
          <w:rFonts w:asciiTheme="minorHAnsi" w:hAnsiTheme="minorHAnsi" w:cstheme="minorHAnsi"/>
          <w:sz w:val="21"/>
          <w:szCs w:val="21"/>
        </w:rPr>
        <w:t xml:space="preserve"> Occupational Medicine, 2014. </w:t>
      </w:r>
      <w:r w:rsidRPr="003B7CA9">
        <w:rPr>
          <w:rFonts w:asciiTheme="minorHAnsi" w:hAnsiTheme="minorHAnsi" w:cstheme="minorHAnsi"/>
          <w:b/>
          <w:sz w:val="21"/>
          <w:szCs w:val="21"/>
        </w:rPr>
        <w:t>64</w:t>
      </w:r>
      <w:r w:rsidRPr="003B7CA9">
        <w:rPr>
          <w:rFonts w:asciiTheme="minorHAnsi" w:hAnsiTheme="minorHAnsi" w:cstheme="minorHAnsi"/>
          <w:sz w:val="21"/>
          <w:szCs w:val="21"/>
        </w:rPr>
        <w:t>(5): p. 393-394.</w:t>
      </w:r>
    </w:p>
    <w:p w14:paraId="5C8B93C4"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13.</w:t>
      </w:r>
      <w:r w:rsidRPr="003B7CA9">
        <w:rPr>
          <w:rFonts w:asciiTheme="minorHAnsi" w:hAnsiTheme="minorHAnsi" w:cstheme="minorHAnsi"/>
          <w:sz w:val="21"/>
          <w:szCs w:val="21"/>
        </w:rPr>
        <w:tab/>
        <w:t xml:space="preserve">Williams, J.E.A., et al., </w:t>
      </w:r>
      <w:r w:rsidRPr="003B7CA9">
        <w:rPr>
          <w:rFonts w:asciiTheme="minorHAnsi" w:hAnsiTheme="minorHAnsi" w:cstheme="minorHAnsi"/>
          <w:i/>
          <w:sz w:val="21"/>
          <w:szCs w:val="21"/>
        </w:rPr>
        <w:t>Development of a self-reported Chronic Respiratory Questionnaire (CRQ-SR).</w:t>
      </w:r>
      <w:r w:rsidRPr="003B7CA9">
        <w:rPr>
          <w:rFonts w:asciiTheme="minorHAnsi" w:hAnsiTheme="minorHAnsi" w:cstheme="minorHAnsi"/>
          <w:sz w:val="21"/>
          <w:szCs w:val="21"/>
        </w:rPr>
        <w:t xml:space="preserve"> Thorax, 2001. </w:t>
      </w:r>
      <w:r w:rsidRPr="003B7CA9">
        <w:rPr>
          <w:rFonts w:asciiTheme="minorHAnsi" w:hAnsiTheme="minorHAnsi" w:cstheme="minorHAnsi"/>
          <w:b/>
          <w:sz w:val="21"/>
          <w:szCs w:val="21"/>
        </w:rPr>
        <w:t>56</w:t>
      </w:r>
      <w:r w:rsidRPr="003B7CA9">
        <w:rPr>
          <w:rFonts w:asciiTheme="minorHAnsi" w:hAnsiTheme="minorHAnsi" w:cstheme="minorHAnsi"/>
          <w:sz w:val="21"/>
          <w:szCs w:val="21"/>
        </w:rPr>
        <w:t>(12): p. 954.</w:t>
      </w:r>
    </w:p>
    <w:p w14:paraId="518C6A48" w14:textId="77777777" w:rsidR="00401EAF" w:rsidRPr="003B7CA9" w:rsidRDefault="00401EAF" w:rsidP="00401EAF">
      <w:pPr>
        <w:pStyle w:val="EndNoteBibliography"/>
        <w:spacing w:after="0"/>
        <w:ind w:left="720" w:hanging="720"/>
        <w:rPr>
          <w:rFonts w:asciiTheme="minorHAnsi" w:hAnsiTheme="minorHAnsi" w:cstheme="minorHAnsi"/>
          <w:sz w:val="21"/>
          <w:szCs w:val="21"/>
        </w:rPr>
      </w:pPr>
      <w:r w:rsidRPr="003B7CA9">
        <w:rPr>
          <w:rFonts w:asciiTheme="minorHAnsi" w:hAnsiTheme="minorHAnsi" w:cstheme="minorHAnsi"/>
          <w:sz w:val="21"/>
          <w:szCs w:val="21"/>
        </w:rPr>
        <w:t>14.</w:t>
      </w:r>
      <w:r w:rsidRPr="003B7CA9">
        <w:rPr>
          <w:rFonts w:asciiTheme="minorHAnsi" w:hAnsiTheme="minorHAnsi" w:cstheme="minorHAnsi"/>
          <w:sz w:val="21"/>
          <w:szCs w:val="21"/>
        </w:rPr>
        <w:tab/>
        <w:t xml:space="preserve">Schünemann, H.J., et al., </w:t>
      </w:r>
      <w:r w:rsidRPr="003B7CA9">
        <w:rPr>
          <w:rFonts w:asciiTheme="minorHAnsi" w:hAnsiTheme="minorHAnsi" w:cstheme="minorHAnsi"/>
          <w:i/>
          <w:sz w:val="21"/>
          <w:szCs w:val="21"/>
        </w:rPr>
        <w:t>Measurement Properties and Interpretability of the Chronic Respiratory Disease Questionnaire (CRQ).</w:t>
      </w:r>
      <w:r w:rsidRPr="003B7CA9">
        <w:rPr>
          <w:rFonts w:asciiTheme="minorHAnsi" w:hAnsiTheme="minorHAnsi" w:cstheme="minorHAnsi"/>
          <w:sz w:val="21"/>
          <w:szCs w:val="21"/>
        </w:rPr>
        <w:t xml:space="preserve"> COPD: Journal of Chronic Obstructive Pulmonary Disease, 2005. </w:t>
      </w:r>
      <w:r w:rsidRPr="003B7CA9">
        <w:rPr>
          <w:rFonts w:asciiTheme="minorHAnsi" w:hAnsiTheme="minorHAnsi" w:cstheme="minorHAnsi"/>
          <w:b/>
          <w:sz w:val="21"/>
          <w:szCs w:val="21"/>
        </w:rPr>
        <w:t>2</w:t>
      </w:r>
      <w:r w:rsidRPr="003B7CA9">
        <w:rPr>
          <w:rFonts w:asciiTheme="minorHAnsi" w:hAnsiTheme="minorHAnsi" w:cstheme="minorHAnsi"/>
          <w:sz w:val="21"/>
          <w:szCs w:val="21"/>
        </w:rPr>
        <w:t>(1): p. 81-89.</w:t>
      </w:r>
    </w:p>
    <w:p w14:paraId="3D540F9C" w14:textId="77777777" w:rsidR="00401EAF" w:rsidRPr="003B7CA9" w:rsidRDefault="00401EAF" w:rsidP="00401EAF">
      <w:pPr>
        <w:pStyle w:val="EndNoteBibliography"/>
        <w:ind w:left="720" w:hanging="720"/>
        <w:rPr>
          <w:rFonts w:asciiTheme="minorHAnsi" w:hAnsiTheme="minorHAnsi" w:cstheme="minorHAnsi"/>
          <w:sz w:val="21"/>
          <w:szCs w:val="21"/>
        </w:rPr>
      </w:pPr>
      <w:r w:rsidRPr="003B7CA9">
        <w:rPr>
          <w:rFonts w:asciiTheme="minorHAnsi" w:hAnsiTheme="minorHAnsi" w:cstheme="minorHAnsi"/>
          <w:sz w:val="21"/>
          <w:szCs w:val="21"/>
        </w:rPr>
        <w:t>15.</w:t>
      </w:r>
      <w:r w:rsidRPr="003B7CA9">
        <w:rPr>
          <w:rFonts w:asciiTheme="minorHAnsi" w:hAnsiTheme="minorHAnsi" w:cstheme="minorHAnsi"/>
          <w:sz w:val="21"/>
          <w:szCs w:val="21"/>
        </w:rPr>
        <w:tab/>
        <w:t xml:space="preserve">Katz, S. and C.A. Akpom, </w:t>
      </w:r>
      <w:r w:rsidRPr="003B7CA9">
        <w:rPr>
          <w:rFonts w:asciiTheme="minorHAnsi" w:hAnsiTheme="minorHAnsi" w:cstheme="minorHAnsi"/>
          <w:i/>
          <w:sz w:val="21"/>
          <w:szCs w:val="21"/>
        </w:rPr>
        <w:t>A measure of primary sociobiological functions.</w:t>
      </w:r>
      <w:r w:rsidRPr="003B7CA9">
        <w:rPr>
          <w:rFonts w:asciiTheme="minorHAnsi" w:hAnsiTheme="minorHAnsi" w:cstheme="minorHAnsi"/>
          <w:sz w:val="21"/>
          <w:szCs w:val="21"/>
        </w:rPr>
        <w:t xml:space="preserve"> International Journal of Health Services, 1976. </w:t>
      </w:r>
      <w:r w:rsidRPr="003B7CA9">
        <w:rPr>
          <w:rFonts w:asciiTheme="minorHAnsi" w:hAnsiTheme="minorHAnsi" w:cstheme="minorHAnsi"/>
          <w:b/>
          <w:sz w:val="21"/>
          <w:szCs w:val="21"/>
        </w:rPr>
        <w:t>6</w:t>
      </w:r>
      <w:r w:rsidRPr="003B7CA9">
        <w:rPr>
          <w:rFonts w:asciiTheme="minorHAnsi" w:hAnsiTheme="minorHAnsi" w:cstheme="minorHAnsi"/>
          <w:sz w:val="21"/>
          <w:szCs w:val="21"/>
        </w:rPr>
        <w:t>(3): p. 493-508.</w:t>
      </w:r>
    </w:p>
    <w:p w14:paraId="261AF1B4" w14:textId="12D62B9E" w:rsidR="009454D3" w:rsidRDefault="00E34E4D" w:rsidP="007D2C95">
      <w:pPr>
        <w:spacing w:after="0" w:line="259" w:lineRule="auto"/>
      </w:pPr>
      <w:r w:rsidRPr="003B7CA9">
        <w:rPr>
          <w:rFonts w:asciiTheme="minorHAnsi" w:hAnsiTheme="minorHAnsi" w:cstheme="minorHAnsi"/>
          <w:sz w:val="21"/>
          <w:szCs w:val="21"/>
        </w:rPr>
        <w:fldChar w:fldCharType="end"/>
      </w:r>
    </w:p>
    <w:sectPr w:rsidR="009454D3" w:rsidSect="007D2C9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9313" w14:textId="77777777" w:rsidR="00A966FB" w:rsidRDefault="00A966FB">
      <w:pPr>
        <w:spacing w:after="0" w:line="240" w:lineRule="auto"/>
      </w:pPr>
      <w:r>
        <w:separator/>
      </w:r>
    </w:p>
  </w:endnote>
  <w:endnote w:type="continuationSeparator" w:id="0">
    <w:p w14:paraId="14B4F1C0" w14:textId="77777777" w:rsidR="00A966FB" w:rsidRDefault="00A9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3954" w14:textId="77777777" w:rsidR="00487A39" w:rsidRDefault="00487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8BAE" w14:textId="7EA9D7F0" w:rsidR="00487A39" w:rsidRDefault="00487A39">
    <w:pPr>
      <w:pStyle w:val="Footer"/>
    </w:pPr>
    <w:r>
      <w:rPr>
        <w:noProof/>
      </w:rPr>
      <mc:AlternateContent>
        <mc:Choice Requires="wps">
          <w:drawing>
            <wp:anchor distT="0" distB="0" distL="114300" distR="114300" simplePos="0" relativeHeight="251659264" behindDoc="0" locked="0" layoutInCell="0" allowOverlap="1" wp14:anchorId="54CE05E0" wp14:editId="087DA251">
              <wp:simplePos x="0" y="0"/>
              <wp:positionH relativeFrom="page">
                <wp:posOffset>0</wp:posOffset>
              </wp:positionH>
              <wp:positionV relativeFrom="page">
                <wp:posOffset>7105650</wp:posOffset>
              </wp:positionV>
              <wp:extent cx="10692130" cy="263525"/>
              <wp:effectExtent l="0" t="0" r="0" b="3175"/>
              <wp:wrapNone/>
              <wp:docPr id="1" name="MSIPCM0cb0494fb69f53ea41ea4bdb"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0CF75" w14:textId="2B9E0BAD" w:rsidR="00487A39" w:rsidRPr="00487A39" w:rsidRDefault="00487A39" w:rsidP="00487A39">
                          <w:pPr>
                            <w:spacing w:after="0"/>
                            <w:rPr>
                              <w:rFonts w:ascii="Rockwell" w:hAnsi="Rockwell"/>
                              <w:color w:val="0078D7"/>
                              <w:sz w:val="18"/>
                            </w:rPr>
                          </w:pPr>
                          <w:r w:rsidRPr="00487A3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CE05E0" id="_x0000_t202" coordsize="21600,21600" o:spt="202" path="m,l,21600r21600,l21600,xe">
              <v:stroke joinstyle="miter"/>
              <v:path gradientshapeok="t" o:connecttype="rect"/>
            </v:shapetype>
            <v:shape id="MSIPCM0cb0494fb69f53ea41ea4bdb" o:spid="_x0000_s1026" type="#_x0000_t202" alt="{&quot;HashCode&quot;:-1348403003,&quot;Height&quot;:595.0,&quot;Width&quot;:841.0,&quot;Placement&quot;:&quot;Footer&quot;,&quot;Index&quot;:&quot;Primary&quot;,&quot;Section&quot;:1,&quot;Top&quot;:0.0,&quot;Left&quot;:0.0}" style="position:absolute;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" o:allowincell="f" filled="f" stroked="f" strokeweight=".5pt">
              <v:fill o:detectmouseclick="t"/>
              <v:textbox inset="20pt,0,,0">
                <w:txbxContent>
                  <w:p w14:paraId="5190CF75" w14:textId="2B9E0BAD" w:rsidR="00487A39" w:rsidRPr="00487A39" w:rsidRDefault="00487A39" w:rsidP="00487A39">
                    <w:pPr>
                      <w:spacing w:after="0"/>
                      <w:rPr>
                        <w:rFonts w:ascii="Rockwell" w:hAnsi="Rockwell"/>
                        <w:color w:val="0078D7"/>
                        <w:sz w:val="18"/>
                      </w:rPr>
                    </w:pPr>
                    <w:r w:rsidRPr="00487A39">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00B9" w14:textId="77777777" w:rsidR="00487A39" w:rsidRDefault="0048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4579" w14:textId="77777777" w:rsidR="00A966FB" w:rsidRDefault="00A966FB">
      <w:pPr>
        <w:spacing w:after="0" w:line="240" w:lineRule="auto"/>
      </w:pPr>
      <w:r>
        <w:separator/>
      </w:r>
    </w:p>
  </w:footnote>
  <w:footnote w:type="continuationSeparator" w:id="0">
    <w:p w14:paraId="5B25BEF4" w14:textId="77777777" w:rsidR="00A966FB" w:rsidRDefault="00A9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B8B6" w14:textId="77777777" w:rsidR="00487A39" w:rsidRDefault="00487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89F3" w14:textId="77777777" w:rsidR="46EBE487" w:rsidRDefault="00487A39" w:rsidP="00F97B5F">
    <w:pPr>
      <w:rPr>
        <w:rFonts w:eastAsia="Calibri"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13A" w14:textId="77777777" w:rsidR="00487A39" w:rsidRDefault="00487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0BE9"/>
    <w:multiLevelType w:val="hybridMultilevel"/>
    <w:tmpl w:val="2F72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9F76CA"/>
    <w:multiLevelType w:val="hybridMultilevel"/>
    <w:tmpl w:val="B0762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C1533C"/>
    <w:multiLevelType w:val="hybridMultilevel"/>
    <w:tmpl w:val="2DE4C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BC79C1"/>
    <w:multiLevelType w:val="hybridMultilevel"/>
    <w:tmpl w:val="8AB6C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2wrvw9nr2dw7e9prcpvfa9vp5swwd29rw0&quot;&gt;LB-Library-2022-October&lt;record-ids&gt;&lt;item&gt;929&lt;/item&gt;&lt;item&gt;2438&lt;/item&gt;&lt;item&gt;2710&lt;/item&gt;&lt;item&gt;2712&lt;/item&gt;&lt;item&gt;2713&lt;/item&gt;&lt;item&gt;2714&lt;/item&gt;&lt;item&gt;2715&lt;/item&gt;&lt;item&gt;2716&lt;/item&gt;&lt;item&gt;6061&lt;/item&gt;&lt;/record-ids&gt;&lt;/item&gt;&lt;/Libraries&gt;"/>
  </w:docVars>
  <w:rsids>
    <w:rsidRoot w:val="007D2C95"/>
    <w:rsid w:val="00272BC1"/>
    <w:rsid w:val="003614F5"/>
    <w:rsid w:val="003B7CA9"/>
    <w:rsid w:val="00401EAF"/>
    <w:rsid w:val="00487A39"/>
    <w:rsid w:val="007D2C95"/>
    <w:rsid w:val="009454D3"/>
    <w:rsid w:val="009F543D"/>
    <w:rsid w:val="00A966FB"/>
    <w:rsid w:val="00CF694C"/>
    <w:rsid w:val="00E34E4D"/>
    <w:rsid w:val="00F35F95"/>
    <w:rsid w:val="00F805CA"/>
    <w:rsid w:val="00FA68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C999C"/>
  <w15:chartTrackingRefBased/>
  <w15:docId w15:val="{7FC31729-CC8E-4F29-B4E3-C8B3684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95"/>
    <w:pPr>
      <w:spacing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C95"/>
    <w:pPr>
      <w:ind w:left="720"/>
      <w:contextualSpacing/>
    </w:pPr>
  </w:style>
  <w:style w:type="character" w:customStyle="1" w:styleId="ListParagraphChar">
    <w:name w:val="List Paragraph Char"/>
    <w:basedOn w:val="DefaultParagraphFont"/>
    <w:link w:val="ListParagraph"/>
    <w:uiPriority w:val="34"/>
    <w:rsid w:val="007D2C95"/>
    <w:rPr>
      <w:rFonts w:ascii="Arial" w:hAnsi="Arial"/>
    </w:rPr>
  </w:style>
  <w:style w:type="paragraph" w:styleId="Caption">
    <w:name w:val="caption"/>
    <w:basedOn w:val="Normal"/>
    <w:next w:val="Normal"/>
    <w:link w:val="CaptionChar"/>
    <w:uiPriority w:val="35"/>
    <w:unhideWhenUsed/>
    <w:qFormat/>
    <w:rsid w:val="007D2C95"/>
    <w:pPr>
      <w:spacing w:after="200" w:line="240" w:lineRule="auto"/>
    </w:pPr>
    <w:rPr>
      <w:i/>
      <w:iCs/>
      <w:szCs w:val="20"/>
    </w:rPr>
  </w:style>
  <w:style w:type="table" w:customStyle="1" w:styleId="TableGrid6">
    <w:name w:val="Table Grid6"/>
    <w:basedOn w:val="TableNormal"/>
    <w:next w:val="TableGrid"/>
    <w:uiPriority w:val="39"/>
    <w:rsid w:val="007D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2C95"/>
    <w:pPr>
      <w:widowControl w:val="0"/>
      <w:autoSpaceDE w:val="0"/>
      <w:autoSpaceDN w:val="0"/>
      <w:spacing w:after="0" w:line="265" w:lineRule="exact"/>
      <w:ind w:left="341"/>
      <w:jc w:val="center"/>
    </w:pPr>
    <w:rPr>
      <w:rFonts w:ascii="Carlito" w:eastAsia="Carlito" w:hAnsi="Carlito" w:cs="Carlito"/>
      <w:lang w:val="en-US"/>
    </w:rPr>
  </w:style>
  <w:style w:type="paragraph" w:customStyle="1" w:styleId="EndNoteBibliographyTitle">
    <w:name w:val="EndNote Bibliography Title"/>
    <w:basedOn w:val="Normal"/>
    <w:link w:val="EndNoteBibliographyTitleChar"/>
    <w:rsid w:val="00E34E4D"/>
    <w:pPr>
      <w:spacing w:after="0"/>
      <w:jc w:val="center"/>
    </w:pPr>
    <w:rPr>
      <w:rFonts w:cs="Arial"/>
      <w:noProof/>
      <w:lang w:val="en-US"/>
    </w:rPr>
  </w:style>
  <w:style w:type="character" w:customStyle="1" w:styleId="CaptionChar">
    <w:name w:val="Caption Char"/>
    <w:basedOn w:val="DefaultParagraphFont"/>
    <w:link w:val="Caption"/>
    <w:uiPriority w:val="35"/>
    <w:rsid w:val="00E34E4D"/>
    <w:rPr>
      <w:rFonts w:ascii="Arial" w:hAnsi="Arial"/>
      <w:i/>
      <w:iCs/>
      <w:szCs w:val="20"/>
    </w:rPr>
  </w:style>
  <w:style w:type="character" w:customStyle="1" w:styleId="EndNoteBibliographyTitleChar">
    <w:name w:val="EndNote Bibliography Title Char"/>
    <w:basedOn w:val="CaptionChar"/>
    <w:link w:val="EndNoteBibliographyTitle"/>
    <w:rsid w:val="00E34E4D"/>
    <w:rPr>
      <w:rFonts w:ascii="Arial" w:hAnsi="Arial" w:cs="Arial"/>
      <w:i w:val="0"/>
      <w:iCs w:val="0"/>
      <w:noProof/>
      <w:szCs w:val="20"/>
      <w:lang w:val="en-US"/>
    </w:rPr>
  </w:style>
  <w:style w:type="paragraph" w:customStyle="1" w:styleId="EndNoteBibliography">
    <w:name w:val="EndNote Bibliography"/>
    <w:basedOn w:val="Normal"/>
    <w:link w:val="EndNoteBibliographyChar"/>
    <w:rsid w:val="00E34E4D"/>
    <w:pPr>
      <w:spacing w:line="240" w:lineRule="auto"/>
    </w:pPr>
    <w:rPr>
      <w:rFonts w:cs="Arial"/>
      <w:noProof/>
      <w:lang w:val="en-US"/>
    </w:rPr>
  </w:style>
  <w:style w:type="character" w:customStyle="1" w:styleId="EndNoteBibliographyChar">
    <w:name w:val="EndNote Bibliography Char"/>
    <w:basedOn w:val="CaptionChar"/>
    <w:link w:val="EndNoteBibliography"/>
    <w:rsid w:val="00E34E4D"/>
    <w:rPr>
      <w:rFonts w:ascii="Arial" w:hAnsi="Arial" w:cs="Arial"/>
      <w:i w:val="0"/>
      <w:iCs w:val="0"/>
      <w:noProof/>
      <w:szCs w:val="20"/>
      <w:lang w:val="en-US"/>
    </w:rPr>
  </w:style>
  <w:style w:type="character" w:styleId="Hyperlink">
    <w:name w:val="Hyperlink"/>
    <w:basedOn w:val="DefaultParagraphFont"/>
    <w:uiPriority w:val="99"/>
    <w:unhideWhenUsed/>
    <w:rsid w:val="00E34E4D"/>
    <w:rPr>
      <w:color w:val="0563C1" w:themeColor="hyperlink"/>
      <w:u w:val="single"/>
    </w:rPr>
  </w:style>
  <w:style w:type="character" w:styleId="UnresolvedMention">
    <w:name w:val="Unresolved Mention"/>
    <w:basedOn w:val="DefaultParagraphFont"/>
    <w:uiPriority w:val="99"/>
    <w:semiHidden/>
    <w:unhideWhenUsed/>
    <w:rsid w:val="00E34E4D"/>
    <w:rPr>
      <w:color w:val="605E5C"/>
      <w:shd w:val="clear" w:color="auto" w:fill="E1DFDD"/>
    </w:rPr>
  </w:style>
  <w:style w:type="paragraph" w:styleId="Header">
    <w:name w:val="header"/>
    <w:basedOn w:val="Normal"/>
    <w:link w:val="HeaderChar"/>
    <w:uiPriority w:val="99"/>
    <w:unhideWhenUsed/>
    <w:rsid w:val="00487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A39"/>
    <w:rPr>
      <w:rFonts w:ascii="Arial" w:hAnsi="Arial"/>
    </w:rPr>
  </w:style>
  <w:style w:type="paragraph" w:styleId="Footer">
    <w:name w:val="footer"/>
    <w:basedOn w:val="Normal"/>
    <w:link w:val="FooterChar"/>
    <w:uiPriority w:val="99"/>
    <w:unhideWhenUsed/>
    <w:rsid w:val="00487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A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c.ukri.org/research/facilities-and-resources-for-researchers/mrc-scales/mrc-dyspnoea-scale-mrc-breathlessness-sca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oldcopd.org/gold-spirometry-gui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common-health-questions/lifestyle/what-is-the-body-mass-index-bm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4090</Words>
  <Characters>23318</Characters>
  <Application>Microsoft Office Word</Application>
  <DocSecurity>0</DocSecurity>
  <Lines>194</Lines>
  <Paragraphs>54</Paragraphs>
  <ScaleCrop>false</ScaleCrop>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Brighton, Lisa Jane</dc:creator>
  <cp:keywords/>
  <dc:description/>
  <cp:lastModifiedBy>Lee, Boon</cp:lastModifiedBy>
  <cp:revision>2</cp:revision>
  <dcterms:created xsi:type="dcterms:W3CDTF">2023-01-08T19:26:00Z</dcterms:created>
  <dcterms:modified xsi:type="dcterms:W3CDTF">2023-01-08T19:26:00Z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2023-01-08T19:25:59Z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def72247-88c1-490f-b9d5-2581ea726850</vt:lpwstr>
  </property>
  <property fmtid="{D5CDD505-2E9C-101B-9397-08002B2CF9AE}" pid="8" name="MSIP_Label_2bbab825-a111-45e4-86a1-18cee0005896_ContentBits">
    <vt:lpwstr>2</vt:lpwstr>
  </property>
</Properties>
</file>