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37ED" w14:textId="3DD7CF69" w:rsidR="00A043E1" w:rsidRPr="0095713A" w:rsidRDefault="00A043E1" w:rsidP="00A043E1">
      <w:pPr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Supplementary Material</w:t>
      </w:r>
      <w:r w:rsidR="00245FC1" w:rsidRPr="0095713A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 and Methods</w:t>
      </w:r>
    </w:p>
    <w:p w14:paraId="0AD2CFCE" w14:textId="77777777" w:rsidR="0035481E" w:rsidRPr="0095713A" w:rsidRDefault="0035481E" w:rsidP="00A043E1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99A1858" w14:textId="77777777" w:rsidR="00256AB9" w:rsidRPr="0095713A" w:rsidRDefault="00256AB9" w:rsidP="00256AB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Cell Culture </w:t>
      </w:r>
    </w:p>
    <w:p w14:paraId="6D9C2090" w14:textId="0BEA47ED" w:rsidR="00256AB9" w:rsidRPr="0095713A" w:rsidRDefault="00256AB9" w:rsidP="00256AB9">
      <w:pPr>
        <w:spacing w:line="48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color w:val="000000"/>
          <w:lang w:val="en-US"/>
        </w:rPr>
        <w:t xml:space="preserve">Human embryonic kidney-derived 293T (HEK-293T) cells were purchased from the American Type Culture Collection (ATCC, Manassas, VA, USA); human non-small cell lung cancer (A549) cells, human hepatocellular carcinomas (HepG2) cells and human umbilical vein endothelial (HUVEC) cells were obtained from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BeNa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Culture Collection (BNCC, Beijing, China). All cells were cultured in Dulbecco’s modified essential medium (DMEM; Gibco, Carlsbad, CA, </w:t>
      </w:r>
      <w:r w:rsidRPr="0095713A">
        <w:rPr>
          <w:rFonts w:ascii="Times New Roman" w:hAnsi="Times New Roman" w:cs="Times New Roman"/>
          <w:bCs/>
          <w:color w:val="000000"/>
          <w:lang w:val="en-US"/>
        </w:rPr>
        <w:t>USA</w:t>
      </w:r>
      <w:r w:rsidRPr="0095713A">
        <w:rPr>
          <w:rFonts w:ascii="Times New Roman" w:hAnsi="Times New Roman" w:cs="Times New Roman"/>
          <w:color w:val="000000"/>
          <w:lang w:val="en-US"/>
        </w:rPr>
        <w:t>) with 10% fetal bovine serum (FBS; Gibco), 100 U/ml penicillin and 100 µg/ml streptomycin (Gibco), except that HUVEC cells were cultured in ECM medium (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ScienCell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, Carlsbad, CA, </w:t>
      </w:r>
      <w:r w:rsidRPr="0095713A">
        <w:rPr>
          <w:rFonts w:ascii="Times New Roman" w:hAnsi="Times New Roman" w:cs="Times New Roman"/>
          <w:bCs/>
          <w:color w:val="000000"/>
          <w:lang w:val="en-US"/>
        </w:rPr>
        <w:t>USA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) containing 10% FBS and 1% endothelial cell-derived growth factor (ECGS;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ScienCell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>).</w:t>
      </w:r>
    </w:p>
    <w:p w14:paraId="5420ACA8" w14:textId="7DE8F8C2" w:rsidR="0035481E" w:rsidRPr="0095713A" w:rsidRDefault="0035481E" w:rsidP="00256AB9">
      <w:pPr>
        <w:spacing w:line="480" w:lineRule="auto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color w:val="000000"/>
          <w:lang w:val="en-US"/>
        </w:rPr>
        <w:t xml:space="preserve">Cell viability assays </w:t>
      </w:r>
    </w:p>
    <w:p w14:paraId="6CA369D9" w14:textId="51B7CF38" w:rsidR="0035481E" w:rsidRPr="0095713A" w:rsidRDefault="0035481E" w:rsidP="0035481E">
      <w:pPr>
        <w:spacing w:line="48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color w:val="000000"/>
          <w:lang w:val="en-US"/>
        </w:rPr>
        <w:t xml:space="preserve">Cytotoxicity of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-Cur or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was examined with cultured cells seeded in 96-well plates and determined by MTS assay (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CellTiter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96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AQueous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One Solution from Promega, Madison, WI, USA). Cytotoxicity of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-Cur or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462B3" w:rsidRPr="0095713A">
        <w:rPr>
          <w:rFonts w:ascii="Times New Roman" w:hAnsi="Times New Roman" w:cs="Times New Roman"/>
          <w:color w:val="000000"/>
          <w:lang w:val="en-US"/>
        </w:rPr>
        <w:t xml:space="preserve">(0-100 µM)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was determined after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-Cur or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exposure</w:t>
      </w:r>
      <w:r w:rsidR="00256AB9" w:rsidRPr="0095713A">
        <w:rPr>
          <w:rFonts w:ascii="Times New Roman" w:hAnsi="Times New Roman" w:cs="Times New Roman"/>
          <w:color w:val="000000"/>
          <w:lang w:val="en-US"/>
        </w:rPr>
        <w:t xml:space="preserve"> for 48 hours</w:t>
      </w:r>
      <w:r w:rsidRPr="0095713A">
        <w:rPr>
          <w:rFonts w:ascii="Times New Roman" w:hAnsi="Times New Roman" w:cs="Times New Roman"/>
          <w:color w:val="000000"/>
          <w:lang w:val="en-US"/>
        </w:rPr>
        <w:t>.</w:t>
      </w:r>
    </w:p>
    <w:p w14:paraId="695A3044" w14:textId="36786ADE" w:rsidR="00304EBF" w:rsidRPr="0095713A" w:rsidRDefault="00304EBF" w:rsidP="00304EBF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Biodistribution of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TanIIA</w:t>
      </w:r>
      <w:proofErr w:type="spellEnd"/>
    </w:p>
    <w:p w14:paraId="2A427AF7" w14:textId="05416C3D" w:rsidR="00F712CB" w:rsidRPr="0095713A" w:rsidRDefault="00304EBF" w:rsidP="00304EBF">
      <w:pPr>
        <w:spacing w:line="48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color w:val="000000"/>
          <w:lang w:val="en-US"/>
        </w:rPr>
        <w:t xml:space="preserve">The 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quantification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of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in tissue</w:t>
      </w:r>
      <w:r w:rsidR="006E4062" w:rsidRPr="0095713A">
        <w:rPr>
          <w:rFonts w:ascii="Times New Roman" w:hAnsi="Times New Roman" w:cs="Times New Roman"/>
          <w:color w:val="000000"/>
          <w:lang w:val="en-US"/>
        </w:rPr>
        <w:t>s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was detected by HPLC. Biodistribution of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was 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>performed by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using 6-month-old male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ApoE</w:t>
      </w:r>
      <w:proofErr w:type="spellEnd"/>
      <w:r w:rsidRPr="0095713A">
        <w:rPr>
          <w:rFonts w:ascii="Times New Roman" w:hAnsi="Times New Roman" w:cs="Times New Roman"/>
          <w:color w:val="000000"/>
          <w:vertAlign w:val="superscript"/>
          <w:lang w:val="en-US"/>
        </w:rPr>
        <w:t>-/-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mice challenged with either </w:t>
      </w:r>
      <w:proofErr w:type="spellStart"/>
      <w:r w:rsidR="00516FC8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suspended in 0.5% carboxymethyl cellulose at a dose of 333.3 mg/kg by gavage or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(56.7 mg/kg </w:t>
      </w:r>
      <w:proofErr w:type="spellStart"/>
      <w:r w:rsidR="006E4062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) through </w:t>
      </w:r>
      <w:proofErr w:type="spellStart"/>
      <w:r w:rsidRPr="0095713A">
        <w:rPr>
          <w:rFonts w:ascii="Times New Roman" w:hAnsi="Times New Roman" w:cs="Times New Roman"/>
          <w:i/>
          <w:iCs/>
          <w:color w:val="000000"/>
          <w:lang w:val="en-US"/>
        </w:rPr>
        <w:t>ip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, with saline administered by </w:t>
      </w:r>
      <w:proofErr w:type="spellStart"/>
      <w:r w:rsidRPr="0095713A">
        <w:rPr>
          <w:rFonts w:ascii="Times New Roman" w:hAnsi="Times New Roman" w:cs="Times New Roman"/>
          <w:i/>
          <w:iCs/>
          <w:color w:val="000000"/>
          <w:lang w:val="en-US"/>
        </w:rPr>
        <w:t>ip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as </w:t>
      </w:r>
      <w:r w:rsidR="006E4062" w:rsidRPr="0095713A">
        <w:rPr>
          <w:rFonts w:ascii="Times New Roman" w:hAnsi="Times New Roman" w:cs="Times New Roman"/>
          <w:color w:val="000000"/>
          <w:lang w:val="en-US"/>
        </w:rPr>
        <w:t xml:space="preserve">the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control. 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 xml:space="preserve">Tissue distribution of </w:t>
      </w:r>
      <w:proofErr w:type="spellStart"/>
      <w:r w:rsidR="00516FC8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was determined 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 xml:space="preserve">at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0.5 h post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>treatment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by </w:t>
      </w:r>
      <w:proofErr w:type="spellStart"/>
      <w:r w:rsidRPr="0095713A">
        <w:rPr>
          <w:rFonts w:ascii="Times New Roman" w:hAnsi="Times New Roman" w:cs="Times New Roman"/>
          <w:i/>
          <w:iCs/>
          <w:color w:val="000000"/>
          <w:lang w:val="en-US"/>
        </w:rPr>
        <w:t>ip</w:t>
      </w:r>
      <w:proofErr w:type="spellEnd"/>
      <w:r w:rsidR="006E4062" w:rsidRPr="0095713A">
        <w:rPr>
          <w:rFonts w:ascii="Times New Roman" w:hAnsi="Times New Roman" w:cs="Times New Roman"/>
          <w:color w:val="000000"/>
          <w:lang w:val="en-US"/>
        </w:rPr>
        <w:t xml:space="preserve"> injection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 xml:space="preserve"> or free </w:t>
      </w:r>
      <w:proofErr w:type="spellStart"/>
      <w:r w:rsidR="00516FC8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="00516FC8" w:rsidRPr="0095713A">
        <w:rPr>
          <w:rFonts w:ascii="Times New Roman" w:hAnsi="Times New Roman" w:cs="Times New Roman"/>
          <w:color w:val="000000"/>
          <w:lang w:val="en-US"/>
        </w:rPr>
        <w:t xml:space="preserve"> by gavage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516FC8" w:rsidRPr="0095713A">
        <w:rPr>
          <w:rFonts w:ascii="Times New Roman" w:hAnsi="Times New Roman" w:cs="Times New Roman"/>
          <w:color w:val="000000"/>
          <w:lang w:val="en-US"/>
        </w:rPr>
        <w:t>Briefly</w:t>
      </w:r>
      <w:r w:rsidRPr="0095713A">
        <w:rPr>
          <w:rFonts w:ascii="Times New Roman" w:hAnsi="Times New Roman" w:cs="Times New Roman"/>
          <w:color w:val="000000"/>
          <w:lang w:val="en-US"/>
        </w:rPr>
        <w:t>, 500 µL saline was added to 100 mg tissues, followed by homogenization at 70 Hz for 120 s and centrifugation at 13000 rpm, 4℃ for 10 min. The supernatant was collected and extracted with a five</w:t>
      </w:r>
      <w:r w:rsidR="006E4062" w:rsidRPr="0095713A">
        <w:rPr>
          <w:rFonts w:ascii="Times New Roman" w:hAnsi="Times New Roman" w:cs="Times New Roman"/>
          <w:color w:val="000000"/>
          <w:lang w:val="en-US"/>
        </w:rPr>
        <w:t>-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fold volume of ethyl acetate. The ethyl acetate extract was </w:t>
      </w:r>
      <w:r w:rsidR="00F712CB" w:rsidRPr="0095713A">
        <w:rPr>
          <w:rFonts w:ascii="Times New Roman" w:hAnsi="Times New Roman" w:cs="Times New Roman"/>
          <w:color w:val="000000"/>
          <w:lang w:val="en-US"/>
        </w:rPr>
        <w:lastRenderedPageBreak/>
        <w:t>evaporated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to dryness in vacuo</w:t>
      </w:r>
      <w:r w:rsidR="00F712CB" w:rsidRPr="0095713A">
        <w:rPr>
          <w:rFonts w:ascii="Times New Roman" w:hAnsi="Times New Roman" w:cs="Times New Roman"/>
          <w:color w:val="000000"/>
          <w:lang w:val="en-US"/>
        </w:rPr>
        <w:t>,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and the residue dissolved in acetonitrile. </w:t>
      </w:r>
      <w:r w:rsidR="00F712CB" w:rsidRPr="0095713A">
        <w:rPr>
          <w:rFonts w:ascii="Times New Roman" w:hAnsi="Times New Roman" w:cs="Times New Roman"/>
          <w:color w:val="000000"/>
          <w:lang w:val="en-US"/>
        </w:rPr>
        <w:t xml:space="preserve">In chromatography, Agilent </w:t>
      </w:r>
      <w:proofErr w:type="spellStart"/>
      <w:r w:rsidR="00F712CB" w:rsidRPr="0095713A">
        <w:rPr>
          <w:rFonts w:ascii="Times New Roman" w:hAnsi="Times New Roman" w:cs="Times New Roman"/>
          <w:color w:val="000000"/>
          <w:lang w:val="en-US"/>
        </w:rPr>
        <w:t>Zorbax</w:t>
      </w:r>
      <w:proofErr w:type="spellEnd"/>
      <w:r w:rsidR="00F712CB" w:rsidRPr="0095713A">
        <w:rPr>
          <w:rFonts w:ascii="Times New Roman" w:hAnsi="Times New Roman" w:cs="Times New Roman"/>
          <w:color w:val="000000"/>
          <w:lang w:val="en-US"/>
        </w:rPr>
        <w:t xml:space="preserve"> SB-C18 column was used as the stationary phase (4.6 mm × 250 mm, 5 </w:t>
      </w:r>
      <w:proofErr w:type="spellStart"/>
      <w:r w:rsidR="00F712CB" w:rsidRPr="0095713A">
        <w:rPr>
          <w:rFonts w:ascii="Times New Roman" w:hAnsi="Times New Roman" w:cs="Times New Roman"/>
          <w:color w:val="000000"/>
          <w:lang w:val="en-US"/>
        </w:rPr>
        <w:t>μm</w:t>
      </w:r>
      <w:proofErr w:type="spellEnd"/>
      <w:r w:rsidR="00F712CB" w:rsidRPr="0095713A">
        <w:rPr>
          <w:rFonts w:ascii="Times New Roman" w:hAnsi="Times New Roman" w:cs="Times New Roman"/>
          <w:color w:val="000000"/>
          <w:lang w:val="en-US"/>
        </w:rPr>
        <w:t xml:space="preserve">), and the mobile phase was methanol and 0.2% acetic acid (82:18, v/v) at a flow rate of 1 mL/min with the retention time being </w:t>
      </w:r>
      <w:r w:rsidR="003626C0" w:rsidRPr="0095713A">
        <w:rPr>
          <w:rFonts w:ascii="Times New Roman" w:hAnsi="Times New Roman" w:cs="Times New Roman"/>
          <w:color w:val="000000"/>
          <w:lang w:val="en-US"/>
        </w:rPr>
        <w:t xml:space="preserve">13 </w:t>
      </w:r>
      <w:r w:rsidR="00F712CB" w:rsidRPr="0095713A">
        <w:rPr>
          <w:rFonts w:ascii="Times New Roman" w:hAnsi="Times New Roman" w:cs="Times New Roman"/>
          <w:color w:val="000000"/>
          <w:lang w:val="en-US"/>
        </w:rPr>
        <w:t xml:space="preserve">min. The amounts of </w:t>
      </w:r>
      <w:proofErr w:type="spellStart"/>
      <w:r w:rsidR="00F712CB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="00F712CB" w:rsidRPr="0095713A">
        <w:rPr>
          <w:rFonts w:ascii="Times New Roman" w:hAnsi="Times New Roman" w:cs="Times New Roman"/>
          <w:color w:val="000000"/>
          <w:lang w:val="en-US"/>
        </w:rPr>
        <w:t xml:space="preserve"> were quantified at 275 nm.</w:t>
      </w:r>
    </w:p>
    <w:p w14:paraId="12AB3725" w14:textId="15AC6EB1" w:rsidR="00A043E1" w:rsidRPr="0095713A" w:rsidRDefault="0035481E" w:rsidP="0035481E">
      <w:pPr>
        <w:spacing w:line="48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Ex vivo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 targeting of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pHDL</w:t>
      </w:r>
      <w:proofErr w:type="spellEnd"/>
    </w:p>
    <w:p w14:paraId="5E942ED4" w14:textId="540BCC44" w:rsidR="00A043E1" w:rsidRPr="0095713A" w:rsidRDefault="00A043E1" w:rsidP="0035481E">
      <w:pPr>
        <w:pStyle w:val="ListParagraph"/>
        <w:autoSpaceDE w:val="0"/>
        <w:autoSpaceDN w:val="0"/>
        <w:adjustRightInd w:val="0"/>
        <w:spacing w:line="480" w:lineRule="auto"/>
        <w:ind w:left="0"/>
        <w:jc w:val="both"/>
        <w:rPr>
          <w:rFonts w:ascii="Times New Roman" w:hAnsi="Times New Roman"/>
          <w:color w:val="000000"/>
        </w:rPr>
      </w:pPr>
      <w:r w:rsidRPr="0095713A">
        <w:rPr>
          <w:rFonts w:ascii="Times New Roman" w:hAnsi="Times New Roman"/>
          <w:bCs/>
          <w:color w:val="000000"/>
        </w:rPr>
        <w:t xml:space="preserve">C57BL/6J and </w:t>
      </w:r>
      <w:proofErr w:type="spellStart"/>
      <w:r w:rsidRPr="0095713A">
        <w:rPr>
          <w:rFonts w:ascii="Times New Roman" w:hAnsi="Times New Roman"/>
          <w:i/>
          <w:iCs/>
          <w:color w:val="000000"/>
        </w:rPr>
        <w:t>ApoE</w:t>
      </w:r>
      <w:proofErr w:type="spellEnd"/>
      <w:r w:rsidRPr="0095713A">
        <w:rPr>
          <w:rFonts w:ascii="Times New Roman" w:hAnsi="Times New Roman"/>
          <w:i/>
          <w:iCs/>
          <w:color w:val="000000"/>
          <w:vertAlign w:val="superscript"/>
        </w:rPr>
        <w:t>-/-</w:t>
      </w:r>
      <w:r w:rsidRPr="0095713A">
        <w:rPr>
          <w:rFonts w:ascii="Times New Roman" w:hAnsi="Times New Roman"/>
          <w:color w:val="000000"/>
          <w:vertAlign w:val="superscript"/>
        </w:rPr>
        <w:t xml:space="preserve"> </w:t>
      </w:r>
      <w:r w:rsidRPr="0095713A">
        <w:rPr>
          <w:rFonts w:ascii="Times New Roman" w:hAnsi="Times New Roman"/>
          <w:color w:val="000000"/>
        </w:rPr>
        <w:t>mice of established AS</w:t>
      </w:r>
      <w:r w:rsidRPr="0095713A">
        <w:rPr>
          <w:rFonts w:ascii="Times New Roman" w:hAnsi="Times New Roman"/>
          <w:bCs/>
          <w:color w:val="000000"/>
        </w:rPr>
        <w:t xml:space="preserve"> plaque were subjected to </w:t>
      </w:r>
      <w:proofErr w:type="spellStart"/>
      <w:r w:rsidRPr="0095713A">
        <w:rPr>
          <w:rFonts w:ascii="Times New Roman" w:hAnsi="Times New Roman"/>
          <w:bCs/>
          <w:i/>
          <w:iCs/>
          <w:color w:val="000000"/>
        </w:rPr>
        <w:t>ip</w:t>
      </w:r>
      <w:proofErr w:type="spellEnd"/>
      <w:r w:rsidRPr="0095713A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95713A">
        <w:rPr>
          <w:rFonts w:ascii="Times New Roman" w:hAnsi="Times New Roman"/>
          <w:bCs/>
          <w:color w:val="000000"/>
        </w:rPr>
        <w:t>of 40 mg/kg FITC-</w:t>
      </w:r>
      <w:proofErr w:type="spellStart"/>
      <w:r w:rsidRPr="0095713A">
        <w:rPr>
          <w:rFonts w:ascii="Times New Roman" w:hAnsi="Times New Roman"/>
          <w:bCs/>
          <w:color w:val="000000"/>
        </w:rPr>
        <w:t>pHDL</w:t>
      </w:r>
      <w:proofErr w:type="spellEnd"/>
      <w:r w:rsidR="00DF0678" w:rsidRPr="0095713A">
        <w:rPr>
          <w:rFonts w:ascii="Times New Roman" w:hAnsi="Times New Roman"/>
          <w:bCs/>
          <w:color w:val="000000"/>
        </w:rPr>
        <w:t xml:space="preserve"> synthesized by </w:t>
      </w:r>
      <w:proofErr w:type="spellStart"/>
      <w:r w:rsidR="00DF0678" w:rsidRPr="0095713A">
        <w:rPr>
          <w:rFonts w:ascii="Times New Roman" w:hAnsi="Times New Roman"/>
          <w:bCs/>
          <w:color w:val="000000"/>
        </w:rPr>
        <w:t>Genscript</w:t>
      </w:r>
      <w:proofErr w:type="spellEnd"/>
      <w:r w:rsidR="00DF0678" w:rsidRPr="0095713A">
        <w:rPr>
          <w:rFonts w:ascii="Times New Roman" w:hAnsi="Times New Roman"/>
          <w:bCs/>
          <w:color w:val="000000"/>
        </w:rPr>
        <w:t xml:space="preserve"> Inc</w:t>
      </w:r>
      <w:r w:rsidRPr="0095713A">
        <w:rPr>
          <w:rFonts w:ascii="Times New Roman" w:hAnsi="Times New Roman"/>
          <w:bCs/>
          <w:color w:val="000000"/>
        </w:rPr>
        <w:t xml:space="preserve">. </w:t>
      </w:r>
      <w:r w:rsidRPr="0095713A">
        <w:rPr>
          <w:rFonts w:ascii="Times New Roman" w:hAnsi="Times New Roman" w:hint="eastAsia"/>
          <w:bCs/>
          <w:color w:val="000000"/>
          <w:lang w:eastAsia="zh-CN"/>
        </w:rPr>
        <w:t>F</w:t>
      </w:r>
      <w:r w:rsidRPr="0095713A">
        <w:rPr>
          <w:rFonts w:ascii="Times New Roman" w:hAnsi="Times New Roman"/>
          <w:bCs/>
          <w:color w:val="000000"/>
        </w:rPr>
        <w:t>orty minutes after injection, mice were isoflurane euthanized and kept on a warm patch, then the hair of the imaging regions was carefully removed. To obtain signals of high purity and sustainability, we captured traces of FITC-</w:t>
      </w:r>
      <w:proofErr w:type="spellStart"/>
      <w:r w:rsidRPr="0095713A">
        <w:rPr>
          <w:rFonts w:ascii="Times New Roman" w:hAnsi="Times New Roman"/>
          <w:bCs/>
          <w:color w:val="000000"/>
        </w:rPr>
        <w:t>pHDL</w:t>
      </w:r>
      <w:proofErr w:type="spellEnd"/>
      <w:r w:rsidRPr="0095713A">
        <w:rPr>
          <w:rFonts w:ascii="Times New Roman" w:hAnsi="Times New Roman"/>
          <w:bCs/>
          <w:color w:val="000000"/>
        </w:rPr>
        <w:t xml:space="preserve"> from both the whole animal and the dissected heart and aorta using the IVIS </w:t>
      </w:r>
      <w:r w:rsidRPr="0095713A">
        <w:rPr>
          <w:rFonts w:ascii="Times New Roman" w:hAnsi="Times New Roman"/>
          <w:color w:val="000000"/>
        </w:rPr>
        <w:t>Imaging System.</w:t>
      </w:r>
    </w:p>
    <w:p w14:paraId="710D71F7" w14:textId="77777777" w:rsidR="00256AB9" w:rsidRPr="0095713A" w:rsidRDefault="00256AB9">
      <w:pPr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br w:type="page"/>
      </w:r>
    </w:p>
    <w:p w14:paraId="3934A990" w14:textId="35D615C2" w:rsidR="00A043E1" w:rsidRPr="0095713A" w:rsidRDefault="00A043E1" w:rsidP="00A043E1">
      <w:pPr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Supplementary Figures</w:t>
      </w:r>
    </w:p>
    <w:p w14:paraId="5C162AAF" w14:textId="053F31CC" w:rsidR="00A043E1" w:rsidRPr="0095713A" w:rsidRDefault="00A043E1" w:rsidP="00A043E1">
      <w:pPr>
        <w:rPr>
          <w:color w:val="000000"/>
          <w:lang w:val="en-US"/>
        </w:rPr>
      </w:pPr>
    </w:p>
    <w:p w14:paraId="47A03D20" w14:textId="77777777" w:rsidR="00A043E1" w:rsidRPr="0095713A" w:rsidRDefault="00A043E1" w:rsidP="00C41D13">
      <w:pPr>
        <w:jc w:val="center"/>
        <w:rPr>
          <w:color w:val="000000"/>
          <w:lang w:val="en-US"/>
        </w:rPr>
      </w:pPr>
    </w:p>
    <w:p w14:paraId="7C6DEE8A" w14:textId="05783B34" w:rsidR="00C41D13" w:rsidRPr="0095713A" w:rsidRDefault="00C41D13" w:rsidP="00C41D13">
      <w:pPr>
        <w:jc w:val="center"/>
        <w:rPr>
          <w:color w:val="000000"/>
          <w:lang w:val="en-US"/>
        </w:rPr>
      </w:pPr>
      <w:r w:rsidRPr="0095713A">
        <w:rPr>
          <w:noProof/>
          <w:color w:val="000000"/>
          <w:lang w:val="en-US"/>
        </w:rPr>
        <w:drawing>
          <wp:inline distT="0" distB="0" distL="0" distR="0" wp14:anchorId="15D29456" wp14:editId="2247B48D">
            <wp:extent cx="2956214" cy="1861320"/>
            <wp:effectExtent l="0" t="0" r="3175" b="5715"/>
            <wp:docPr id="20" name="Picture 19" descr="A picture containing orange, beverage, glass, kitchen applian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656245-5D7C-F543-99CF-3544F144C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picture containing orange, beverage, glass, kitchen appliance&#10;&#10;Description automatically generated">
                      <a:extLst>
                        <a:ext uri="{FF2B5EF4-FFF2-40B4-BE49-F238E27FC236}">
                          <a16:creationId xmlns:a16="http://schemas.microsoft.com/office/drawing/2014/main" id="{D2656245-5D7C-F543-99CF-3544F144C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5097" cy="187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F1A2" w14:textId="77777777" w:rsidR="0021079D" w:rsidRPr="0095713A" w:rsidRDefault="0021079D" w:rsidP="00C41D13">
      <w:pPr>
        <w:jc w:val="center"/>
        <w:rPr>
          <w:color w:val="000000"/>
          <w:lang w:val="en-US"/>
        </w:rPr>
      </w:pPr>
    </w:p>
    <w:p w14:paraId="2AFF541F" w14:textId="306E8EA8" w:rsidR="00C41D13" w:rsidRPr="0095713A" w:rsidRDefault="00C41D13" w:rsidP="00A043E1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Figure S1. Optimization of synthetic parameters of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pHDL-TanIIA</w:t>
      </w:r>
      <w:proofErr w:type="spellEnd"/>
      <w:r w:rsidR="00A043E1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(A), purified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synthesized using microfluidics under selected flow rate in external-middle-external channels of 2.5-1-2.5 ml/min (a), 10-1-10 ml/min (b), and 5-1-5 ml/min (c), respectively. (B), purified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synthesized using microfluidics with 0.1 mg/ml peptide (a) or 0.2 mg/ml peptide (b). </w:t>
      </w:r>
    </w:p>
    <w:p w14:paraId="1C639934" w14:textId="77777777" w:rsidR="003626C0" w:rsidRPr="0095713A" w:rsidRDefault="003626C0" w:rsidP="00A043E1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1DF30A1" w14:textId="77777777" w:rsidR="003626C0" w:rsidRPr="0095713A" w:rsidRDefault="003626C0" w:rsidP="00A043E1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4247D12" w14:textId="54F10F25" w:rsidR="0031564C" w:rsidRPr="0095713A" w:rsidRDefault="00304EBF" w:rsidP="00C41D13">
      <w:pPr>
        <w:rPr>
          <w:color w:val="000000"/>
          <w:lang w:val="en-US"/>
        </w:rPr>
      </w:pPr>
      <w:r w:rsidRPr="0095713A">
        <w:rPr>
          <w:color w:val="000000"/>
          <w:lang w:val="en-US"/>
        </w:rPr>
        <w:t xml:space="preserve">  </w:t>
      </w:r>
      <w:r w:rsidR="0047356D" w:rsidRPr="0095713A">
        <w:rPr>
          <w:noProof/>
          <w:color w:val="000000"/>
          <w:lang w:val="en-US"/>
        </w:rPr>
        <w:drawing>
          <wp:inline distT="0" distB="0" distL="0" distR="0" wp14:anchorId="11F931E1" wp14:editId="5A07626F">
            <wp:extent cx="5527963" cy="1913526"/>
            <wp:effectExtent l="0" t="0" r="0" b="4445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138" cy="194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D403" w14:textId="77777777" w:rsidR="0021079D" w:rsidRPr="0095713A" w:rsidRDefault="0021079D" w:rsidP="00C41D13">
      <w:pPr>
        <w:rPr>
          <w:color w:val="000000"/>
          <w:lang w:val="en-US"/>
        </w:rPr>
      </w:pPr>
    </w:p>
    <w:p w14:paraId="18BB5F63" w14:textId="0695561C" w:rsidR="0047356D" w:rsidRPr="0095713A" w:rsidRDefault="0047356D" w:rsidP="00BF7812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Figure </w:t>
      </w:r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>S2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Stability </w:t>
      </w:r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of </w:t>
      </w:r>
      <w:proofErr w:type="spellStart"/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>pHDL-TanIIA</w:t>
      </w:r>
      <w:proofErr w:type="spellEnd"/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and </w:t>
      </w:r>
      <w:r w:rsidR="00D72462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distribution of </w:t>
      </w:r>
      <w:proofErr w:type="spellStart"/>
      <w:r w:rsidR="003626C0" w:rsidRPr="0095713A">
        <w:rPr>
          <w:rFonts w:ascii="Times New Roman" w:hAnsi="Times New Roman" w:cs="Times New Roman" w:hint="eastAsia"/>
          <w:b/>
          <w:bCs/>
          <w:color w:val="000000"/>
          <w:lang w:val="en-US"/>
        </w:rPr>
        <w:t>pHDL</w:t>
      </w:r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>-</w:t>
      </w:r>
      <w:r w:rsidR="00D72462" w:rsidRPr="0095713A">
        <w:rPr>
          <w:rFonts w:ascii="Times New Roman" w:hAnsi="Times New Roman" w:cs="Times New Roman"/>
          <w:b/>
          <w:bCs/>
          <w:color w:val="000000"/>
          <w:lang w:val="en-US"/>
        </w:rPr>
        <w:t>TanIIA</w:t>
      </w:r>
      <w:proofErr w:type="spellEnd"/>
      <w:r w:rsidR="003626C0" w:rsidRPr="0095713A">
        <w:rPr>
          <w:rFonts w:ascii="Times New Roman" w:hAnsi="Times New Roman" w:cs="Times New Roman"/>
          <w:b/>
          <w:bCs/>
          <w:color w:val="000000"/>
          <w:lang w:val="en-US"/>
        </w:rPr>
        <w:t>/</w:t>
      </w:r>
      <w:proofErr w:type="spellStart"/>
      <w:r w:rsidR="003626C0" w:rsidRPr="0095713A">
        <w:rPr>
          <w:rFonts w:ascii="Times New Roman" w:hAnsi="Times New Roman" w:cs="Times New Roman" w:hint="eastAsia"/>
          <w:b/>
          <w:bCs/>
          <w:color w:val="000000"/>
          <w:lang w:val="en-US"/>
        </w:rPr>
        <w:t>TanIIA</w:t>
      </w:r>
      <w:proofErr w:type="spellEnd"/>
      <w:r w:rsidR="00D72462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 in tissues of </w:t>
      </w:r>
      <w:proofErr w:type="spellStart"/>
      <w:r w:rsidR="00D72462" w:rsidRPr="0095713A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ApoE</w:t>
      </w:r>
      <w:proofErr w:type="spellEnd"/>
      <w:r w:rsidR="00D72462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 deficient mice. 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(A), stability of </w:t>
      </w:r>
      <w:proofErr w:type="spellStart"/>
      <w:r w:rsidR="00D72462"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03B38" w:rsidRPr="0095713A">
        <w:rPr>
          <w:rFonts w:ascii="Times New Roman" w:hAnsi="Times New Roman" w:cs="Times New Roman" w:hint="eastAsia"/>
          <w:color w:val="000000"/>
          <w:lang w:val="en-US"/>
        </w:rPr>
        <w:t>in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the condition of H</w:t>
      </w:r>
      <w:r w:rsidR="00D72462" w:rsidRPr="0095713A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>O or FBS at 37°C measured at T=0, 0.17, 0.33, 0.5, 0.67, 1, 2, and 12 h of incubation</w:t>
      </w:r>
      <w:r w:rsidR="00703B38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03B38" w:rsidRPr="0095713A">
        <w:rPr>
          <w:rFonts w:ascii="Times New Roman" w:hAnsi="Times New Roman" w:cs="Times New Roman" w:hint="eastAsia"/>
          <w:color w:val="000000"/>
          <w:lang w:val="en-US"/>
        </w:rPr>
        <w:t>time</w:t>
      </w:r>
      <w:r w:rsidR="00703B38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03B38" w:rsidRPr="0095713A">
        <w:rPr>
          <w:rFonts w:ascii="Times New Roman" w:hAnsi="Times New Roman" w:cs="Times New Roman" w:hint="eastAsia"/>
          <w:color w:val="000000"/>
          <w:lang w:val="en-US"/>
        </w:rPr>
        <w:t>using</w:t>
      </w:r>
      <w:r w:rsidR="00703B38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03B38" w:rsidRPr="0095713A">
        <w:rPr>
          <w:rFonts w:ascii="Times New Roman" w:hAnsi="Times New Roman" w:cs="Times New Roman" w:hint="eastAsia"/>
          <w:color w:val="000000"/>
          <w:lang w:val="en-US"/>
        </w:rPr>
        <w:t>HPLC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. (B), tissue distribution of </w:t>
      </w:r>
      <w:proofErr w:type="spellStart"/>
      <w:r w:rsidR="00D72462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="00703B38" w:rsidRPr="0095713A">
        <w:rPr>
          <w:rFonts w:ascii="Times New Roman" w:hAnsi="Times New Roman" w:cs="Times New Roman"/>
          <w:color w:val="000000"/>
          <w:lang w:val="en-US"/>
        </w:rPr>
        <w:t xml:space="preserve"> by HPLC was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03B38" w:rsidRPr="0095713A">
        <w:rPr>
          <w:rFonts w:ascii="Times New Roman" w:hAnsi="Times New Roman" w:cs="Times New Roman"/>
          <w:color w:val="000000"/>
          <w:lang w:val="en-US"/>
        </w:rPr>
        <w:t xml:space="preserve">determined 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>at T</w:t>
      </w:r>
      <w:r w:rsidR="006E3524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>=</w:t>
      </w:r>
      <w:r w:rsidR="006E3524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0.5 h post </w:t>
      </w:r>
      <w:proofErr w:type="spellStart"/>
      <w:r w:rsidR="00D72462"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treatment by </w:t>
      </w:r>
      <w:proofErr w:type="spellStart"/>
      <w:r w:rsidR="00D72462" w:rsidRPr="0095713A">
        <w:rPr>
          <w:rFonts w:ascii="Times New Roman" w:hAnsi="Times New Roman" w:cs="Times New Roman"/>
          <w:i/>
          <w:iCs/>
          <w:color w:val="000000"/>
          <w:lang w:val="en-US"/>
        </w:rPr>
        <w:t>ip</w:t>
      </w:r>
      <w:proofErr w:type="spellEnd"/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injection or free </w:t>
      </w:r>
      <w:proofErr w:type="spellStart"/>
      <w:r w:rsidR="00D72462" w:rsidRPr="0095713A">
        <w:rPr>
          <w:rFonts w:ascii="Times New Roman" w:hAnsi="Times New Roman" w:cs="Times New Roman"/>
          <w:color w:val="000000"/>
          <w:lang w:val="en-US"/>
        </w:rPr>
        <w:t>TanIIA</w:t>
      </w:r>
      <w:proofErr w:type="spellEnd"/>
      <w:r w:rsidR="00D72462" w:rsidRPr="0095713A">
        <w:rPr>
          <w:rFonts w:ascii="Times New Roman" w:hAnsi="Times New Roman" w:cs="Times New Roman"/>
          <w:color w:val="000000"/>
          <w:lang w:val="en-US"/>
        </w:rPr>
        <w:t xml:space="preserve"> by gavage.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B5E9B" w:rsidRPr="0095713A">
        <w:rPr>
          <w:rFonts w:ascii="Times New Roman" w:hAnsi="Times New Roman" w:cs="Times New Roman" w:hint="eastAsia"/>
          <w:color w:val="000000"/>
          <w:lang w:val="en-US"/>
        </w:rPr>
        <w:t>D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ata are average of at least 3 animals and expressed as </w:t>
      </w:r>
      <w:proofErr w:type="spellStart"/>
      <w:r w:rsidR="009B5E9B" w:rsidRPr="0095713A">
        <w:rPr>
          <w:rFonts w:ascii="Times New Roman" w:hAnsi="Times New Roman" w:cs="Times New Roman"/>
          <w:color w:val="000000"/>
          <w:lang w:val="en-US"/>
        </w:rPr>
        <w:t>mean±SEM</w:t>
      </w:r>
      <w:proofErr w:type="spellEnd"/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. *, </w:t>
      </w:r>
      <w:r w:rsidR="009B5E9B" w:rsidRPr="0095713A">
        <w:rPr>
          <w:rFonts w:ascii="Times New Roman" w:hAnsi="Times New Roman" w:cs="Times New Roman"/>
          <w:i/>
          <w:iCs/>
          <w:color w:val="000000"/>
          <w:lang w:val="en-US"/>
        </w:rPr>
        <w:t>P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&lt;0.05; **, </w:t>
      </w:r>
      <w:r w:rsidR="009B5E9B" w:rsidRPr="0095713A">
        <w:rPr>
          <w:rFonts w:ascii="Times New Roman" w:hAnsi="Times New Roman" w:cs="Times New Roman"/>
          <w:i/>
          <w:iCs/>
          <w:color w:val="000000"/>
          <w:lang w:val="en-US"/>
        </w:rPr>
        <w:t>P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&lt;0.01; and ***, </w:t>
      </w:r>
      <w:r w:rsidR="009B5E9B" w:rsidRPr="0095713A">
        <w:rPr>
          <w:rFonts w:ascii="Times New Roman" w:hAnsi="Times New Roman" w:cs="Times New Roman"/>
          <w:i/>
          <w:iCs/>
          <w:color w:val="000000"/>
          <w:lang w:val="en-US"/>
        </w:rPr>
        <w:t>P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&lt;0.005 </w:t>
      </w:r>
      <w:r w:rsidR="009B5E9B" w:rsidRPr="0095713A">
        <w:rPr>
          <w:rFonts w:ascii="Times New Roman" w:hAnsi="Times New Roman" w:cs="Times New Roman"/>
          <w:i/>
          <w:iCs/>
          <w:color w:val="000000"/>
          <w:lang w:val="en-US"/>
        </w:rPr>
        <w:t>vs</w:t>
      </w:r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 corresponding </w:t>
      </w:r>
      <w:proofErr w:type="spellStart"/>
      <w:r w:rsidR="009B5E9B" w:rsidRPr="0095713A">
        <w:rPr>
          <w:rFonts w:ascii="Times New Roman" w:hAnsi="Times New Roman" w:cs="Times New Roman" w:hint="eastAsia"/>
          <w:color w:val="000000"/>
          <w:lang w:val="en-US"/>
        </w:rPr>
        <w:t>TanIIA</w:t>
      </w:r>
      <w:proofErr w:type="spellEnd"/>
      <w:r w:rsidR="009B5E9B" w:rsidRPr="0095713A">
        <w:rPr>
          <w:rFonts w:ascii="Times New Roman" w:hAnsi="Times New Roman" w:cs="Times New Roman"/>
          <w:color w:val="000000"/>
          <w:lang w:val="en-US"/>
        </w:rPr>
        <w:t xml:space="preserve"> by gavage.</w:t>
      </w:r>
    </w:p>
    <w:p w14:paraId="40EB5077" w14:textId="6F2352BA" w:rsidR="00D72462" w:rsidRPr="0095713A" w:rsidRDefault="00D72462" w:rsidP="00C41D13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B18A8A6" w14:textId="77777777" w:rsidR="003626C0" w:rsidRPr="0095713A" w:rsidRDefault="003626C0" w:rsidP="003626C0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C0A951D" w14:textId="29F6EAE9" w:rsidR="003626C0" w:rsidRPr="0095713A" w:rsidRDefault="00F1577D" w:rsidP="003626C0">
      <w:pPr>
        <w:spacing w:line="276" w:lineRule="auto"/>
        <w:jc w:val="distribute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noProof/>
          <w:color w:val="000000"/>
          <w:lang w:val="en-US"/>
        </w:rPr>
        <w:lastRenderedPageBreak/>
        <w:drawing>
          <wp:inline distT="0" distB="0" distL="0" distR="0" wp14:anchorId="009EC5F7" wp14:editId="5656FA29">
            <wp:extent cx="5685086" cy="288824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474" cy="291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744D6" w14:textId="77777777" w:rsidR="003626C0" w:rsidRPr="0095713A" w:rsidRDefault="003626C0" w:rsidP="003626C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2AE8B4A3" w14:textId="208D9B3C" w:rsidR="003626C0" w:rsidRPr="0095713A" w:rsidRDefault="003626C0" w:rsidP="003626C0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Figure S</w:t>
      </w:r>
      <w:r w:rsidR="00703B38" w:rsidRPr="0095713A">
        <w:rPr>
          <w:rFonts w:ascii="Times New Roman" w:hAnsi="Times New Roman" w:cs="Times New Roman"/>
          <w:b/>
          <w:bCs/>
          <w:color w:val="000000"/>
          <w:lang w:val="en-US"/>
        </w:rPr>
        <w:t>3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Cell viabilities in response to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-Cur or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r w:rsidRPr="0095713A">
        <w:rPr>
          <w:rFonts w:ascii="Times New Roman" w:hAnsi="Times New Roman" w:cs="Times New Roman"/>
          <w:color w:val="000000"/>
          <w:lang w:val="en-US"/>
        </w:rPr>
        <w:t>Cell viability was measured in HEK</w:t>
      </w:r>
      <w:r w:rsidR="00703B38" w:rsidRPr="0095713A">
        <w:rPr>
          <w:rFonts w:ascii="Times New Roman" w:hAnsi="Times New Roman" w:cs="Times New Roman"/>
          <w:color w:val="000000"/>
          <w:lang w:val="en-US"/>
        </w:rPr>
        <w:t>-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293T (A), A549 (B), HepG2 (C) and HUVEC (D) cell lines after 48 h exposure to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-Cur or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pHDL-TanIIA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 xml:space="preserve"> at indicated concentrations. Data were averaged of at least 3 independent experiments and calculated as % of corresponding non-treated control cells. </w:t>
      </w:r>
    </w:p>
    <w:p w14:paraId="3C66A476" w14:textId="77777777" w:rsidR="003626C0" w:rsidRPr="0095713A" w:rsidRDefault="003626C0" w:rsidP="003626C0">
      <w:pPr>
        <w:rPr>
          <w:rFonts w:ascii="Times New Roman" w:hAnsi="Times New Roman" w:cs="Times New Roman"/>
          <w:color w:val="000000"/>
          <w:lang w:val="en-US"/>
        </w:rPr>
      </w:pPr>
    </w:p>
    <w:p w14:paraId="48C01523" w14:textId="77777777" w:rsidR="003626C0" w:rsidRPr="0095713A" w:rsidRDefault="003626C0" w:rsidP="003626C0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92993D2" w14:textId="77777777" w:rsidR="003626C0" w:rsidRPr="0095713A" w:rsidRDefault="003626C0" w:rsidP="00C41D13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6D8217F" w14:textId="77777777" w:rsidR="00D72462" w:rsidRPr="0095713A" w:rsidRDefault="00D72462" w:rsidP="00C41D13">
      <w:pPr>
        <w:rPr>
          <w:color w:val="000000"/>
          <w:lang w:val="en-US"/>
        </w:rPr>
      </w:pPr>
    </w:p>
    <w:p w14:paraId="1751973A" w14:textId="3AAC81D2" w:rsidR="00C41D13" w:rsidRPr="0095713A" w:rsidRDefault="00C41D13" w:rsidP="00C41D13">
      <w:pPr>
        <w:jc w:val="center"/>
        <w:rPr>
          <w:color w:val="000000"/>
          <w:lang w:val="en-US"/>
        </w:rPr>
      </w:pPr>
      <w:r w:rsidRPr="0095713A">
        <w:rPr>
          <w:noProof/>
          <w:color w:val="000000"/>
          <w:lang w:val="en-US"/>
        </w:rPr>
        <w:drawing>
          <wp:inline distT="0" distB="0" distL="0" distR="0" wp14:anchorId="010C2774" wp14:editId="5142E960">
            <wp:extent cx="4213514" cy="2032951"/>
            <wp:effectExtent l="0" t="0" r="317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722B557-D96A-734B-B4A6-521DFED14B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722B557-D96A-734B-B4A6-521DFED14B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0184" cy="204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D1DC0" w14:textId="77777777" w:rsidR="00A043E1" w:rsidRPr="0095713A" w:rsidRDefault="00A043E1" w:rsidP="00C41D13">
      <w:pPr>
        <w:jc w:val="center"/>
        <w:rPr>
          <w:color w:val="000000"/>
          <w:lang w:val="en-US"/>
        </w:rPr>
      </w:pPr>
    </w:p>
    <w:p w14:paraId="4726CD72" w14:textId="5BA51E44" w:rsidR="00017515" w:rsidRPr="0095713A" w:rsidRDefault="00C41D13" w:rsidP="0021079D">
      <w:pPr>
        <w:jc w:val="both"/>
        <w:rPr>
          <w:color w:val="000000"/>
          <w:lang w:val="en-US"/>
        </w:rPr>
      </w:pP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Figure S</w:t>
      </w:r>
      <w:r w:rsidR="00D72462" w:rsidRPr="0095713A">
        <w:rPr>
          <w:rFonts w:ascii="Times New Roman" w:hAnsi="Times New Roman" w:cs="Times New Roman"/>
          <w:b/>
          <w:bCs/>
          <w:color w:val="000000"/>
          <w:lang w:val="en-US"/>
        </w:rPr>
        <w:t>4</w:t>
      </w:r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Plaque-targeting of </w:t>
      </w:r>
      <w:proofErr w:type="spellStart"/>
      <w:r w:rsidRPr="0095713A">
        <w:rPr>
          <w:rFonts w:ascii="Times New Roman" w:hAnsi="Times New Roman" w:cs="Times New Roman"/>
          <w:b/>
          <w:bCs/>
          <w:color w:val="000000"/>
          <w:lang w:val="en-US"/>
        </w:rPr>
        <w:t>pHDL</w:t>
      </w:r>
      <w:proofErr w:type="spellEnd"/>
      <w:r w:rsidR="00A043E1" w:rsidRPr="0095713A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Fluorescence imaging of C57BL/6J and 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ApoE</w:t>
      </w:r>
      <w:proofErr w:type="spellEnd"/>
      <w:r w:rsidRPr="006E3524">
        <w:rPr>
          <w:rFonts w:ascii="Times New Roman" w:hAnsi="Times New Roman" w:cs="Times New Roman"/>
          <w:color w:val="000000"/>
          <w:vertAlign w:val="superscript"/>
          <w:lang w:val="en-US"/>
        </w:rPr>
        <w:t>-/-</w:t>
      </w:r>
      <w:r w:rsidRPr="0095713A">
        <w:rPr>
          <w:rFonts w:ascii="Times New Roman" w:hAnsi="Times New Roman" w:cs="Times New Roman"/>
          <w:color w:val="000000"/>
          <w:lang w:val="en-US"/>
        </w:rPr>
        <w:t xml:space="preserve"> mice in situ (A) or with excised heart and aorta (B) after iv injection FITC-</w:t>
      </w:r>
      <w:proofErr w:type="spellStart"/>
      <w:r w:rsidRPr="0095713A">
        <w:rPr>
          <w:rFonts w:ascii="Times New Roman" w:hAnsi="Times New Roman" w:cs="Times New Roman"/>
          <w:color w:val="000000"/>
          <w:lang w:val="en-US"/>
        </w:rPr>
        <w:t>pHDL</w:t>
      </w:r>
      <w:proofErr w:type="spellEnd"/>
      <w:r w:rsidRPr="0095713A">
        <w:rPr>
          <w:rFonts w:ascii="Times New Roman" w:hAnsi="Times New Roman" w:cs="Times New Roman"/>
          <w:color w:val="000000"/>
          <w:lang w:val="en-US"/>
        </w:rPr>
        <w:t>.</w:t>
      </w:r>
      <w:r w:rsidR="00017515" w:rsidRPr="0095713A">
        <w:rPr>
          <w:rFonts w:ascii="Times New Roman" w:hAnsi="Times New Roman" w:cs="Times New Roman"/>
          <w:color w:val="000000"/>
          <w:lang w:val="en-US"/>
        </w:rPr>
        <w:t xml:space="preserve"> Indicators of fluorescence intensity are shown on the right.  </w:t>
      </w:r>
    </w:p>
    <w:p w14:paraId="492F4C37" w14:textId="36A46435" w:rsidR="00C41D13" w:rsidRPr="0095713A" w:rsidRDefault="00C41D13" w:rsidP="00C41D1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AC9A2D5" w14:textId="36044CE1" w:rsidR="00C41D13" w:rsidRPr="0095713A" w:rsidRDefault="00C41D13" w:rsidP="00C41D13">
      <w:pPr>
        <w:rPr>
          <w:color w:val="000000"/>
          <w:lang w:val="en-US"/>
        </w:rPr>
      </w:pPr>
    </w:p>
    <w:p w14:paraId="5E062808" w14:textId="77777777" w:rsidR="00304EBF" w:rsidRPr="0095713A" w:rsidRDefault="00304EBF" w:rsidP="00C41D13">
      <w:pPr>
        <w:rPr>
          <w:color w:val="000000"/>
          <w:lang w:val="en-US"/>
        </w:rPr>
      </w:pPr>
    </w:p>
    <w:sectPr w:rsidR="00304EBF" w:rsidRPr="0095713A" w:rsidSect="00367B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7D54" w14:textId="77777777" w:rsidR="006F5252" w:rsidRDefault="006F5252" w:rsidP="0035481E">
      <w:r>
        <w:separator/>
      </w:r>
    </w:p>
  </w:endnote>
  <w:endnote w:type="continuationSeparator" w:id="0">
    <w:p w14:paraId="52E15F83" w14:textId="77777777" w:rsidR="006F5252" w:rsidRDefault="006F5252" w:rsidP="0035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97F" w14:textId="77777777" w:rsidR="0095713A" w:rsidRDefault="00957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0B34" w14:textId="6F32A97C" w:rsidR="0095713A" w:rsidRDefault="009571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9CDF5B" wp14:editId="7E9AB837">
              <wp:simplePos x="0" y="0"/>
              <wp:positionH relativeFrom="page">
                <wp:posOffset>0</wp:posOffset>
              </wp:positionH>
              <wp:positionV relativeFrom="page">
                <wp:posOffset>10238740</wp:posOffset>
              </wp:positionV>
              <wp:extent cx="7556500" cy="263525"/>
              <wp:effectExtent l="0" t="0" r="0" b="3175"/>
              <wp:wrapNone/>
              <wp:docPr id="2" name="MSIPCMf7334489b6cbeb714c372a02" descr="{&quot;HashCode&quot;:-1348403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4174B" w14:textId="27078691" w:rsidR="0095713A" w:rsidRPr="0095713A" w:rsidRDefault="0095713A" w:rsidP="0095713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5713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DF5B" id="_x0000_t202" coordsize="21600,21600" o:spt="202" path="m,l,21600r21600,l21600,xe">
              <v:stroke joinstyle="miter"/>
              <v:path gradientshapeok="t" o:connecttype="rect"/>
            </v:shapetype>
            <v:shape id="MSIPCMf7334489b6cbeb714c372a02" o:spid="_x0000_s1026" type="#_x0000_t202" alt="{&quot;HashCode&quot;:-1348403003,&quot;Height&quot;:842.0,&quot;Width&quot;:595.0,&quot;Placement&quot;:&quot;Footer&quot;,&quot;Index&quot;:&quot;Primary&quot;,&quot;Section&quot;:1,&quot;Top&quot;:0.0,&quot;Left&quot;:0.0}" style="position:absolute;margin-left:0;margin-top:806.2pt;width:59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7AA4174B" w14:textId="27078691" w:rsidR="0095713A" w:rsidRPr="0095713A" w:rsidRDefault="0095713A" w:rsidP="0095713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5713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87FD" w14:textId="77777777" w:rsidR="0095713A" w:rsidRDefault="00957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93AE" w14:textId="77777777" w:rsidR="006F5252" w:rsidRDefault="006F5252" w:rsidP="0035481E">
      <w:r>
        <w:separator/>
      </w:r>
    </w:p>
  </w:footnote>
  <w:footnote w:type="continuationSeparator" w:id="0">
    <w:p w14:paraId="27A1E4E8" w14:textId="77777777" w:rsidR="006F5252" w:rsidRDefault="006F5252" w:rsidP="0035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CDD9" w14:textId="77777777" w:rsidR="0095713A" w:rsidRDefault="00957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2A31" w14:textId="77777777" w:rsidR="0095713A" w:rsidRDefault="00957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3923" w14:textId="77777777" w:rsidR="0095713A" w:rsidRDefault="009571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3"/>
    <w:rsid w:val="000160C1"/>
    <w:rsid w:val="00017515"/>
    <w:rsid w:val="000320EF"/>
    <w:rsid w:val="0005576B"/>
    <w:rsid w:val="0006182C"/>
    <w:rsid w:val="00062D8D"/>
    <w:rsid w:val="0009310F"/>
    <w:rsid w:val="000B1B8E"/>
    <w:rsid w:val="000D4308"/>
    <w:rsid w:val="000E0CB5"/>
    <w:rsid w:val="000E40A0"/>
    <w:rsid w:val="000F0BAE"/>
    <w:rsid w:val="000F55DD"/>
    <w:rsid w:val="000F694C"/>
    <w:rsid w:val="000F6D33"/>
    <w:rsid w:val="00113FE6"/>
    <w:rsid w:val="00130FF0"/>
    <w:rsid w:val="00143DF1"/>
    <w:rsid w:val="0015139D"/>
    <w:rsid w:val="001620BD"/>
    <w:rsid w:val="001874C8"/>
    <w:rsid w:val="00197D4C"/>
    <w:rsid w:val="001C0FF5"/>
    <w:rsid w:val="001C2B0D"/>
    <w:rsid w:val="001D2CB8"/>
    <w:rsid w:val="001F786D"/>
    <w:rsid w:val="00202A55"/>
    <w:rsid w:val="00206E92"/>
    <w:rsid w:val="0021079D"/>
    <w:rsid w:val="00214C52"/>
    <w:rsid w:val="002168B4"/>
    <w:rsid w:val="002225D0"/>
    <w:rsid w:val="00233BCA"/>
    <w:rsid w:val="00245FC1"/>
    <w:rsid w:val="002462B3"/>
    <w:rsid w:val="00256AB9"/>
    <w:rsid w:val="00256F15"/>
    <w:rsid w:val="00266BC3"/>
    <w:rsid w:val="00270437"/>
    <w:rsid w:val="00272D1B"/>
    <w:rsid w:val="00282A07"/>
    <w:rsid w:val="002B7E88"/>
    <w:rsid w:val="002E08E3"/>
    <w:rsid w:val="002F49C8"/>
    <w:rsid w:val="00304EBF"/>
    <w:rsid w:val="0031063B"/>
    <w:rsid w:val="00311DC0"/>
    <w:rsid w:val="0031564C"/>
    <w:rsid w:val="003277E9"/>
    <w:rsid w:val="003327A2"/>
    <w:rsid w:val="00347A0F"/>
    <w:rsid w:val="0035481E"/>
    <w:rsid w:val="00356427"/>
    <w:rsid w:val="003607B7"/>
    <w:rsid w:val="003626C0"/>
    <w:rsid w:val="0036668D"/>
    <w:rsid w:val="00367BC4"/>
    <w:rsid w:val="003715B9"/>
    <w:rsid w:val="00376BEB"/>
    <w:rsid w:val="003F29D8"/>
    <w:rsid w:val="00404CA5"/>
    <w:rsid w:val="00442C0A"/>
    <w:rsid w:val="004443AD"/>
    <w:rsid w:val="00460B1C"/>
    <w:rsid w:val="00463D12"/>
    <w:rsid w:val="0047356D"/>
    <w:rsid w:val="004736E4"/>
    <w:rsid w:val="00487A82"/>
    <w:rsid w:val="00487B5D"/>
    <w:rsid w:val="004C08DF"/>
    <w:rsid w:val="004E1D5F"/>
    <w:rsid w:val="00516FC8"/>
    <w:rsid w:val="00531201"/>
    <w:rsid w:val="00533C48"/>
    <w:rsid w:val="00534DCE"/>
    <w:rsid w:val="0055705F"/>
    <w:rsid w:val="00576C85"/>
    <w:rsid w:val="00580804"/>
    <w:rsid w:val="0058471F"/>
    <w:rsid w:val="005A792B"/>
    <w:rsid w:val="005B7FA0"/>
    <w:rsid w:val="005C2ABC"/>
    <w:rsid w:val="005E272A"/>
    <w:rsid w:val="005E4986"/>
    <w:rsid w:val="005F7DD3"/>
    <w:rsid w:val="006023C9"/>
    <w:rsid w:val="006043D0"/>
    <w:rsid w:val="00604A7D"/>
    <w:rsid w:val="006333F5"/>
    <w:rsid w:val="00654BB2"/>
    <w:rsid w:val="00654D9D"/>
    <w:rsid w:val="00655C27"/>
    <w:rsid w:val="00672685"/>
    <w:rsid w:val="0068080F"/>
    <w:rsid w:val="00694F2E"/>
    <w:rsid w:val="006B3350"/>
    <w:rsid w:val="006B4000"/>
    <w:rsid w:val="006C4D8D"/>
    <w:rsid w:val="006C78F8"/>
    <w:rsid w:val="006E3524"/>
    <w:rsid w:val="006E4062"/>
    <w:rsid w:val="006E57F3"/>
    <w:rsid w:val="006E5F9B"/>
    <w:rsid w:val="006F5252"/>
    <w:rsid w:val="00703B38"/>
    <w:rsid w:val="007106F6"/>
    <w:rsid w:val="00742A42"/>
    <w:rsid w:val="00742C70"/>
    <w:rsid w:val="007432F1"/>
    <w:rsid w:val="0077647E"/>
    <w:rsid w:val="00777364"/>
    <w:rsid w:val="00787BF9"/>
    <w:rsid w:val="00787FF7"/>
    <w:rsid w:val="00793459"/>
    <w:rsid w:val="007965D7"/>
    <w:rsid w:val="007967D8"/>
    <w:rsid w:val="007A2466"/>
    <w:rsid w:val="007A2B05"/>
    <w:rsid w:val="007A428B"/>
    <w:rsid w:val="007E5C16"/>
    <w:rsid w:val="00804C49"/>
    <w:rsid w:val="008062A1"/>
    <w:rsid w:val="0082637C"/>
    <w:rsid w:val="0085547B"/>
    <w:rsid w:val="00871024"/>
    <w:rsid w:val="00886F1B"/>
    <w:rsid w:val="0089634F"/>
    <w:rsid w:val="008A6DD1"/>
    <w:rsid w:val="008D7537"/>
    <w:rsid w:val="008F0DD3"/>
    <w:rsid w:val="008F7B92"/>
    <w:rsid w:val="0091067F"/>
    <w:rsid w:val="0093561C"/>
    <w:rsid w:val="00956512"/>
    <w:rsid w:val="0095713A"/>
    <w:rsid w:val="00964B98"/>
    <w:rsid w:val="00990056"/>
    <w:rsid w:val="009905D2"/>
    <w:rsid w:val="0099242F"/>
    <w:rsid w:val="00997C32"/>
    <w:rsid w:val="009A025D"/>
    <w:rsid w:val="009A38FD"/>
    <w:rsid w:val="009B5E9B"/>
    <w:rsid w:val="009B7A38"/>
    <w:rsid w:val="009E0DC2"/>
    <w:rsid w:val="009F49ED"/>
    <w:rsid w:val="00A043E1"/>
    <w:rsid w:val="00A047AD"/>
    <w:rsid w:val="00A25002"/>
    <w:rsid w:val="00A3713A"/>
    <w:rsid w:val="00A463D6"/>
    <w:rsid w:val="00A6480A"/>
    <w:rsid w:val="00A704BF"/>
    <w:rsid w:val="00A72E23"/>
    <w:rsid w:val="00A85AB8"/>
    <w:rsid w:val="00AD4648"/>
    <w:rsid w:val="00AE12F4"/>
    <w:rsid w:val="00AE2B44"/>
    <w:rsid w:val="00AF6AC7"/>
    <w:rsid w:val="00B0049E"/>
    <w:rsid w:val="00B01023"/>
    <w:rsid w:val="00B03013"/>
    <w:rsid w:val="00B13893"/>
    <w:rsid w:val="00B1440D"/>
    <w:rsid w:val="00B15B3B"/>
    <w:rsid w:val="00B24BA3"/>
    <w:rsid w:val="00B306FF"/>
    <w:rsid w:val="00B34E5D"/>
    <w:rsid w:val="00B37753"/>
    <w:rsid w:val="00B52B9A"/>
    <w:rsid w:val="00B56E44"/>
    <w:rsid w:val="00B62D24"/>
    <w:rsid w:val="00B6603F"/>
    <w:rsid w:val="00B72E28"/>
    <w:rsid w:val="00B760F7"/>
    <w:rsid w:val="00B9114C"/>
    <w:rsid w:val="00BB2E67"/>
    <w:rsid w:val="00BC3ACB"/>
    <w:rsid w:val="00BD3B61"/>
    <w:rsid w:val="00BD59C8"/>
    <w:rsid w:val="00BD6B71"/>
    <w:rsid w:val="00BE3791"/>
    <w:rsid w:val="00BE49F6"/>
    <w:rsid w:val="00BF7812"/>
    <w:rsid w:val="00BF7877"/>
    <w:rsid w:val="00C23F78"/>
    <w:rsid w:val="00C33D3A"/>
    <w:rsid w:val="00C401A7"/>
    <w:rsid w:val="00C41061"/>
    <w:rsid w:val="00C41D13"/>
    <w:rsid w:val="00C46347"/>
    <w:rsid w:val="00C745E3"/>
    <w:rsid w:val="00C86EC2"/>
    <w:rsid w:val="00CA1EEB"/>
    <w:rsid w:val="00CB5B7C"/>
    <w:rsid w:val="00CC20C7"/>
    <w:rsid w:val="00CD1124"/>
    <w:rsid w:val="00CD2E71"/>
    <w:rsid w:val="00CE2910"/>
    <w:rsid w:val="00CE3BF6"/>
    <w:rsid w:val="00CF3EAF"/>
    <w:rsid w:val="00D0157B"/>
    <w:rsid w:val="00D105C1"/>
    <w:rsid w:val="00D1458C"/>
    <w:rsid w:val="00D34E94"/>
    <w:rsid w:val="00D45904"/>
    <w:rsid w:val="00D459E1"/>
    <w:rsid w:val="00D72462"/>
    <w:rsid w:val="00D817D2"/>
    <w:rsid w:val="00DC5B9E"/>
    <w:rsid w:val="00DD3CD7"/>
    <w:rsid w:val="00DE5760"/>
    <w:rsid w:val="00DF0678"/>
    <w:rsid w:val="00DF1560"/>
    <w:rsid w:val="00E14658"/>
    <w:rsid w:val="00E20577"/>
    <w:rsid w:val="00E665E7"/>
    <w:rsid w:val="00E67468"/>
    <w:rsid w:val="00EA643F"/>
    <w:rsid w:val="00EB5375"/>
    <w:rsid w:val="00EC4CDA"/>
    <w:rsid w:val="00ED421A"/>
    <w:rsid w:val="00ED76ED"/>
    <w:rsid w:val="00EE3D95"/>
    <w:rsid w:val="00F1577D"/>
    <w:rsid w:val="00F17478"/>
    <w:rsid w:val="00F2368A"/>
    <w:rsid w:val="00F307D4"/>
    <w:rsid w:val="00F420C4"/>
    <w:rsid w:val="00F51070"/>
    <w:rsid w:val="00F62BFD"/>
    <w:rsid w:val="00F712CB"/>
    <w:rsid w:val="00F723EE"/>
    <w:rsid w:val="00F92C98"/>
    <w:rsid w:val="00FA12C9"/>
    <w:rsid w:val="00FA5072"/>
    <w:rsid w:val="00FB2E37"/>
    <w:rsid w:val="00FB64B3"/>
    <w:rsid w:val="00FC33A5"/>
    <w:rsid w:val="00FC5EBE"/>
    <w:rsid w:val="00FD0B33"/>
    <w:rsid w:val="00FD2195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05DD2"/>
  <w15:chartTrackingRefBased/>
  <w15:docId w15:val="{60C6FA37-077E-D546-8026-5E38225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043E1"/>
    <w:pPr>
      <w:spacing w:after="200"/>
      <w:ind w:left="720"/>
      <w:contextualSpacing/>
    </w:pPr>
    <w:rPr>
      <w:rFonts w:eastAsia="SimSu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54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81E"/>
  </w:style>
  <w:style w:type="paragraph" w:styleId="Footer">
    <w:name w:val="footer"/>
    <w:basedOn w:val="Normal"/>
    <w:link w:val="FooterChar"/>
    <w:uiPriority w:val="99"/>
    <w:unhideWhenUsed/>
    <w:rsid w:val="00354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81E"/>
  </w:style>
  <w:style w:type="paragraph" w:styleId="Revision">
    <w:name w:val="Revision"/>
    <w:hidden/>
    <w:uiPriority w:val="99"/>
    <w:semiHidden/>
    <w:rsid w:val="0021079D"/>
  </w:style>
  <w:style w:type="character" w:styleId="CommentReference">
    <w:name w:val="annotation reference"/>
    <w:basedOn w:val="DefaultParagraphFont"/>
    <w:uiPriority w:val="99"/>
    <w:semiHidden/>
    <w:unhideWhenUsed/>
    <w:rsid w:val="009B5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E9B"/>
    <w:pPr>
      <w:widowControl w:val="0"/>
    </w:pPr>
    <w:rPr>
      <w:rFonts w:ascii="Calibri" w:eastAsia="SimSun" w:hAnsi="Calibri" w:cs="Times New Roman"/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E9B"/>
    <w:rPr>
      <w:rFonts w:ascii="Calibri" w:eastAsia="SimSun" w:hAnsi="Calibri" w:cs="Times New Roman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Ruodan</dc:creator>
  <cp:keywords/>
  <dc:description/>
  <cp:lastModifiedBy>Pratt, Lucas</cp:lastModifiedBy>
  <cp:revision>2</cp:revision>
  <dcterms:created xsi:type="dcterms:W3CDTF">2022-09-02T02:16:00Z</dcterms:created>
  <dcterms:modified xsi:type="dcterms:W3CDTF">2022-09-02T02:16:00Z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2022-08-08T01:39:30Z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c460727c-c9c4-4505-8360-932b32f75ed9</vt:lpwstr>
  </property>
  <property fmtid="{D5CDD505-2E9C-101B-9397-08002B2CF9AE}" pid="8" name="MSIP_Label_2bbab825-a111-45e4-86a1-18cee0005896_ContentBits">
    <vt:lpwstr>2</vt:lpwstr>
  </property>
</Properties>
</file>