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1BB01" w14:textId="6448B879" w:rsidR="004D5203" w:rsidRDefault="004D5203">
      <w:r>
        <w:rPr>
          <w:rFonts w:hint="eastAsia"/>
          <w:noProof/>
        </w:rPr>
        <w:drawing>
          <wp:inline distT="0" distB="0" distL="0" distR="0" wp14:anchorId="5FED330F" wp14:editId="0391CAAE">
            <wp:extent cx="4432852" cy="1983701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974" cy="19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E9342" w14:textId="77777777" w:rsidR="004D5203" w:rsidRPr="007527E0" w:rsidRDefault="004D5203" w:rsidP="004D5203">
      <w:pPr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r w:rsidRPr="007527E0"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  <w:t>Supplementary Figure 1</w:t>
      </w:r>
      <w:r w:rsidRPr="007527E0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Experimental protocol for animal model and cell culture.</w:t>
      </w:r>
    </w:p>
    <w:p w14:paraId="7574215E" w14:textId="77777777" w:rsidR="004D5203" w:rsidRPr="007527E0" w:rsidRDefault="004D5203" w:rsidP="004D5203">
      <w:pPr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(A) Newborn C57BL/6 mice were exposed to 85% O2 from PN2 to PN14 to induce bronchopulmonary dysplasia (BPD). Vitamin D (</w:t>
      </w:r>
      <w:proofErr w:type="spellStart"/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VitD</w:t>
      </w:r>
      <w:proofErr w:type="spellEnd"/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) treatment was performed (5 µg/Kg) 30 min prior to the first induction of BPD and repeated every day after the first intraperitoneal injection. Lungs were harvested at PN14. (B) The BEAS-2B cells were seeded in six-well plates and cultured for 24 h. Then, they were incubated in Dulbecco’s modified Eagle’s medium with the addition of 10 </w:t>
      </w:r>
      <w:proofErr w:type="spellStart"/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nM</w:t>
      </w:r>
      <w:proofErr w:type="spellEnd"/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 calcitriol for 12 h. Subsequently, the cells were maintained in hyperoxia (85% O2) for another 6 h, when they were harvested for analyses.</w:t>
      </w:r>
    </w:p>
    <w:p w14:paraId="0B629A3D" w14:textId="38AC8302" w:rsidR="004D5203" w:rsidRDefault="004D5203">
      <w:r>
        <w:rPr>
          <w:rFonts w:hint="eastAsia"/>
          <w:noProof/>
        </w:rPr>
        <w:lastRenderedPageBreak/>
        <w:drawing>
          <wp:inline distT="0" distB="0" distL="0" distR="0" wp14:anchorId="20BF9C76" wp14:editId="222B411F">
            <wp:extent cx="2880360" cy="561136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D859" w14:textId="77777777" w:rsidR="004D5203" w:rsidRPr="009F4B0B" w:rsidRDefault="004D5203" w:rsidP="004D5203">
      <w:pPr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bookmarkStart w:id="0" w:name="_Hlk108506847"/>
      <w:r w:rsidRPr="00706B49"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  <w:t xml:space="preserve">Supplementary Figure </w:t>
      </w:r>
      <w:r>
        <w:rPr>
          <w:rFonts w:ascii="Arial" w:eastAsia="等线" w:hAnsi="Arial" w:cs="Arial" w:hint="eastAsia"/>
          <w:b/>
          <w:bCs/>
          <w:kern w:val="0"/>
          <w:sz w:val="20"/>
          <w:szCs w:val="24"/>
        </w:rPr>
        <w:t>2</w:t>
      </w:r>
      <w:r w:rsidRPr="00706B49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bookmarkEnd w:id="0"/>
      <w:r w:rsidRPr="009F4B0B">
        <w:rPr>
          <w:rFonts w:ascii="Arial" w:eastAsia="等线" w:hAnsi="Arial" w:cs="Times New Roman"/>
          <w:kern w:val="0"/>
          <w:sz w:val="20"/>
          <w:szCs w:val="24"/>
          <w:lang w:eastAsia="en-US"/>
        </w:rPr>
        <w:t>The low magnification (magnification at × 2) images of Hematoxylin and eosin and Masson’s trichrome staining.</w:t>
      </w:r>
    </w:p>
    <w:p w14:paraId="7D0B9D14" w14:textId="77777777" w:rsidR="004D5203" w:rsidRPr="007527E0" w:rsidRDefault="004D5203" w:rsidP="004D5203">
      <w:pPr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r w:rsidRPr="00706B49">
        <w:rPr>
          <w:rFonts w:ascii="Arial" w:eastAsia="等线" w:hAnsi="Arial" w:cs="Times New Roman"/>
          <w:kern w:val="0"/>
          <w:sz w:val="20"/>
          <w:szCs w:val="24"/>
          <w:lang w:eastAsia="en-US"/>
        </w:rPr>
        <w:t>(</w:t>
      </w:r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A</w:t>
      </w:r>
      <w:r w:rsidRPr="00706B49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) </w:t>
      </w:r>
      <w:bookmarkStart w:id="1" w:name="_Hlk108443862"/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The low magnification (magnification at × 2) images </w:t>
      </w:r>
      <w:r w:rsidRPr="007527E0">
        <w:rPr>
          <w:rFonts w:ascii="Arial" w:eastAsia="等线" w:hAnsi="Arial" w:cs="Times New Roman" w:hint="eastAsia"/>
          <w:kern w:val="0"/>
          <w:sz w:val="20"/>
          <w:szCs w:val="24"/>
          <w:lang w:eastAsia="en-US"/>
        </w:rPr>
        <w:t>o</w:t>
      </w:r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f </w:t>
      </w:r>
      <w:r w:rsidRPr="00706B49">
        <w:rPr>
          <w:rFonts w:ascii="Arial" w:eastAsia="等线" w:hAnsi="Arial" w:cs="Times New Roman"/>
          <w:kern w:val="0"/>
          <w:sz w:val="20"/>
          <w:szCs w:val="24"/>
          <w:lang w:eastAsia="en-US"/>
        </w:rPr>
        <w:t>Hematoxylin and eosin.</w:t>
      </w:r>
      <w:bookmarkEnd w:id="1"/>
      <w:r w:rsidRPr="00706B49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 (</w:t>
      </w:r>
      <w:r w:rsidRPr="007527E0">
        <w:rPr>
          <w:rFonts w:ascii="Arial" w:eastAsia="等线" w:hAnsi="Arial" w:cs="Times New Roman"/>
          <w:kern w:val="0"/>
          <w:sz w:val="20"/>
          <w:szCs w:val="24"/>
          <w:lang w:eastAsia="en-US"/>
        </w:rPr>
        <w:t>B</w:t>
      </w:r>
      <w:r w:rsidRPr="00706B49">
        <w:rPr>
          <w:rFonts w:ascii="Arial" w:eastAsia="等线" w:hAnsi="Arial" w:cs="Times New Roman"/>
          <w:kern w:val="0"/>
          <w:sz w:val="20"/>
          <w:szCs w:val="24"/>
          <w:lang w:eastAsia="en-US"/>
        </w:rPr>
        <w:t>) The low magnification (magnification at × 2) images of Masson’s trichrome staining.</w:t>
      </w:r>
    </w:p>
    <w:p w14:paraId="4D2AA5D0" w14:textId="6AC1D25B" w:rsidR="004D5203" w:rsidRPr="004D5203" w:rsidRDefault="004D5203" w:rsidP="004D5203">
      <w:pPr>
        <w:ind w:firstLineChars="300" w:firstLine="630"/>
        <w:rPr>
          <w:rFonts w:hint="eastAsia"/>
        </w:rPr>
      </w:pPr>
    </w:p>
    <w:sectPr w:rsidR="004D5203" w:rsidRPr="004D52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B57A8" w14:textId="77777777" w:rsidR="006A7F7E" w:rsidRDefault="006A7F7E" w:rsidP="00421153">
      <w:r>
        <w:separator/>
      </w:r>
    </w:p>
  </w:endnote>
  <w:endnote w:type="continuationSeparator" w:id="0">
    <w:p w14:paraId="70D5A1E3" w14:textId="77777777" w:rsidR="006A7F7E" w:rsidRDefault="006A7F7E" w:rsidP="0042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81FE8" w14:textId="77777777" w:rsidR="006A7F7E" w:rsidRDefault="006A7F7E" w:rsidP="00421153">
      <w:r>
        <w:separator/>
      </w:r>
    </w:p>
  </w:footnote>
  <w:footnote w:type="continuationSeparator" w:id="0">
    <w:p w14:paraId="37BA8C1A" w14:textId="77777777" w:rsidR="006A7F7E" w:rsidRDefault="006A7F7E" w:rsidP="00421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65"/>
    <w:rsid w:val="00421153"/>
    <w:rsid w:val="004D5203"/>
    <w:rsid w:val="006A7F7E"/>
    <w:rsid w:val="00931641"/>
    <w:rsid w:val="00934465"/>
    <w:rsid w:val="009621A3"/>
    <w:rsid w:val="00DE3688"/>
    <w:rsid w:val="00E50AF3"/>
    <w:rsid w:val="00FC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9E1A3"/>
  <w15:chartTrackingRefBased/>
  <w15:docId w15:val="{87AF3040-0AFF-49EA-AAB3-DA62C8ECA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1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1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11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11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11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2022-08-03T04:21:00Z</dcterms:created>
  <dcterms:modified xsi:type="dcterms:W3CDTF">2022-08-03T05:38:00Z</dcterms:modified>
</cp:coreProperties>
</file>