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94DF" w14:textId="77777777" w:rsidR="00A44285" w:rsidRPr="00F67C88" w:rsidRDefault="00A44285" w:rsidP="00A44285">
      <w:pPr>
        <w:rPr>
          <w:b/>
          <w:sz w:val="32"/>
          <w:szCs w:val="32"/>
          <w:lang w:eastAsia="zh-CN"/>
        </w:rPr>
      </w:pPr>
      <w:r w:rsidRPr="00F67C88">
        <w:rPr>
          <w:b/>
          <w:sz w:val="32"/>
          <w:szCs w:val="32"/>
          <w:lang w:eastAsia="zh-CN"/>
        </w:rPr>
        <w:t>Lysophosphatidylcholine (17:0) improves HFD-induced hyperglycemia &amp; insulin resistance: A mechanistic mice model study</w:t>
      </w:r>
    </w:p>
    <w:p w14:paraId="5861E017" w14:textId="77777777" w:rsidR="00A44285" w:rsidRDefault="00A44285" w:rsidP="00A44285">
      <w:pPr>
        <w:rPr>
          <w:lang w:eastAsia="zh-CN"/>
        </w:rPr>
      </w:pPr>
      <w:r w:rsidRPr="00E91D52">
        <w:t>Li Bao</w:t>
      </w:r>
      <w:r>
        <w:rPr>
          <w:rFonts w:hint="eastAsia"/>
          <w:vertAlign w:val="superscript"/>
          <w:lang w:eastAsia="zh-CN"/>
        </w:rPr>
        <w:t>1,2</w:t>
      </w:r>
      <w:r w:rsidRPr="00E91D52">
        <w:t>, Ying Zhang</w:t>
      </w:r>
      <w:r w:rsidRPr="00E91D52">
        <w:rPr>
          <w:rFonts w:hint="eastAsia"/>
          <w:vertAlign w:val="superscript"/>
          <w:lang w:eastAsia="zh-CN"/>
        </w:rPr>
        <w:t>2,3</w:t>
      </w:r>
      <w:r w:rsidRPr="00E91D52">
        <w:t>, Sichao Yan</w:t>
      </w:r>
      <w:r w:rsidRPr="00E91D52">
        <w:rPr>
          <w:rFonts w:hint="eastAsia"/>
          <w:vertAlign w:val="superscript"/>
          <w:lang w:eastAsia="zh-CN"/>
        </w:rPr>
        <w:t>1,2</w:t>
      </w:r>
      <w:r w:rsidRPr="00E91D52">
        <w:t>, Dan Yan</w:t>
      </w:r>
      <w:r w:rsidRPr="00E91D52">
        <w:rPr>
          <w:rFonts w:hint="eastAsia"/>
          <w:vertAlign w:val="superscript"/>
          <w:lang w:eastAsia="zh-CN"/>
        </w:rPr>
        <w:t>2,3</w:t>
      </w:r>
      <w:r w:rsidRPr="00E91D52">
        <w:t>, Dechun Jiang</w:t>
      </w:r>
      <w:r w:rsidRPr="00E91D52">
        <w:rPr>
          <w:rFonts w:hint="eastAsia"/>
          <w:vertAlign w:val="superscript"/>
          <w:lang w:eastAsia="zh-CN"/>
        </w:rPr>
        <w:t>1,2,</w:t>
      </w:r>
      <w:r w:rsidRPr="00E91D52">
        <w:rPr>
          <w:rFonts w:hint="eastAsia"/>
          <w:lang w:eastAsia="zh-CN"/>
        </w:rPr>
        <w:t>*</w:t>
      </w:r>
    </w:p>
    <w:p w14:paraId="3DDEAB39" w14:textId="77777777" w:rsidR="00A44285" w:rsidRPr="00E91D52" w:rsidRDefault="00A44285" w:rsidP="00A44285">
      <w:pPr>
        <w:rPr>
          <w:szCs w:val="20"/>
          <w:lang w:eastAsia="zh-CN"/>
        </w:rPr>
      </w:pPr>
      <w:r w:rsidRPr="00E91D52">
        <w:rPr>
          <w:rFonts w:hint="eastAsia"/>
          <w:vertAlign w:val="superscript"/>
          <w:lang w:eastAsia="zh-CN"/>
        </w:rPr>
        <w:t>1</w:t>
      </w:r>
      <w:r>
        <w:rPr>
          <w:rFonts w:hint="eastAsia"/>
          <w:szCs w:val="20"/>
          <w:lang w:eastAsia="zh-CN"/>
        </w:rPr>
        <w:t xml:space="preserve"> </w:t>
      </w:r>
      <w:r w:rsidRPr="00E91D52">
        <w:rPr>
          <w:szCs w:val="20"/>
        </w:rPr>
        <w:t>Department of Pharmacy, Beijing Shijitan Hospital, Capital Medical University, Beijing, China</w:t>
      </w:r>
      <w:r>
        <w:rPr>
          <w:rFonts w:hint="eastAsia"/>
          <w:szCs w:val="20"/>
          <w:lang w:eastAsia="zh-CN"/>
        </w:rPr>
        <w:t xml:space="preserve">; </w:t>
      </w:r>
      <w:r>
        <w:rPr>
          <w:rFonts w:hint="eastAsia"/>
          <w:szCs w:val="20"/>
          <w:vertAlign w:val="superscript"/>
          <w:lang w:eastAsia="zh-CN"/>
        </w:rPr>
        <w:t>2</w:t>
      </w:r>
      <w:r>
        <w:rPr>
          <w:rFonts w:hint="eastAsia"/>
          <w:szCs w:val="20"/>
          <w:lang w:eastAsia="zh-CN"/>
        </w:rPr>
        <w:t xml:space="preserve"> </w:t>
      </w:r>
      <w:r w:rsidRPr="00E91D52">
        <w:rPr>
          <w:szCs w:val="20"/>
          <w:lang w:eastAsia="zh-CN"/>
        </w:rPr>
        <w:t>Beijing Key Laboratory of Bio-characteristic Profiling for Evaluation of Rational Drug Use, Beijing, China</w:t>
      </w:r>
      <w:r>
        <w:rPr>
          <w:rFonts w:hint="eastAsia"/>
          <w:szCs w:val="20"/>
          <w:lang w:eastAsia="zh-CN"/>
        </w:rPr>
        <w:t xml:space="preserve">; </w:t>
      </w:r>
      <w:r>
        <w:rPr>
          <w:rFonts w:hint="eastAsia"/>
          <w:szCs w:val="20"/>
          <w:vertAlign w:val="superscript"/>
          <w:lang w:eastAsia="zh-CN"/>
        </w:rPr>
        <w:t>3</w:t>
      </w:r>
      <w:r w:rsidRPr="00E91D52">
        <w:rPr>
          <w:szCs w:val="20"/>
        </w:rPr>
        <w:t>Department of Pharmacy,</w:t>
      </w:r>
      <w:r>
        <w:rPr>
          <w:rFonts w:hint="eastAsia"/>
          <w:szCs w:val="20"/>
          <w:lang w:eastAsia="zh-CN"/>
        </w:rPr>
        <w:t xml:space="preserve"> </w:t>
      </w:r>
      <w:r w:rsidRPr="00E91D52">
        <w:rPr>
          <w:szCs w:val="20"/>
          <w:lang w:eastAsia="zh-CN"/>
        </w:rPr>
        <w:t>Beijing Friendship Hospital, Capital Medical University, Beijing, China.</w:t>
      </w:r>
    </w:p>
    <w:p w14:paraId="225B6D85" w14:textId="77777777" w:rsidR="00A44285" w:rsidRDefault="00A44285" w:rsidP="00A44285">
      <w:pPr>
        <w:rPr>
          <w:lang w:eastAsia="zh-CN"/>
        </w:rPr>
      </w:pPr>
    </w:p>
    <w:p w14:paraId="2885498E" w14:textId="77777777" w:rsidR="00A44285" w:rsidRPr="00431388" w:rsidRDefault="00A44285" w:rsidP="00A44285">
      <w:r w:rsidRPr="00431388">
        <w:t>Correspondence:</w:t>
      </w:r>
      <w:r>
        <w:t xml:space="preserve"> </w:t>
      </w:r>
      <w:r>
        <w:rPr>
          <w:rFonts w:hint="eastAsia"/>
          <w:lang w:eastAsia="zh-CN"/>
        </w:rPr>
        <w:t xml:space="preserve">Professor, </w:t>
      </w:r>
      <w:r w:rsidRPr="00E91D52">
        <w:t>Dechun Jiang</w:t>
      </w:r>
    </w:p>
    <w:p w14:paraId="1C6395F1" w14:textId="77777777" w:rsidR="00A44285" w:rsidRPr="00431388" w:rsidRDefault="00A44285" w:rsidP="00A44285">
      <w:r w:rsidRPr="00E91D52">
        <w:t>Department of Pharmacy, Beijing Shijitan Hospital, Capital Medical University, No.10 Tieyi-Road, Haidian District,</w:t>
      </w:r>
      <w:r w:rsidRPr="00E91D52">
        <w:rPr>
          <w:rFonts w:hint="eastAsia"/>
        </w:rPr>
        <w:t xml:space="preserve"> 10038, </w:t>
      </w:r>
      <w:r w:rsidRPr="00E91D52">
        <w:t>Beijing, China</w:t>
      </w:r>
    </w:p>
    <w:p w14:paraId="337C11B9" w14:textId="77777777" w:rsidR="00A44285" w:rsidRPr="00E91D52" w:rsidRDefault="00A44285" w:rsidP="00A44285">
      <w:r w:rsidRPr="00E91D52">
        <w:t>Tel</w:t>
      </w:r>
      <w:r w:rsidRPr="00E91D52">
        <w:rPr>
          <w:rFonts w:hint="eastAsia"/>
        </w:rPr>
        <w:t>:</w:t>
      </w:r>
      <w:r w:rsidRPr="00E91D52">
        <w:t xml:space="preserve"> +86-10-63926723</w:t>
      </w:r>
    </w:p>
    <w:p w14:paraId="39C0B183" w14:textId="77777777" w:rsidR="00A44285" w:rsidRPr="00E91D52" w:rsidRDefault="00A44285" w:rsidP="00A44285">
      <w:r w:rsidRPr="00E91D52">
        <w:t>Email</w:t>
      </w:r>
      <w:r w:rsidRPr="00E91D52">
        <w:rPr>
          <w:rFonts w:hint="eastAsia"/>
        </w:rPr>
        <w:t xml:space="preserve">: </w:t>
      </w:r>
      <w:r w:rsidRPr="00E91D52">
        <w:t>jdc@bjsjth.cn</w:t>
      </w:r>
    </w:p>
    <w:p w14:paraId="3066B71F" w14:textId="77777777" w:rsidR="009102EE" w:rsidRDefault="00E101BB">
      <w:pPr>
        <w:rPr>
          <w:noProof/>
          <w:lang w:eastAsia="zh-CN"/>
        </w:rPr>
      </w:pPr>
    </w:p>
    <w:p w14:paraId="6F8BF381" w14:textId="77777777" w:rsidR="00A44285" w:rsidRDefault="00A44285">
      <w:pPr>
        <w:rPr>
          <w:noProof/>
          <w:lang w:eastAsia="zh-CN"/>
        </w:rPr>
      </w:pPr>
    </w:p>
    <w:p w14:paraId="6709947F" w14:textId="77777777" w:rsidR="00A44285" w:rsidRDefault="00A44285">
      <w:pPr>
        <w:rPr>
          <w:noProof/>
          <w:lang w:eastAsia="zh-CN"/>
        </w:rPr>
      </w:pPr>
    </w:p>
    <w:p w14:paraId="7592B70E" w14:textId="77777777" w:rsidR="00A44285" w:rsidRDefault="00A44285">
      <w:pPr>
        <w:rPr>
          <w:noProof/>
          <w:lang w:eastAsia="zh-CN"/>
        </w:rPr>
      </w:pPr>
    </w:p>
    <w:p w14:paraId="18859C02" w14:textId="77777777" w:rsidR="00A44285" w:rsidRDefault="00A44285">
      <w:pPr>
        <w:rPr>
          <w:noProof/>
          <w:lang w:eastAsia="zh-CN"/>
        </w:rPr>
      </w:pPr>
    </w:p>
    <w:p w14:paraId="58BEBF62" w14:textId="77777777" w:rsidR="00A44285" w:rsidRDefault="00A44285">
      <w:pPr>
        <w:rPr>
          <w:noProof/>
          <w:lang w:eastAsia="zh-CN"/>
        </w:rPr>
      </w:pPr>
    </w:p>
    <w:p w14:paraId="28C0F775" w14:textId="77777777" w:rsidR="00A44285" w:rsidRDefault="00A44285">
      <w:pPr>
        <w:rPr>
          <w:noProof/>
          <w:lang w:eastAsia="zh-CN"/>
        </w:rPr>
      </w:pPr>
    </w:p>
    <w:p w14:paraId="0DE209B7" w14:textId="77777777" w:rsidR="00A44285" w:rsidRDefault="00A44285">
      <w:r>
        <w:rPr>
          <w:noProof/>
          <w:lang w:eastAsia="zh-CN"/>
        </w:rPr>
        <w:lastRenderedPageBreak/>
        <w:drawing>
          <wp:inline distT="0" distB="0" distL="0" distR="0" wp14:anchorId="5FDAAACB" wp14:editId="62D70D47">
            <wp:extent cx="5274310" cy="1741170"/>
            <wp:effectExtent l="0" t="0" r="2540" b="0"/>
            <wp:docPr id="1" name="图片 1" descr="D:\世纪坛医院\实验\宝丽\LPC\文章\17功能验证及靶点\diabete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世纪坛医院\实验\宝丽\LPC\文章\17功能验证及靶点\diabete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B6C86" w14:textId="77777777" w:rsidR="00D76FE1" w:rsidRPr="005F3F70" w:rsidRDefault="00D76FE1" w:rsidP="00D76FE1">
      <w:pPr>
        <w:widowControl w:val="0"/>
        <w:rPr>
          <w:rFonts w:cs="Arial"/>
          <w:color w:val="FF0000"/>
        </w:rPr>
      </w:pPr>
      <w:r w:rsidRPr="00D267FB">
        <w:rPr>
          <w:rFonts w:cs="Arial"/>
          <w:b/>
          <w:bCs/>
        </w:rPr>
        <w:t xml:space="preserve">Figure </w:t>
      </w:r>
      <w:r>
        <w:rPr>
          <w:rFonts w:cs="Arial" w:hint="eastAsia"/>
          <w:b/>
          <w:bCs/>
          <w:lang w:eastAsia="zh-CN"/>
        </w:rPr>
        <w:t>S</w:t>
      </w:r>
      <w:r w:rsidRPr="00D267FB">
        <w:rPr>
          <w:rFonts w:cs="Arial"/>
          <w:b/>
          <w:bCs/>
        </w:rPr>
        <w:t>1</w:t>
      </w:r>
      <w:r w:rsidRPr="00D267FB">
        <w:rPr>
          <w:rFonts w:cs="Arial"/>
        </w:rPr>
        <w:t xml:space="preserve"> </w:t>
      </w:r>
      <w:r w:rsidRPr="00F154D9">
        <w:rPr>
          <w:rFonts w:cs="Arial"/>
          <w:color w:val="000000" w:themeColor="text1"/>
        </w:rPr>
        <w:t>Structures of LPC (17:0) (A) and the LPC (17:0) content in human serum (B).</w:t>
      </w:r>
      <w:r w:rsidRPr="00F154D9">
        <w:rPr>
          <w:rFonts w:cs="Arial"/>
          <w:color w:val="FF0000"/>
        </w:rPr>
        <w:t xml:space="preserve"> </w:t>
      </w:r>
    </w:p>
    <w:p w14:paraId="6C9F2F9D" w14:textId="59FD2A20" w:rsidR="00D76FE1" w:rsidRPr="00F154D9" w:rsidRDefault="00D76FE1" w:rsidP="00D76FE1">
      <w:pPr>
        <w:widowControl w:val="0"/>
        <w:rPr>
          <w:rFonts w:cs="Arial"/>
          <w:color w:val="000000" w:themeColor="text1"/>
        </w:rPr>
      </w:pPr>
      <w:r w:rsidRPr="00F154D9">
        <w:rPr>
          <w:rFonts w:cs="Arial" w:hint="eastAsia"/>
          <w:color w:val="000000" w:themeColor="text1"/>
        </w:rPr>
        <w:t>NGT:</w:t>
      </w:r>
      <w:r w:rsidRPr="00F154D9">
        <w:rPr>
          <w:rFonts w:cs="Arial"/>
          <w:color w:val="000000" w:themeColor="text1"/>
        </w:rPr>
        <w:t xml:space="preserve"> normal glucose tolerance</w:t>
      </w:r>
      <w:r w:rsidRPr="00F154D9">
        <w:rPr>
          <w:rFonts w:cs="Arial" w:hint="eastAsia"/>
          <w:color w:val="000000" w:themeColor="text1"/>
        </w:rPr>
        <w:t xml:space="preserve"> </w:t>
      </w:r>
      <w:bookmarkStart w:id="0" w:name="OLE_LINK2"/>
      <w:r w:rsidRPr="00F154D9">
        <w:rPr>
          <w:rFonts w:cs="Arial" w:hint="eastAsia"/>
          <w:color w:val="000000" w:themeColor="text1"/>
        </w:rPr>
        <w:t>(n=314)</w:t>
      </w:r>
      <w:bookmarkEnd w:id="0"/>
      <w:r w:rsidRPr="00F154D9">
        <w:rPr>
          <w:rFonts w:cs="Arial" w:hint="eastAsia"/>
          <w:color w:val="000000" w:themeColor="text1"/>
        </w:rPr>
        <w:t>, IFG:</w:t>
      </w:r>
      <w:r w:rsidRPr="00F154D9">
        <w:rPr>
          <w:rFonts w:cs="Arial"/>
          <w:color w:val="000000" w:themeColor="text1"/>
        </w:rPr>
        <w:t xml:space="preserve"> impaired fasting glucose</w:t>
      </w:r>
      <w:r w:rsidRPr="00F154D9">
        <w:rPr>
          <w:rFonts w:cs="Arial" w:hint="eastAsia"/>
          <w:color w:val="000000" w:themeColor="text1"/>
        </w:rPr>
        <w:t xml:space="preserve"> (n=318)</w:t>
      </w:r>
      <w:r>
        <w:rPr>
          <w:rFonts w:cs="Arial" w:hint="eastAsia"/>
          <w:color w:val="000000" w:themeColor="text1"/>
          <w:lang w:eastAsia="zh-CN"/>
        </w:rPr>
        <w:t xml:space="preserve">, </w:t>
      </w:r>
      <w:r w:rsidRPr="00F154D9">
        <w:rPr>
          <w:rFonts w:cs="Arial" w:hint="eastAsia"/>
          <w:color w:val="000000" w:themeColor="text1"/>
        </w:rPr>
        <w:t>T2DM:</w:t>
      </w:r>
      <w:r w:rsidRPr="00F154D9">
        <w:rPr>
          <w:rFonts w:cs="Arial"/>
          <w:color w:val="000000" w:themeColor="text1"/>
        </w:rPr>
        <w:t xml:space="preserve"> type 2 diabetes mellitus</w:t>
      </w:r>
      <w:r w:rsidRPr="00F154D9">
        <w:rPr>
          <w:rFonts w:cs="Arial" w:hint="eastAsia"/>
          <w:color w:val="000000" w:themeColor="text1"/>
        </w:rPr>
        <w:t xml:space="preserve"> (n=368). </w:t>
      </w:r>
      <w:r w:rsidRPr="00F154D9">
        <w:rPr>
          <w:rFonts w:cs="Arial"/>
          <w:color w:val="000000" w:themeColor="text1"/>
        </w:rPr>
        <w:t>Data are presented as the mean ± standard error of the mean (SEM)</w:t>
      </w:r>
      <w:r w:rsidRPr="00F154D9">
        <w:rPr>
          <w:rFonts w:cs="Arial" w:hint="eastAsia"/>
          <w:color w:val="000000" w:themeColor="text1"/>
        </w:rPr>
        <w:t>, S</w:t>
      </w:r>
      <w:r w:rsidRPr="00F154D9">
        <w:rPr>
          <w:rFonts w:cs="Arial"/>
          <w:color w:val="000000" w:themeColor="text1"/>
        </w:rPr>
        <w:t>tatistical analysis was done using one</w:t>
      </w:r>
      <w:r>
        <w:rPr>
          <w:rFonts w:cs="Arial" w:hint="eastAsia"/>
          <w:color w:val="000000" w:themeColor="text1"/>
          <w:lang w:eastAsia="zh-CN"/>
        </w:rPr>
        <w:t>-</w:t>
      </w:r>
      <w:r w:rsidRPr="00F154D9">
        <w:rPr>
          <w:rFonts w:cs="Arial"/>
          <w:color w:val="000000" w:themeColor="text1"/>
        </w:rPr>
        <w:t>way ANOVA followed by the Tu</w:t>
      </w:r>
      <w:r w:rsidRPr="00F154D9">
        <w:rPr>
          <w:rFonts w:cs="Arial" w:hint="eastAsia"/>
          <w:color w:val="000000" w:themeColor="text1"/>
        </w:rPr>
        <w:t>r</w:t>
      </w:r>
      <w:r w:rsidRPr="00F154D9">
        <w:rPr>
          <w:rFonts w:cs="Arial"/>
          <w:color w:val="000000" w:themeColor="text1"/>
        </w:rPr>
        <w:t xml:space="preserve">key post hoc test. </w:t>
      </w:r>
      <w:r w:rsidRPr="00F154D9">
        <w:rPr>
          <w:rFonts w:cs="Arial" w:hint="eastAsia"/>
          <w:color w:val="000000" w:themeColor="text1"/>
        </w:rPr>
        <w:t>∗∗∗</w:t>
      </w:r>
      <w:r w:rsidRPr="00F154D9">
        <w:rPr>
          <w:rFonts w:cs="Arial"/>
          <w:color w:val="000000" w:themeColor="text1"/>
        </w:rPr>
        <w:t>P &lt; 0.001</w:t>
      </w:r>
      <w:r w:rsidRPr="00F154D9">
        <w:rPr>
          <w:rFonts w:cs="Arial" w:hint="eastAsia"/>
          <w:color w:val="000000" w:themeColor="text1"/>
        </w:rPr>
        <w:t xml:space="preserve"> compared with NGT.</w:t>
      </w:r>
      <w:r w:rsidR="00E101BB">
        <w:rPr>
          <w:rFonts w:cs="Arial"/>
          <w:color w:val="000000" w:themeColor="text1"/>
        </w:rPr>
        <w:t xml:space="preserve"> (</w:t>
      </w:r>
      <w:r w:rsidR="00E101BB" w:rsidRPr="00E101BB">
        <w:rPr>
          <w:rFonts w:cs="Arial"/>
          <w:b/>
          <w:bCs/>
          <w:color w:val="000000" w:themeColor="text1"/>
        </w:rPr>
        <w:t>B</w:t>
      </w:r>
      <w:r w:rsidR="00E101BB">
        <w:rPr>
          <w:rFonts w:cs="Arial"/>
          <w:color w:val="000000" w:themeColor="text1"/>
        </w:rPr>
        <w:t xml:space="preserve">) Adapted from </w:t>
      </w:r>
      <w:r w:rsidR="00E101BB">
        <w:t>Long JL, Yang H, Yang ZR, et al.</w:t>
      </w:r>
      <w:r w:rsidR="00E101BB">
        <w:rPr>
          <w:rFonts w:ascii="Int-Franklink" w:hAnsi="Int-Franklink"/>
          <w:color w:val="333333"/>
          <w:shd w:val="clear" w:color="auto" w:fill="FFEBCD"/>
        </w:rPr>
        <w:t> </w:t>
      </w:r>
      <w:r w:rsidR="00E101BB">
        <w:t>Integrated biomarker profiling of the metabolome associated with impaired fasting glucose and type 2 diabetes mellitus in large-scale Chinese patients</w:t>
      </w:r>
      <w:r w:rsidR="00E101BB">
        <w:rPr>
          <w:rFonts w:ascii="Int-Franklink" w:hAnsi="Int-Franklink"/>
          <w:color w:val="333333"/>
          <w:shd w:val="clear" w:color="auto" w:fill="FFEBCD"/>
        </w:rPr>
        <w:t>. </w:t>
      </w:r>
      <w:r w:rsidR="00E101BB" w:rsidRPr="00E101BB">
        <w:rPr>
          <w:i/>
          <w:iCs/>
        </w:rPr>
        <w:t>Clin Transl Med</w:t>
      </w:r>
      <w:r w:rsidR="00E101BB">
        <w:rPr>
          <w:rFonts w:ascii="Int-Franklink" w:hAnsi="Int-Franklink"/>
          <w:color w:val="333333"/>
          <w:shd w:val="clear" w:color="auto" w:fill="FFEBCD"/>
        </w:rPr>
        <w:t>. </w:t>
      </w:r>
      <w:r w:rsidR="00E101BB">
        <w:t>2021</w:t>
      </w:r>
      <w:r w:rsidR="00E101BB">
        <w:rPr>
          <w:rFonts w:ascii="Int-Franklink" w:hAnsi="Int-Franklink"/>
          <w:color w:val="333333"/>
          <w:shd w:val="clear" w:color="auto" w:fill="FFEBCD"/>
        </w:rPr>
        <w:t>;</w:t>
      </w:r>
      <w:r w:rsidR="00E101BB">
        <w:t>11(6)</w:t>
      </w:r>
      <w:r w:rsidR="00E101BB">
        <w:rPr>
          <w:rFonts w:ascii="Int-Franklink" w:hAnsi="Int-Franklink"/>
          <w:color w:val="333333"/>
          <w:shd w:val="clear" w:color="auto" w:fill="FFEBCD"/>
        </w:rPr>
        <w:t>:</w:t>
      </w:r>
      <w:r w:rsidR="00E101BB">
        <w:t>e432.</w:t>
      </w:r>
      <w:r w:rsidR="00E101BB">
        <w:t xml:space="preserve"> </w:t>
      </w:r>
      <w:r w:rsidR="00E101BB" w:rsidRPr="00E101BB">
        <w:t>© 2021 The Authors. Clinical and Translational Medicine published by John Wiley &amp; Sons Australia, Ltd on behalf of Shanghai Institute of Clinical Bioinformatics</w:t>
      </w:r>
      <w:r w:rsidR="00E101BB">
        <w:t>.</w:t>
      </w:r>
      <w:r w:rsidR="00E101BB" w:rsidRPr="00E101BB">
        <w:rPr>
          <w:vertAlign w:val="superscript"/>
        </w:rPr>
        <w:t>7</w:t>
      </w:r>
    </w:p>
    <w:p w14:paraId="31F27932" w14:textId="77777777" w:rsidR="00D76FE1" w:rsidRDefault="00D76FE1">
      <w:pPr>
        <w:rPr>
          <w:lang w:eastAsia="zh-CN"/>
        </w:rPr>
      </w:pPr>
    </w:p>
    <w:p w14:paraId="3E204104" w14:textId="77777777" w:rsidR="00347786" w:rsidRDefault="00A44285">
      <w:pPr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6F254D55" wp14:editId="0514AF57">
            <wp:extent cx="5240553" cy="263983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516" cy="2641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B05B9" w14:textId="77777777" w:rsidR="00D76FE1" w:rsidRDefault="00D76FE1" w:rsidP="00A44285">
      <w:pPr>
        <w:widowControl w:val="0"/>
        <w:rPr>
          <w:rFonts w:cs="Arial"/>
          <w:szCs w:val="20"/>
          <w:lang w:eastAsia="zh-CN"/>
        </w:rPr>
      </w:pPr>
      <w:r w:rsidRPr="00D267FB">
        <w:rPr>
          <w:rFonts w:cs="Arial"/>
          <w:b/>
          <w:bCs/>
        </w:rPr>
        <w:t xml:space="preserve">Figure </w:t>
      </w:r>
      <w:r>
        <w:rPr>
          <w:rFonts w:cs="Arial" w:hint="eastAsia"/>
          <w:b/>
          <w:bCs/>
          <w:lang w:eastAsia="zh-CN"/>
        </w:rPr>
        <w:t>S2</w:t>
      </w:r>
      <w:r w:rsidRPr="00D267FB">
        <w:rPr>
          <w:rFonts w:cs="Arial"/>
        </w:rPr>
        <w:t xml:space="preserve"> </w:t>
      </w:r>
      <w:r>
        <w:rPr>
          <w:rFonts w:cs="Arial"/>
          <w:color w:val="000000"/>
          <w:szCs w:val="20"/>
        </w:rPr>
        <w:t xml:space="preserve">LPC (17:0) </w:t>
      </w:r>
      <w:r w:rsidRPr="00D76FE1">
        <w:rPr>
          <w:rFonts w:cs="Arial"/>
          <w:color w:val="000000"/>
          <w:szCs w:val="20"/>
        </w:rPr>
        <w:t xml:space="preserve">had no effect on the metabolic characteristics </w:t>
      </w:r>
      <w:r>
        <w:rPr>
          <w:rFonts w:cs="Arial" w:hint="eastAsia"/>
          <w:color w:val="000000"/>
          <w:szCs w:val="20"/>
          <w:lang w:eastAsia="zh-CN"/>
        </w:rPr>
        <w:t>in</w:t>
      </w:r>
      <w:r w:rsidRPr="00D76FE1">
        <w:rPr>
          <w:rFonts w:cs="Arial"/>
          <w:color w:val="000000"/>
          <w:szCs w:val="20"/>
        </w:rPr>
        <w:t xml:space="preserve"> normal</w:t>
      </w:r>
      <w:r w:rsidR="00347786">
        <w:rPr>
          <w:rFonts w:cs="Arial" w:hint="eastAsia"/>
          <w:color w:val="000000"/>
          <w:szCs w:val="20"/>
          <w:lang w:eastAsia="zh-CN"/>
        </w:rPr>
        <w:t>-diet</w:t>
      </w:r>
      <w:r w:rsidRPr="00D76FE1">
        <w:rPr>
          <w:rFonts w:cs="Arial"/>
          <w:color w:val="000000"/>
          <w:szCs w:val="20"/>
        </w:rPr>
        <w:t xml:space="preserve"> mice </w:t>
      </w:r>
      <w:r w:rsidRPr="007C7D03">
        <w:rPr>
          <w:rFonts w:cs="Arial"/>
          <w:noProof/>
          <w:szCs w:val="20"/>
        </w:rPr>
        <w:t xml:space="preserve">(A) </w:t>
      </w:r>
      <w:r w:rsidRPr="007C7D03">
        <w:rPr>
          <w:rFonts w:cs="Arial"/>
          <w:noProof/>
          <w:szCs w:val="20"/>
        </w:rPr>
        <w:lastRenderedPageBreak/>
        <w:t>Body weight, (B) 6h-fasted blood glucose, (C)HbA1c, (D) Plasma insulin, (</w:t>
      </w:r>
      <w:r w:rsidR="00A44285">
        <w:rPr>
          <w:rFonts w:cs="Arial" w:hint="eastAsia"/>
          <w:noProof/>
          <w:szCs w:val="20"/>
          <w:lang w:eastAsia="zh-CN"/>
        </w:rPr>
        <w:t>E</w:t>
      </w:r>
      <w:r w:rsidRPr="007C7D03">
        <w:rPr>
          <w:rFonts w:cs="Arial"/>
          <w:noProof/>
          <w:szCs w:val="20"/>
        </w:rPr>
        <w:t>) OGTT and (</w:t>
      </w:r>
      <w:r w:rsidR="00A44285">
        <w:rPr>
          <w:rFonts w:cs="Arial" w:hint="eastAsia"/>
          <w:noProof/>
          <w:szCs w:val="20"/>
          <w:lang w:eastAsia="zh-CN"/>
        </w:rPr>
        <w:t>F</w:t>
      </w:r>
      <w:r w:rsidRPr="007C7D03">
        <w:rPr>
          <w:rFonts w:cs="Arial"/>
          <w:noProof/>
          <w:szCs w:val="20"/>
        </w:rPr>
        <w:t>) AUC, (</w:t>
      </w:r>
      <w:r w:rsidR="00A44285">
        <w:rPr>
          <w:rFonts w:cs="Arial" w:hint="eastAsia"/>
          <w:noProof/>
          <w:szCs w:val="20"/>
          <w:lang w:eastAsia="zh-CN"/>
        </w:rPr>
        <w:t>G</w:t>
      </w:r>
      <w:r w:rsidRPr="007C7D03">
        <w:rPr>
          <w:rFonts w:cs="Arial"/>
          <w:noProof/>
          <w:szCs w:val="20"/>
        </w:rPr>
        <w:t>) ITT and (</w:t>
      </w:r>
      <w:r w:rsidR="00A44285">
        <w:rPr>
          <w:rFonts w:cs="Arial" w:hint="eastAsia"/>
          <w:noProof/>
          <w:szCs w:val="20"/>
          <w:lang w:eastAsia="zh-CN"/>
        </w:rPr>
        <w:t>H</w:t>
      </w:r>
      <w:r w:rsidRPr="007C7D03">
        <w:rPr>
          <w:rFonts w:cs="Arial"/>
          <w:noProof/>
          <w:szCs w:val="20"/>
        </w:rPr>
        <w:t>) AUC, (</w:t>
      </w:r>
      <w:r w:rsidR="00A44285">
        <w:rPr>
          <w:rFonts w:cs="Arial" w:hint="eastAsia"/>
          <w:noProof/>
          <w:szCs w:val="20"/>
          <w:lang w:eastAsia="zh-CN"/>
        </w:rPr>
        <w:t>I</w:t>
      </w:r>
      <w:r w:rsidRPr="007C7D03">
        <w:rPr>
          <w:rFonts w:cs="Arial"/>
          <w:noProof/>
          <w:szCs w:val="20"/>
        </w:rPr>
        <w:t>) serum TG, (</w:t>
      </w:r>
      <w:r w:rsidR="00A44285">
        <w:rPr>
          <w:rFonts w:cs="Arial" w:hint="eastAsia"/>
          <w:noProof/>
          <w:szCs w:val="20"/>
          <w:lang w:eastAsia="zh-CN"/>
        </w:rPr>
        <w:t>J</w:t>
      </w:r>
      <w:r w:rsidRPr="007C7D03">
        <w:rPr>
          <w:rFonts w:cs="Arial"/>
          <w:noProof/>
          <w:szCs w:val="20"/>
        </w:rPr>
        <w:t>) serum TC</w:t>
      </w:r>
      <w:r w:rsidR="00A44285">
        <w:rPr>
          <w:rFonts w:cs="Arial" w:hint="eastAsia"/>
          <w:noProof/>
          <w:szCs w:val="20"/>
          <w:lang w:eastAsia="zh-CN"/>
        </w:rPr>
        <w:t>,</w:t>
      </w:r>
      <w:r w:rsidRPr="007C7D03">
        <w:rPr>
          <w:rFonts w:cs="Arial"/>
          <w:noProof/>
          <w:szCs w:val="20"/>
        </w:rPr>
        <w:t xml:space="preserve"> LDL-C</w:t>
      </w:r>
      <w:r w:rsidR="00A44285">
        <w:rPr>
          <w:rFonts w:cs="Arial" w:hint="eastAsia"/>
          <w:noProof/>
          <w:szCs w:val="20"/>
          <w:lang w:eastAsia="zh-CN"/>
        </w:rPr>
        <w:t xml:space="preserve"> and</w:t>
      </w:r>
      <w:r w:rsidRPr="007C7D03">
        <w:rPr>
          <w:rFonts w:cs="Arial"/>
          <w:noProof/>
          <w:szCs w:val="20"/>
        </w:rPr>
        <w:t xml:space="preserve"> HLD-C, </w:t>
      </w:r>
      <w:r w:rsidRPr="007C7D03">
        <w:rPr>
          <w:rFonts w:cs="Arial"/>
          <w:szCs w:val="20"/>
        </w:rPr>
        <w:t xml:space="preserve">Data are presented as the mean ± standard error of the mean (SEM); N = </w:t>
      </w:r>
      <w:r w:rsidR="00347786">
        <w:rPr>
          <w:rFonts w:cs="Arial" w:hint="eastAsia"/>
          <w:szCs w:val="20"/>
          <w:lang w:eastAsia="zh-CN"/>
        </w:rPr>
        <w:t>5</w:t>
      </w:r>
      <w:r w:rsidRPr="007C7D03">
        <w:rPr>
          <w:rFonts w:cs="Arial"/>
          <w:szCs w:val="20"/>
        </w:rPr>
        <w:t xml:space="preserve"> mice per group. </w:t>
      </w:r>
    </w:p>
    <w:p w14:paraId="02C79128" w14:textId="77777777" w:rsidR="007D7F38" w:rsidRDefault="007D7F38" w:rsidP="00A44285">
      <w:pPr>
        <w:widowControl w:val="0"/>
        <w:rPr>
          <w:rFonts w:cs="Arial"/>
          <w:szCs w:val="20"/>
          <w:lang w:eastAsia="zh-CN"/>
        </w:rPr>
      </w:pPr>
    </w:p>
    <w:p w14:paraId="3D186441" w14:textId="77777777" w:rsidR="007D7F38" w:rsidRDefault="002307D2" w:rsidP="00A44285">
      <w:pPr>
        <w:widowControl w:val="0"/>
        <w:rPr>
          <w:lang w:eastAsia="zh-CN"/>
        </w:rPr>
      </w:pPr>
      <w:r w:rsidRPr="002307D2">
        <w:rPr>
          <w:noProof/>
          <w:lang w:eastAsia="zh-CN"/>
        </w:rPr>
        <w:drawing>
          <wp:inline distT="0" distB="0" distL="0" distR="0" wp14:anchorId="05976105" wp14:editId="1B71AA13">
            <wp:extent cx="3836987" cy="2417763"/>
            <wp:effectExtent l="0" t="0" r="0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987" cy="241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6BCAD858" w14:textId="77777777" w:rsidR="002307D2" w:rsidRPr="002307D2" w:rsidRDefault="002307D2" w:rsidP="00A44285">
      <w:pPr>
        <w:widowControl w:val="0"/>
        <w:rPr>
          <w:lang w:eastAsia="zh-CN"/>
        </w:rPr>
      </w:pPr>
      <w:r w:rsidRPr="00D267FB">
        <w:rPr>
          <w:rFonts w:cs="Arial"/>
          <w:b/>
          <w:bCs/>
        </w:rPr>
        <w:t xml:space="preserve">Figure </w:t>
      </w:r>
      <w:r>
        <w:rPr>
          <w:rFonts w:cs="Arial" w:hint="eastAsia"/>
          <w:b/>
          <w:bCs/>
          <w:lang w:eastAsia="zh-CN"/>
        </w:rPr>
        <w:t>S3</w:t>
      </w:r>
      <w:r w:rsidRPr="00D267FB">
        <w:rPr>
          <w:rFonts w:cs="Arial"/>
        </w:rPr>
        <w:t xml:space="preserve"> </w:t>
      </w:r>
      <w:r>
        <w:rPr>
          <w:rFonts w:cs="Arial"/>
          <w:color w:val="000000"/>
          <w:szCs w:val="20"/>
        </w:rPr>
        <w:t>LPC (17:0)</w:t>
      </w:r>
      <w:r>
        <w:t xml:space="preserve"> inhibit</w:t>
      </w:r>
      <w:r>
        <w:rPr>
          <w:rFonts w:hint="eastAsia"/>
          <w:lang w:eastAsia="zh-CN"/>
        </w:rPr>
        <w:t xml:space="preserve">ed the </w:t>
      </w:r>
      <w:r>
        <w:t>appetit</w:t>
      </w:r>
      <w:r>
        <w:rPr>
          <w:rFonts w:hint="eastAsia"/>
          <w:lang w:eastAsia="zh-CN"/>
        </w:rPr>
        <w:t>e of HFD mice.</w:t>
      </w:r>
    </w:p>
    <w:sectPr w:rsidR="002307D2" w:rsidRPr="00230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6124" w14:textId="77777777" w:rsidR="002A28B0" w:rsidRDefault="002A28B0" w:rsidP="00D76FE1">
      <w:pPr>
        <w:spacing w:line="240" w:lineRule="auto"/>
      </w:pPr>
      <w:r>
        <w:separator/>
      </w:r>
    </w:p>
  </w:endnote>
  <w:endnote w:type="continuationSeparator" w:id="0">
    <w:p w14:paraId="6BE43A75" w14:textId="77777777" w:rsidR="002A28B0" w:rsidRDefault="002A28B0" w:rsidP="00D76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-Franklink">
    <w:altName w:val="Cambria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0499" w14:textId="1E25D90E" w:rsidR="00D450E9" w:rsidRDefault="00D45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32B2" w14:textId="0604C598" w:rsidR="00D450E9" w:rsidRDefault="00E101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1D0B19" wp14:editId="49F8747E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6" name="MSIPCM94fb49c3921321b9000a476e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DFD683" w14:textId="734091ED" w:rsidR="00E101BB" w:rsidRPr="00E101BB" w:rsidRDefault="00E101BB" w:rsidP="00E101BB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101B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D0B19" id="_x0000_t202" coordsize="21600,21600" o:spt="202" path="m,l,21600r21600,l21600,xe">
              <v:stroke joinstyle="miter"/>
              <v:path gradientshapeok="t" o:connecttype="rect"/>
            </v:shapetype>
            <v:shape id="MSIPCM94fb49c3921321b9000a476e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" o:allowincell="f" filled="f" stroked="f" strokeweight=".5pt">
              <v:fill o:detectmouseclick="t"/>
              <v:textbox inset="20pt,0,,0">
                <w:txbxContent>
                  <w:p w14:paraId="1FDFD683" w14:textId="734091ED" w:rsidR="00E101BB" w:rsidRPr="00E101BB" w:rsidRDefault="00E101BB" w:rsidP="00E101BB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101B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23C9" w14:textId="2D04A875" w:rsidR="00D450E9" w:rsidRDefault="00D45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69A6" w14:textId="77777777" w:rsidR="002A28B0" w:rsidRDefault="002A28B0" w:rsidP="00D76FE1">
      <w:pPr>
        <w:spacing w:line="240" w:lineRule="auto"/>
      </w:pPr>
      <w:r>
        <w:separator/>
      </w:r>
    </w:p>
  </w:footnote>
  <w:footnote w:type="continuationSeparator" w:id="0">
    <w:p w14:paraId="71334462" w14:textId="77777777" w:rsidR="002A28B0" w:rsidRDefault="002A28B0" w:rsidP="00D76F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C4E1" w14:textId="77777777" w:rsidR="00E101BB" w:rsidRDefault="00E10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8B36" w14:textId="77777777" w:rsidR="00E101BB" w:rsidRDefault="00E10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BD64" w14:textId="77777777" w:rsidR="00E101BB" w:rsidRDefault="00E101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87"/>
    <w:rsid w:val="00034BFB"/>
    <w:rsid w:val="001C5F1E"/>
    <w:rsid w:val="002307D2"/>
    <w:rsid w:val="002A28B0"/>
    <w:rsid w:val="00347786"/>
    <w:rsid w:val="007D7F38"/>
    <w:rsid w:val="00962487"/>
    <w:rsid w:val="00A44285"/>
    <w:rsid w:val="00B506F2"/>
    <w:rsid w:val="00C5352B"/>
    <w:rsid w:val="00D450E9"/>
    <w:rsid w:val="00D76FE1"/>
    <w:rsid w:val="00E1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2D5DE9"/>
  <w15:docId w15:val="{1825FD7F-94AF-4BF7-A085-28B8089C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E1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FE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76FE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6FE1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76FE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FE1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E1"/>
    <w:rPr>
      <w:rFonts w:ascii="Arial" w:hAnsi="Arial" w:cs="Times New Roman"/>
      <w:kern w:val="0"/>
      <w:sz w:val="18"/>
      <w:szCs w:val="18"/>
      <w:lang w:eastAsia="en-US"/>
    </w:rPr>
  </w:style>
  <w:style w:type="character" w:customStyle="1" w:styleId="markedcontent">
    <w:name w:val="markedcontent"/>
    <w:rsid w:val="00D7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Lee, Boon</cp:lastModifiedBy>
  <cp:revision>2</cp:revision>
  <dcterms:created xsi:type="dcterms:W3CDTF">2022-09-27T03:10:00Z</dcterms:created>
  <dcterms:modified xsi:type="dcterms:W3CDTF">2022-09-27T03:10:00Z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2022-09-27T03:09:53Z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95407cae-0950-497a-b649-990c481bbef3</vt:lpwstr>
  </property>
  <property fmtid="{D5CDD505-2E9C-101B-9397-08002B2CF9AE}" pid="8" name="MSIP_Label_2bbab825-a111-45e4-86a1-18cee0005896_ContentBits">
    <vt:lpwstr>2</vt:lpwstr>
  </property>
</Properties>
</file>