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742BA" w14:textId="77777777" w:rsidR="00015F94" w:rsidRPr="00466C89" w:rsidRDefault="00015F94" w:rsidP="00015F94">
      <w:pPr>
        <w:spacing w:line="480" w:lineRule="auto"/>
        <w:rPr>
          <w:rFonts w:ascii="Times New Roman" w:hAnsi="Times New Roman" w:cs="Times New Roman"/>
          <w:sz w:val="24"/>
        </w:rPr>
      </w:pPr>
      <w:r w:rsidRPr="00466C89">
        <w:rPr>
          <w:rFonts w:ascii="Times New Roman" w:hAnsi="Times New Roman" w:cs="Times New Roman" w:hint="eastAsia"/>
          <w:sz w:val="24"/>
        </w:rPr>
        <w:t>SFig.1</w:t>
      </w:r>
    </w:p>
    <w:p w14:paraId="4C778F98" w14:textId="77777777" w:rsidR="00015F94" w:rsidRPr="00466C89" w:rsidRDefault="00015F94" w:rsidP="00015F94">
      <w:pPr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</w:rPr>
      </w:pPr>
      <w:r w:rsidRPr="00466C89">
        <w:rPr>
          <w:rFonts w:ascii="Times New Roman" w:hAnsi="Times New Roman" w:cs="Times New Roman"/>
          <w:sz w:val="24"/>
        </w:rPr>
        <w:t xml:space="preserve">ROC curve analysis for the association between </w:t>
      </w:r>
      <w:r w:rsidRPr="00466C89">
        <w:rPr>
          <w:rFonts w:ascii="Times New Roman" w:hAnsi="Times New Roman" w:cs="Times New Roman"/>
          <w:i/>
          <w:sz w:val="24"/>
        </w:rPr>
        <w:t>SLC7A5</w:t>
      </w:r>
      <w:r w:rsidRPr="00466C89">
        <w:rPr>
          <w:rFonts w:ascii="Times New Roman" w:hAnsi="Times New Roman" w:cs="Times New Roman"/>
          <w:sz w:val="24"/>
        </w:rPr>
        <w:t xml:space="preserve"> and clinicopathological factors in breast cancer. ROC, receiver operating characteristic.</w:t>
      </w:r>
    </w:p>
    <w:p w14:paraId="21CC92A3" w14:textId="77777777" w:rsidR="00015F94" w:rsidRPr="00466C89" w:rsidRDefault="00015F94" w:rsidP="00015F94">
      <w:pPr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</w:rPr>
      </w:pPr>
      <w:r w:rsidRPr="00466C89">
        <w:rPr>
          <w:rFonts w:ascii="Times New Roman" w:hAnsi="Times New Roman" w:cs="Times New Roman"/>
          <w:i/>
          <w:sz w:val="24"/>
        </w:rPr>
        <w:t>SLC7A5</w:t>
      </w:r>
      <w:r w:rsidRPr="00466C89">
        <w:rPr>
          <w:rFonts w:ascii="Times New Roman" w:hAnsi="Times New Roman" w:cs="Times New Roman"/>
          <w:sz w:val="24"/>
        </w:rPr>
        <w:t xml:space="preserve"> expression immunohistochemistry images in breast cancer and normal tissues based on the THPA database.</w:t>
      </w:r>
    </w:p>
    <w:p w14:paraId="40223794" w14:textId="77777777" w:rsidR="00015F94" w:rsidRPr="00466C89" w:rsidRDefault="00015F94" w:rsidP="00015F94">
      <w:pPr>
        <w:spacing w:line="480" w:lineRule="auto"/>
        <w:rPr>
          <w:rFonts w:ascii="Times New Roman" w:hAnsi="Times New Roman" w:cs="Times New Roman"/>
          <w:sz w:val="24"/>
        </w:rPr>
      </w:pPr>
      <w:r w:rsidRPr="00466C89">
        <w:rPr>
          <w:rFonts w:ascii="Times New Roman" w:hAnsi="Times New Roman" w:cs="Times New Roman"/>
          <w:sz w:val="24"/>
        </w:rPr>
        <w:t>(*</w:t>
      </w:r>
      <w:r w:rsidRPr="00466C89">
        <w:rPr>
          <w:rFonts w:ascii="Times New Roman" w:hAnsi="Times New Roman" w:cs="Times New Roman"/>
          <w:i/>
          <w:iCs/>
          <w:sz w:val="24"/>
        </w:rPr>
        <w:t>p </w:t>
      </w:r>
      <w:r w:rsidRPr="00466C89">
        <w:rPr>
          <w:rFonts w:ascii="Times New Roman" w:hAnsi="Times New Roman" w:cs="Times New Roman"/>
          <w:sz w:val="24"/>
        </w:rPr>
        <w:t>&lt; </w:t>
      </w:r>
      <w:proofErr w:type="gramStart"/>
      <w:r w:rsidRPr="00466C89">
        <w:rPr>
          <w:rFonts w:ascii="Times New Roman" w:hAnsi="Times New Roman" w:cs="Times New Roman"/>
          <w:sz w:val="24"/>
        </w:rPr>
        <w:t>0.</w:t>
      </w:r>
      <w:r w:rsidRPr="00466C89">
        <w:rPr>
          <w:rFonts w:ascii="Times New Roman" w:hAnsi="Times New Roman" w:cs="Times New Roman" w:hint="eastAsia"/>
          <w:sz w:val="24"/>
        </w:rPr>
        <w:t>0</w:t>
      </w:r>
      <w:r w:rsidRPr="00466C89">
        <w:rPr>
          <w:rFonts w:ascii="Times New Roman" w:hAnsi="Times New Roman" w:cs="Times New Roman"/>
          <w:sz w:val="24"/>
        </w:rPr>
        <w:t>5,*</w:t>
      </w:r>
      <w:proofErr w:type="gramEnd"/>
      <w:r w:rsidRPr="00466C89">
        <w:rPr>
          <w:rFonts w:ascii="Times New Roman" w:hAnsi="Times New Roman" w:cs="Times New Roman"/>
          <w:sz w:val="24"/>
        </w:rPr>
        <w:t>*</w:t>
      </w:r>
      <w:r w:rsidRPr="00466C89">
        <w:rPr>
          <w:rFonts w:ascii="Times New Roman" w:hAnsi="Times New Roman" w:cs="Times New Roman"/>
          <w:i/>
          <w:iCs/>
          <w:sz w:val="24"/>
        </w:rPr>
        <w:t>p </w:t>
      </w:r>
      <w:r w:rsidRPr="00466C89">
        <w:rPr>
          <w:rFonts w:ascii="Times New Roman" w:hAnsi="Times New Roman" w:cs="Times New Roman"/>
          <w:sz w:val="24"/>
        </w:rPr>
        <w:t>&lt; 0.01,***</w:t>
      </w:r>
      <w:r w:rsidRPr="00466C89">
        <w:rPr>
          <w:rFonts w:ascii="Times New Roman" w:hAnsi="Times New Roman" w:cs="Times New Roman"/>
          <w:i/>
          <w:iCs/>
          <w:sz w:val="24"/>
        </w:rPr>
        <w:t>p </w:t>
      </w:r>
      <w:r w:rsidRPr="00466C89">
        <w:rPr>
          <w:rFonts w:ascii="Times New Roman" w:hAnsi="Times New Roman" w:cs="Times New Roman"/>
          <w:sz w:val="24"/>
        </w:rPr>
        <w:t>&lt; 0.001).</w:t>
      </w:r>
    </w:p>
    <w:p w14:paraId="7BBB03BA" w14:textId="77777777" w:rsidR="00015F94" w:rsidRPr="00466C89" w:rsidRDefault="00015F94" w:rsidP="00015F94">
      <w:pPr>
        <w:spacing w:line="480" w:lineRule="auto"/>
        <w:rPr>
          <w:rFonts w:ascii="Times New Roman" w:hAnsi="Times New Roman" w:cs="Times New Roman"/>
          <w:sz w:val="24"/>
        </w:rPr>
      </w:pPr>
      <w:r w:rsidRPr="00466C89">
        <w:rPr>
          <w:rFonts w:ascii="Times New Roman" w:hAnsi="Times New Roman" w:cs="Times New Roman"/>
          <w:sz w:val="24"/>
        </w:rPr>
        <w:t>SFig.2</w:t>
      </w:r>
    </w:p>
    <w:p w14:paraId="508AE40A" w14:textId="77777777" w:rsidR="00015F94" w:rsidRPr="00466C89" w:rsidRDefault="00015F94" w:rsidP="00015F94">
      <w:pPr>
        <w:spacing w:line="480" w:lineRule="auto"/>
        <w:rPr>
          <w:rFonts w:ascii="Times New Roman" w:hAnsi="Times New Roman" w:cs="Times New Roman"/>
          <w:sz w:val="24"/>
        </w:rPr>
      </w:pPr>
      <w:r w:rsidRPr="00466C89">
        <w:rPr>
          <w:rFonts w:ascii="Times New Roman" w:hAnsi="Times New Roman" w:cs="Times New Roman" w:hint="eastAsia"/>
          <w:sz w:val="24"/>
        </w:rPr>
        <w:t>Expression of SLC7A5 in different subtypes of breast cancer.</w:t>
      </w:r>
    </w:p>
    <w:p w14:paraId="7B5B3C01" w14:textId="77777777" w:rsidR="00015F94" w:rsidRPr="00466C89" w:rsidRDefault="00015F94" w:rsidP="00015F94">
      <w:pPr>
        <w:spacing w:line="480" w:lineRule="auto"/>
        <w:rPr>
          <w:rFonts w:ascii="Times New Roman" w:hAnsi="Times New Roman" w:cs="Times New Roman"/>
          <w:sz w:val="24"/>
        </w:rPr>
      </w:pPr>
      <w:r w:rsidRPr="00466C89">
        <w:rPr>
          <w:rFonts w:ascii="Times New Roman" w:hAnsi="Times New Roman" w:cs="Times New Roman" w:hint="eastAsia"/>
          <w:sz w:val="24"/>
        </w:rPr>
        <w:t xml:space="preserve">A: </w:t>
      </w:r>
      <w:r w:rsidRPr="00466C89">
        <w:rPr>
          <w:rFonts w:ascii="Times New Roman" w:hAnsi="Times New Roman" w:cs="Times New Roman"/>
          <w:sz w:val="24"/>
        </w:rPr>
        <w:t>The expression of SLC7A5 in five breast cancer subgroups was compared with that in 113 adjacent normal tissues</w:t>
      </w:r>
      <w:r w:rsidRPr="00466C89">
        <w:rPr>
          <w:rFonts w:ascii="Times New Roman" w:hAnsi="Times New Roman" w:cs="Times New Roman" w:hint="eastAsia"/>
          <w:sz w:val="24"/>
        </w:rPr>
        <w:t xml:space="preserve"> in TCGA</w:t>
      </w:r>
      <w:r w:rsidRPr="00466C89">
        <w:rPr>
          <w:rFonts w:ascii="Times New Roman" w:hAnsi="Times New Roman" w:cs="Times New Roman"/>
          <w:sz w:val="24"/>
        </w:rPr>
        <w:t xml:space="preserve">. </w:t>
      </w:r>
    </w:p>
    <w:p w14:paraId="7619F389" w14:textId="77777777" w:rsidR="00015F94" w:rsidRPr="00466C89" w:rsidRDefault="00015F94" w:rsidP="00015F94">
      <w:pPr>
        <w:spacing w:line="480" w:lineRule="auto"/>
        <w:rPr>
          <w:rFonts w:ascii="Times New Roman" w:hAnsi="Times New Roman" w:cs="Times New Roman"/>
          <w:sz w:val="24"/>
        </w:rPr>
      </w:pPr>
      <w:r w:rsidRPr="00466C89">
        <w:rPr>
          <w:rFonts w:ascii="Times New Roman" w:hAnsi="Times New Roman" w:cs="Times New Roman" w:hint="eastAsia"/>
          <w:sz w:val="24"/>
        </w:rPr>
        <w:t>B: SLC7A5 expression in various breast cancer subtypes in the validation set METABRIC.</w:t>
      </w:r>
    </w:p>
    <w:p w14:paraId="5CA0D4AA" w14:textId="77777777" w:rsidR="00015F94" w:rsidRPr="00466C89" w:rsidRDefault="00015F94" w:rsidP="00015F94">
      <w:pPr>
        <w:spacing w:line="480" w:lineRule="auto"/>
        <w:rPr>
          <w:rFonts w:ascii="Times New Roman" w:hAnsi="Times New Roman" w:cs="Times New Roman"/>
          <w:sz w:val="24"/>
        </w:rPr>
      </w:pPr>
    </w:p>
    <w:p w14:paraId="210B6E61" w14:textId="77777777" w:rsidR="00015F94" w:rsidRPr="00466C89" w:rsidRDefault="00015F94" w:rsidP="00015F94">
      <w:pPr>
        <w:spacing w:line="480" w:lineRule="auto"/>
        <w:rPr>
          <w:rFonts w:ascii="Times New Roman" w:hAnsi="Times New Roman" w:cs="Times New Roman"/>
          <w:sz w:val="24"/>
        </w:rPr>
      </w:pPr>
      <w:r w:rsidRPr="00466C89">
        <w:rPr>
          <w:rFonts w:ascii="Times New Roman" w:hAnsi="Times New Roman" w:cs="Times New Roman"/>
          <w:sz w:val="24"/>
        </w:rPr>
        <w:t>SFig.</w:t>
      </w:r>
      <w:r w:rsidRPr="00466C89">
        <w:rPr>
          <w:rFonts w:ascii="Times New Roman" w:hAnsi="Times New Roman" w:cs="Times New Roman" w:hint="eastAsia"/>
          <w:sz w:val="24"/>
        </w:rPr>
        <w:t>3</w:t>
      </w:r>
    </w:p>
    <w:p w14:paraId="4E9632F0" w14:textId="77777777" w:rsidR="00015F94" w:rsidRPr="00466C89" w:rsidRDefault="00015F94" w:rsidP="00015F94">
      <w:pPr>
        <w:spacing w:line="480" w:lineRule="auto"/>
        <w:rPr>
          <w:rFonts w:ascii="Times New Roman" w:hAnsi="Times New Roman" w:cs="Times New Roman"/>
          <w:sz w:val="24"/>
        </w:rPr>
      </w:pPr>
      <w:r w:rsidRPr="00466C89">
        <w:rPr>
          <w:rFonts w:ascii="Times New Roman" w:hAnsi="Times New Roman" w:cs="Times New Roman"/>
          <w:sz w:val="24"/>
        </w:rPr>
        <w:t>Data analysis showed that somatic mutation TP53 was associated with SLC7A5 expression</w:t>
      </w:r>
      <w:r w:rsidRPr="00466C89">
        <w:rPr>
          <w:rFonts w:ascii="Times New Roman" w:hAnsi="Times New Roman" w:cs="Times New Roman" w:hint="eastAsia"/>
          <w:sz w:val="24"/>
        </w:rPr>
        <w:t xml:space="preserve"> in TCGA</w:t>
      </w:r>
      <w:r w:rsidRPr="00466C89">
        <w:rPr>
          <w:rFonts w:ascii="Times New Roman" w:hAnsi="Times New Roman" w:cs="Times New Roman"/>
          <w:sz w:val="24"/>
        </w:rPr>
        <w:t xml:space="preserve">. </w:t>
      </w:r>
    </w:p>
    <w:p w14:paraId="732D07C3" w14:textId="77777777" w:rsidR="00015F94" w:rsidRPr="00466C89" w:rsidRDefault="00015F94" w:rsidP="00015F94">
      <w:pPr>
        <w:spacing w:line="480" w:lineRule="auto"/>
        <w:rPr>
          <w:rFonts w:ascii="Times New Roman" w:hAnsi="Times New Roman" w:cs="Times New Roman"/>
          <w:sz w:val="24"/>
        </w:rPr>
      </w:pPr>
    </w:p>
    <w:p w14:paraId="218FB73B" w14:textId="77777777" w:rsidR="00015F94" w:rsidRPr="00466C89" w:rsidRDefault="00015F94" w:rsidP="00015F94">
      <w:pPr>
        <w:spacing w:line="480" w:lineRule="auto"/>
        <w:rPr>
          <w:rFonts w:ascii="Times New Roman" w:hAnsi="Times New Roman" w:cs="Times New Roman"/>
          <w:sz w:val="24"/>
        </w:rPr>
      </w:pPr>
      <w:r w:rsidRPr="00466C89">
        <w:rPr>
          <w:rFonts w:ascii="Times New Roman" w:hAnsi="Times New Roman" w:cs="Times New Roman"/>
          <w:sz w:val="24"/>
        </w:rPr>
        <w:t>SFig.</w:t>
      </w:r>
      <w:r w:rsidRPr="00466C89">
        <w:rPr>
          <w:rFonts w:ascii="Times New Roman" w:hAnsi="Times New Roman" w:cs="Times New Roman" w:hint="eastAsia"/>
          <w:sz w:val="24"/>
        </w:rPr>
        <w:t>4</w:t>
      </w:r>
    </w:p>
    <w:p w14:paraId="26CB55EA" w14:textId="77777777" w:rsidR="00807593" w:rsidRPr="00466C89" w:rsidRDefault="00015F94" w:rsidP="00807593">
      <w:pPr>
        <w:spacing w:line="480" w:lineRule="auto"/>
        <w:rPr>
          <w:rFonts w:ascii="Times New Roman" w:hAnsi="Times New Roman" w:cs="Times New Roman"/>
          <w:sz w:val="24"/>
        </w:rPr>
      </w:pPr>
      <w:r w:rsidRPr="00466C89">
        <w:rPr>
          <w:rFonts w:ascii="Times New Roman" w:hAnsi="Times New Roman" w:cs="Times New Roman"/>
          <w:sz w:val="24"/>
        </w:rPr>
        <w:t>Prognosis of SLC7A5 in different breast cancer subtypes of TCGA.</w:t>
      </w:r>
      <w:r w:rsidRPr="00466C89">
        <w:rPr>
          <w:rFonts w:ascii="Times New Roman" w:hAnsi="Times New Roman" w:cs="Times New Roman" w:hint="eastAsia"/>
          <w:sz w:val="24"/>
        </w:rPr>
        <w:t xml:space="preserve"> </w:t>
      </w:r>
      <w:r w:rsidR="00807593" w:rsidRPr="00466C89">
        <w:rPr>
          <w:rFonts w:ascii="Times New Roman" w:hAnsi="Times New Roman" w:cs="Times New Roman"/>
          <w:sz w:val="24"/>
        </w:rPr>
        <w:t>(A) Kaplan–Meier overall survival curve of low and high SLC7A5 expression level group in 1084 patients from TCGA breast cancer cohort.</w:t>
      </w:r>
    </w:p>
    <w:p w14:paraId="61ABC3D4" w14:textId="77777777" w:rsidR="00807593" w:rsidRPr="00466C89" w:rsidRDefault="00807593" w:rsidP="00807593">
      <w:pPr>
        <w:spacing w:line="480" w:lineRule="auto"/>
        <w:rPr>
          <w:rFonts w:ascii="Times New Roman" w:hAnsi="Times New Roman" w:cs="Times New Roman"/>
          <w:sz w:val="24"/>
        </w:rPr>
      </w:pPr>
      <w:r w:rsidRPr="00466C89">
        <w:rPr>
          <w:rFonts w:ascii="Times New Roman" w:hAnsi="Times New Roman" w:cs="Times New Roman"/>
          <w:sz w:val="24"/>
        </w:rPr>
        <w:lastRenderedPageBreak/>
        <w:t>(B) Kaplan–Meier overall survival curve of low and high SLC7A5 expression group in 173 patients from TCGA Basal-like subtype.</w:t>
      </w:r>
    </w:p>
    <w:p w14:paraId="15848358" w14:textId="77777777" w:rsidR="00807593" w:rsidRPr="00466C89" w:rsidRDefault="00807593" w:rsidP="00807593">
      <w:pPr>
        <w:spacing w:line="480" w:lineRule="auto"/>
        <w:rPr>
          <w:rFonts w:ascii="Times New Roman" w:hAnsi="Times New Roman" w:cs="Times New Roman"/>
          <w:sz w:val="24"/>
        </w:rPr>
      </w:pPr>
      <w:r w:rsidRPr="00466C89">
        <w:rPr>
          <w:rFonts w:ascii="Times New Roman" w:hAnsi="Times New Roman" w:cs="Times New Roman"/>
          <w:sz w:val="24"/>
        </w:rPr>
        <w:t>(C) Kaplan–Meier overall survival curve of low and high SLC7A5 expression group in 73 patients from TCGA HER2-like subtype.</w:t>
      </w:r>
    </w:p>
    <w:p w14:paraId="17AF8CF4" w14:textId="77777777" w:rsidR="00807593" w:rsidRPr="00466C89" w:rsidRDefault="00807593" w:rsidP="00807593">
      <w:pPr>
        <w:spacing w:line="480" w:lineRule="auto"/>
        <w:rPr>
          <w:rFonts w:ascii="Times New Roman" w:hAnsi="Times New Roman" w:cs="Times New Roman"/>
          <w:sz w:val="24"/>
        </w:rPr>
      </w:pPr>
      <w:r w:rsidRPr="00466C89">
        <w:rPr>
          <w:rFonts w:ascii="Times New Roman" w:hAnsi="Times New Roman" w:cs="Times New Roman"/>
          <w:sz w:val="24"/>
        </w:rPr>
        <w:t>(D) Kaplan–Meier overall survival curve of low and high SLC7A5 expression group in 73 patients from TCGA Luminal B-like subtype.</w:t>
      </w:r>
    </w:p>
    <w:p w14:paraId="44BF3924" w14:textId="77777777" w:rsidR="00807593" w:rsidRPr="00466C89" w:rsidRDefault="00807593" w:rsidP="00807593">
      <w:pPr>
        <w:spacing w:line="480" w:lineRule="auto"/>
        <w:rPr>
          <w:rFonts w:ascii="Times New Roman" w:hAnsi="Times New Roman" w:cs="Times New Roman"/>
          <w:sz w:val="24"/>
        </w:rPr>
      </w:pPr>
      <w:r w:rsidRPr="00466C89">
        <w:rPr>
          <w:rFonts w:ascii="Times New Roman" w:hAnsi="Times New Roman" w:cs="Times New Roman"/>
          <w:sz w:val="24"/>
        </w:rPr>
        <w:t>(E) Kaplan–Meier overall survival curve of low and high SLC7A5 expression group in 140 patients from TCGA Normal-like subtype.</w:t>
      </w:r>
    </w:p>
    <w:p w14:paraId="2D4AEFFD" w14:textId="77777777" w:rsidR="00807593" w:rsidRPr="00466C89" w:rsidRDefault="00807593" w:rsidP="00807593">
      <w:pPr>
        <w:spacing w:line="480" w:lineRule="auto"/>
        <w:rPr>
          <w:rFonts w:ascii="Times New Roman" w:hAnsi="Times New Roman" w:cs="Times New Roman"/>
          <w:sz w:val="24"/>
        </w:rPr>
      </w:pPr>
      <w:r w:rsidRPr="00466C89">
        <w:rPr>
          <w:rFonts w:ascii="Times New Roman" w:hAnsi="Times New Roman" w:cs="Times New Roman"/>
          <w:sz w:val="24"/>
        </w:rPr>
        <w:t>(F) Kaplan–Meier overall survival curve of low and high SLC7A5 expression group in 509 patients from TCGA Luminal A-like subtype.</w:t>
      </w:r>
    </w:p>
    <w:p w14:paraId="217521C9" w14:textId="56DB11E9" w:rsidR="00015F94" w:rsidRPr="00466C89" w:rsidRDefault="00015F94" w:rsidP="00807593">
      <w:pPr>
        <w:spacing w:line="480" w:lineRule="auto"/>
        <w:rPr>
          <w:rFonts w:ascii="Times New Roman" w:hAnsi="Times New Roman" w:cs="Times New Roman"/>
          <w:sz w:val="24"/>
        </w:rPr>
      </w:pPr>
      <w:r w:rsidRPr="00466C89">
        <w:rPr>
          <w:rFonts w:ascii="Times New Roman" w:hAnsi="Times New Roman" w:cs="Times New Roman"/>
          <w:sz w:val="24"/>
        </w:rPr>
        <w:t>Although there was no statistical significance in all subtypes (p&gt;0.05), the trend was basically the same: the prognosis of patients with high expression of SLC7A5 was poor.</w:t>
      </w:r>
    </w:p>
    <w:p w14:paraId="259DDD36" w14:textId="77777777" w:rsidR="00015F94" w:rsidRPr="00466C89" w:rsidRDefault="00015F94" w:rsidP="00015F94">
      <w:pPr>
        <w:spacing w:line="480" w:lineRule="auto"/>
        <w:rPr>
          <w:rFonts w:ascii="Times New Roman" w:hAnsi="Times New Roman" w:cs="Times New Roman"/>
          <w:sz w:val="24"/>
        </w:rPr>
      </w:pPr>
    </w:p>
    <w:p w14:paraId="343C1525" w14:textId="77777777" w:rsidR="00015F94" w:rsidRPr="00466C89" w:rsidRDefault="00015F94" w:rsidP="00015F94">
      <w:pPr>
        <w:spacing w:line="480" w:lineRule="auto"/>
        <w:rPr>
          <w:rFonts w:ascii="Times New Roman" w:hAnsi="Times New Roman" w:cs="Times New Roman"/>
          <w:sz w:val="24"/>
        </w:rPr>
      </w:pPr>
      <w:r w:rsidRPr="00466C89">
        <w:rPr>
          <w:rFonts w:ascii="Times New Roman" w:hAnsi="Times New Roman" w:cs="Times New Roman"/>
          <w:sz w:val="24"/>
        </w:rPr>
        <w:t>SFig.</w:t>
      </w:r>
      <w:r w:rsidRPr="00466C89">
        <w:rPr>
          <w:rFonts w:ascii="Times New Roman" w:hAnsi="Times New Roman" w:cs="Times New Roman" w:hint="eastAsia"/>
          <w:sz w:val="24"/>
        </w:rPr>
        <w:t>5</w:t>
      </w:r>
    </w:p>
    <w:p w14:paraId="0003EC96" w14:textId="77777777" w:rsidR="00015F94" w:rsidRPr="00466C89" w:rsidRDefault="00015F94" w:rsidP="00015F94">
      <w:pPr>
        <w:spacing w:line="480" w:lineRule="auto"/>
        <w:rPr>
          <w:rFonts w:ascii="Times New Roman" w:hAnsi="Times New Roman" w:cs="Times New Roman"/>
          <w:sz w:val="24"/>
        </w:rPr>
      </w:pPr>
      <w:r w:rsidRPr="00466C89">
        <w:rPr>
          <w:rFonts w:ascii="Times New Roman" w:hAnsi="Times New Roman" w:cs="Times New Roman"/>
          <w:sz w:val="24"/>
        </w:rPr>
        <w:t>Prognosis of SLC7A5 in different breast cancer subtypes of METABRIC in the validation set</w:t>
      </w:r>
      <w:r w:rsidRPr="00466C89">
        <w:rPr>
          <w:rFonts w:ascii="Times New Roman" w:hAnsi="Times New Roman" w:cs="Times New Roman" w:hint="eastAsia"/>
          <w:sz w:val="24"/>
        </w:rPr>
        <w:t>. The prognosis of those with high expression was poor, which was consistent with the results of TCGA.</w:t>
      </w:r>
    </w:p>
    <w:p w14:paraId="3197D630" w14:textId="77777777" w:rsidR="00015F94" w:rsidRPr="00466C89" w:rsidRDefault="00015F94" w:rsidP="00015F94">
      <w:pPr>
        <w:spacing w:line="480" w:lineRule="auto"/>
        <w:rPr>
          <w:rFonts w:ascii="Times New Roman" w:hAnsi="Times New Roman" w:cs="Times New Roman"/>
          <w:sz w:val="24"/>
        </w:rPr>
      </w:pPr>
    </w:p>
    <w:p w14:paraId="0B71F3A1" w14:textId="77777777" w:rsidR="009B585D" w:rsidRPr="00466C89" w:rsidRDefault="009B585D"/>
    <w:sectPr w:rsidR="009B585D" w:rsidRPr="00466C89">
      <w:pgSz w:w="11906" w:h="16838"/>
      <w:pgMar w:top="1701" w:right="1701" w:bottom="170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6587D" w14:textId="77777777" w:rsidR="00215600" w:rsidRDefault="00215600" w:rsidP="00015F94">
      <w:r>
        <w:separator/>
      </w:r>
    </w:p>
  </w:endnote>
  <w:endnote w:type="continuationSeparator" w:id="0">
    <w:p w14:paraId="4E10A1EC" w14:textId="77777777" w:rsidR="00215600" w:rsidRDefault="00215600" w:rsidP="00015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7FAD8" w14:textId="77777777" w:rsidR="00215600" w:rsidRDefault="00215600" w:rsidP="00015F94">
      <w:r>
        <w:separator/>
      </w:r>
    </w:p>
  </w:footnote>
  <w:footnote w:type="continuationSeparator" w:id="0">
    <w:p w14:paraId="4F831255" w14:textId="77777777" w:rsidR="00215600" w:rsidRDefault="00215600" w:rsidP="00015F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3F8A95E"/>
    <w:multiLevelType w:val="singleLevel"/>
    <w:tmpl w:val="93F8A95E"/>
    <w:lvl w:ilvl="0">
      <w:start w:val="1"/>
      <w:numFmt w:val="upperLetter"/>
      <w:suff w:val="space"/>
      <w:lvlText w:val="%1."/>
      <w:lvlJc w:val="left"/>
    </w:lvl>
  </w:abstractNum>
  <w:num w:numId="1" w16cid:durableId="2636091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85D"/>
    <w:rsid w:val="00015F94"/>
    <w:rsid w:val="00215600"/>
    <w:rsid w:val="00466C89"/>
    <w:rsid w:val="007A1D9D"/>
    <w:rsid w:val="007D29A7"/>
    <w:rsid w:val="00807593"/>
    <w:rsid w:val="009B5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1786B7"/>
  <w15:chartTrackingRefBased/>
  <w15:docId w15:val="{67FC1619-00BE-4F05-9D36-5888B378C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5F9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5F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15F9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15F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15F94"/>
    <w:rPr>
      <w:sz w:val="18"/>
      <w:szCs w:val="18"/>
    </w:rPr>
  </w:style>
  <w:style w:type="paragraph" w:styleId="a7">
    <w:name w:val="annotation text"/>
    <w:basedOn w:val="a"/>
    <w:link w:val="a8"/>
    <w:qFormat/>
    <w:rsid w:val="00015F94"/>
    <w:pPr>
      <w:jc w:val="left"/>
    </w:pPr>
    <w:rPr>
      <w:sz w:val="20"/>
      <w:szCs w:val="20"/>
    </w:rPr>
  </w:style>
  <w:style w:type="character" w:customStyle="1" w:styleId="a8">
    <w:name w:val="批注文字 字符"/>
    <w:basedOn w:val="a0"/>
    <w:link w:val="a7"/>
    <w:qFormat/>
    <w:rsid w:val="00015F94"/>
    <w:rPr>
      <w:sz w:val="20"/>
      <w:szCs w:val="20"/>
    </w:rPr>
  </w:style>
  <w:style w:type="character" w:styleId="a9">
    <w:name w:val="annotation reference"/>
    <w:basedOn w:val="a0"/>
    <w:qFormat/>
    <w:rsid w:val="00015F94"/>
    <w:rPr>
      <w:sz w:val="16"/>
      <w:szCs w:val="16"/>
    </w:rPr>
  </w:style>
  <w:style w:type="paragraph" w:styleId="aa">
    <w:name w:val="annotation subject"/>
    <w:basedOn w:val="a7"/>
    <w:next w:val="a7"/>
    <w:link w:val="ab"/>
    <w:uiPriority w:val="99"/>
    <w:semiHidden/>
    <w:unhideWhenUsed/>
    <w:rsid w:val="00015F94"/>
    <w:rPr>
      <w:b/>
      <w:bCs/>
      <w:sz w:val="21"/>
      <w:szCs w:val="24"/>
    </w:rPr>
  </w:style>
  <w:style w:type="character" w:customStyle="1" w:styleId="ab">
    <w:name w:val="批注主题 字符"/>
    <w:basedOn w:val="a8"/>
    <w:link w:val="aa"/>
    <w:uiPriority w:val="99"/>
    <w:semiHidden/>
    <w:rsid w:val="00015F94"/>
    <w:rPr>
      <w:b/>
      <w:bCs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283</Words>
  <Characters>1618</Characters>
  <Application>Microsoft Office Word</Application>
  <DocSecurity>0</DocSecurity>
  <Lines>13</Lines>
  <Paragraphs>3</Paragraphs>
  <ScaleCrop>false</ScaleCrop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torti</dc:creator>
  <cp:keywords/>
  <dc:description/>
  <cp:lastModifiedBy>torti</cp:lastModifiedBy>
  <cp:revision>4</cp:revision>
  <dcterms:created xsi:type="dcterms:W3CDTF">2022-08-16T17:07:00Z</dcterms:created>
  <dcterms:modified xsi:type="dcterms:W3CDTF">2022-08-17T13:36:00Z</dcterms:modified>
</cp:coreProperties>
</file>