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3030"/>
        <w:gridCol w:w="2310"/>
        <w:gridCol w:w="990"/>
      </w:tblGrid>
      <w:tr w:rsidR="00EE4D60" w:rsidRPr="002355E6" w14:paraId="49DE89A4" w14:textId="77777777" w:rsidTr="00583928">
        <w:trPr>
          <w:trHeight w:val="371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0A09E" w14:textId="77777777" w:rsidR="00EE4D60" w:rsidRPr="001E1C2B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E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Supplemental Table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1F4E39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Comparison by years of practice</w:t>
            </w:r>
          </w:p>
        </w:tc>
      </w:tr>
      <w:tr w:rsidR="00EE4D60" w:rsidRPr="002355E6" w14:paraId="07FB81F6" w14:textId="77777777" w:rsidTr="00583928">
        <w:trPr>
          <w:trHeight w:val="3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333EA" w14:textId="77777777" w:rsidR="00EE4D60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Would a randomized clinical trial comparing ECL and IOP control after GDD implantation with tube in anterior chamber versus in ciliary sulcus be beneficial?</w:t>
            </w:r>
          </w:p>
        </w:tc>
      </w:tr>
      <w:tr w:rsidR="00EE4D60" w:rsidRPr="00A510DC" w14:paraId="3E619686" w14:textId="77777777" w:rsidTr="00583928">
        <w:trPr>
          <w:trHeight w:val="35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14:paraId="56B567D9" w14:textId="77777777" w:rsidR="00EE4D60" w:rsidRPr="002355E6" w:rsidRDefault="00EE4D60" w:rsidP="008B7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085DD37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10 or Less Years Practiced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2872C3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11 or More Years Practiced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66B8109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2355E6" w14:paraId="3B85511D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40D85D75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</w:tcPr>
          <w:p w14:paraId="478635F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25 (46.3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</w:tcPr>
          <w:p w14:paraId="02D1CE4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34 (45.9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5E3497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0.7818</w:t>
            </w:r>
          </w:p>
        </w:tc>
      </w:tr>
      <w:tr w:rsidR="00EE4D60" w:rsidRPr="002355E6" w14:paraId="4E000457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0485A6F2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</w:tcPr>
          <w:p w14:paraId="16624A7D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15 (27.8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</w:tcPr>
          <w:p w14:paraId="53D0563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15 (20.3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A87FCF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D62A658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71B3666D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</w:tcPr>
          <w:p w14:paraId="0A6D6839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9 (16.7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</w:tcPr>
          <w:p w14:paraId="224419A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13 (17.6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999691F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01DE9003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4C94873D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</w:tcPr>
          <w:p w14:paraId="7915000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4 (7.4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</w:tcPr>
          <w:p w14:paraId="35AE263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9 (12.2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4FBFB2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4B2DE13D" w14:textId="77777777" w:rsidTr="00583928">
        <w:trPr>
          <w:trHeight w:val="242"/>
        </w:trPr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14:paraId="52478759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1D204D62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 (1.9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B45703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3 (4.1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31EF7A26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DC93F2C" w14:textId="77777777" w:rsidTr="00583928">
        <w:trPr>
          <w:trHeight w:val="24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CE6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 xml:space="preserve">Would a randomized clinical trial comparing postoperative use of prednisolone 1% versus </w:t>
            </w:r>
            <w:proofErr w:type="spellStart"/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difluprednate</w:t>
            </w:r>
            <w:proofErr w:type="spellEnd"/>
            <w:r w:rsidRPr="00A510DC">
              <w:rPr>
                <w:rFonts w:ascii="Times New Roman" w:hAnsi="Times New Roman" w:cs="Times New Roman"/>
                <w:sz w:val="22"/>
                <w:szCs w:val="22"/>
              </w:rPr>
              <w:t xml:space="preserve"> 0.05% after GDD implantation be beneficial?</w:t>
            </w:r>
          </w:p>
        </w:tc>
      </w:tr>
      <w:tr w:rsidR="00EE4D60" w:rsidRPr="002355E6" w14:paraId="7E89B33F" w14:textId="77777777" w:rsidTr="00583928">
        <w:trPr>
          <w:trHeight w:val="242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14:paraId="2C89818F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323C071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10 or Less Years Practiced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3E9DE45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11 or More Years Practiced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7E00C4C5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2355E6" w14:paraId="58BB2FBA" w14:textId="77777777" w:rsidTr="00583928">
        <w:trPr>
          <w:trHeight w:val="242"/>
        </w:trPr>
        <w:tc>
          <w:tcPr>
            <w:tcW w:w="3030" w:type="dxa"/>
            <w:tcBorders>
              <w:left w:val="single" w:sz="4" w:space="0" w:color="auto"/>
            </w:tcBorders>
          </w:tcPr>
          <w:p w14:paraId="03AE777E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vAlign w:val="center"/>
          </w:tcPr>
          <w:p w14:paraId="572ADD2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20 (37.0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vAlign w:val="center"/>
          </w:tcPr>
          <w:p w14:paraId="227262A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22 (29.7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9407452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0.6201</w:t>
            </w:r>
          </w:p>
        </w:tc>
      </w:tr>
      <w:tr w:rsidR="00EE4D60" w:rsidRPr="002355E6" w14:paraId="645B01C5" w14:textId="77777777" w:rsidTr="00583928">
        <w:trPr>
          <w:trHeight w:val="242"/>
        </w:trPr>
        <w:tc>
          <w:tcPr>
            <w:tcW w:w="3030" w:type="dxa"/>
            <w:tcBorders>
              <w:left w:val="single" w:sz="4" w:space="0" w:color="auto"/>
            </w:tcBorders>
          </w:tcPr>
          <w:p w14:paraId="2022C66B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vAlign w:val="center"/>
          </w:tcPr>
          <w:p w14:paraId="7122B429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14 (25.9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vAlign w:val="center"/>
          </w:tcPr>
          <w:p w14:paraId="5B667910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19 (25.7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53F3182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47226188" w14:textId="77777777" w:rsidTr="00583928">
        <w:trPr>
          <w:trHeight w:val="242"/>
        </w:trPr>
        <w:tc>
          <w:tcPr>
            <w:tcW w:w="3030" w:type="dxa"/>
            <w:tcBorders>
              <w:left w:val="single" w:sz="4" w:space="0" w:color="auto"/>
            </w:tcBorders>
          </w:tcPr>
          <w:p w14:paraId="125FCF97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vAlign w:val="center"/>
          </w:tcPr>
          <w:p w14:paraId="00AB925A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13 (24.1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vAlign w:val="center"/>
          </w:tcPr>
          <w:p w14:paraId="511A268A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17 (23.0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3455D8A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2E2069B8" w14:textId="77777777" w:rsidTr="00583928">
        <w:trPr>
          <w:trHeight w:val="242"/>
        </w:trPr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14:paraId="0D04758D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7F1E5F36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7 (13.0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4B379546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16 (21.6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510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66859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412410A" w14:textId="77777777" w:rsidTr="00583928">
        <w:trPr>
          <w:trHeight w:val="260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C848C97" w14:textId="77777777" w:rsidR="00EE4D60" w:rsidRPr="00A510DC" w:rsidRDefault="00EE4D60" w:rsidP="008B7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364F4D" w14:textId="77777777" w:rsidR="002473A6" w:rsidRDefault="00C213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2833"/>
        <w:gridCol w:w="2833"/>
        <w:gridCol w:w="821"/>
      </w:tblGrid>
      <w:tr w:rsidR="00EE4D60" w:rsidRPr="002355E6" w14:paraId="24805FDE" w14:textId="77777777" w:rsidTr="00583928">
        <w:trPr>
          <w:trHeight w:val="458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A6D4F" w14:textId="77777777" w:rsidR="00EE4D60" w:rsidRPr="001E1C2B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1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Supplemental Table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A40110">
              <w:rPr>
                <w:rFonts w:ascii="Times New Roman" w:hAnsi="Times New Roman" w:cs="Times New Roman"/>
                <w:b/>
                <w:sz w:val="22"/>
                <w:szCs w:val="22"/>
              </w:rPr>
              <w:t>b: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Comparison by years of experience of GDD implantation</w:t>
            </w:r>
          </w:p>
        </w:tc>
      </w:tr>
      <w:tr w:rsidR="00EE4D60" w:rsidRPr="002355E6" w14:paraId="22C66FA5" w14:textId="77777777" w:rsidTr="00583928">
        <w:trPr>
          <w:trHeight w:val="458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A9E43" w14:textId="77777777" w:rsidR="00EE4D60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Would a randomized clinical trial comparing ECL and IOP control after GDD implantation with tube in anterior chamber versus in ciliary sulcus be beneficial?</w:t>
            </w:r>
          </w:p>
        </w:tc>
      </w:tr>
      <w:tr w:rsidR="00EE4D60" w:rsidRPr="002355E6" w14:paraId="3507EE2E" w14:textId="77777777" w:rsidTr="00583928">
        <w:trPr>
          <w:trHeight w:val="288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B5D7C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47232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10 or Less Years of GDD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DADC6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11 or More Years of GDD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4054F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2355E6" w14:paraId="007ABC7E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936F3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D2C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23 (44.2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2515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36 (47.4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A70E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0.7568</w:t>
            </w:r>
          </w:p>
        </w:tc>
      </w:tr>
      <w:tr w:rsidR="00EE4D60" w:rsidRPr="002355E6" w14:paraId="02C9B80F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9DEE6F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10F29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15 (28.8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806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15 (19.7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E71A0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26AEE731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6BC04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7B18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9 (17.3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1A0B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13 (17.1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6F7A2D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2DEB8F30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80A49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50EF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4 (7.7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C66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9 (11.8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92920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7C88746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0EF24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3159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 (1.9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00FB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3 (3.9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620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3D75C1E9" w14:textId="77777777" w:rsidTr="00583928"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7560" w14:textId="77777777" w:rsidR="00EE4D60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 xml:space="preserve">Would a randomized clinical trial comparing postoperative use of prednisolone 1% versus </w:t>
            </w:r>
            <w:proofErr w:type="spellStart"/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difluprednate</w:t>
            </w:r>
            <w:proofErr w:type="spellEnd"/>
            <w:r w:rsidRPr="001E1C2B">
              <w:rPr>
                <w:rFonts w:ascii="Times New Roman" w:hAnsi="Times New Roman" w:cs="Times New Roman"/>
                <w:sz w:val="22"/>
                <w:szCs w:val="22"/>
              </w:rPr>
              <w:t xml:space="preserve"> 0.05% after GDD implantation be beneficial?</w:t>
            </w:r>
          </w:p>
        </w:tc>
      </w:tr>
      <w:tr w:rsidR="00EE4D60" w:rsidRPr="002355E6" w14:paraId="7A6F9E2E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CDFE8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4246C66F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10 or Less Years of GDD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3037738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11 or More Years of GDD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7EEC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2355E6" w14:paraId="61329871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447C5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20A30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19 (36.5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A110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23 (30.3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8C38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0.6247</w:t>
            </w:r>
          </w:p>
        </w:tc>
      </w:tr>
      <w:tr w:rsidR="00EE4D60" w:rsidRPr="002355E6" w14:paraId="076012B7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F04EF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358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13 (25.0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E9F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19 (25.0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F4B1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239D48BD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A9ECC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A0F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13 (25.0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D3D87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17 (22.4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E472D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3085C69F" w14:textId="77777777" w:rsidTr="00583928"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C47C2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9DA2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7 (13.5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313F5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17 (22.4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9FA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B648244" w14:textId="77777777" w:rsidTr="00583928">
        <w:trPr>
          <w:trHeight w:val="233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218127" w14:textId="77777777" w:rsidR="00EE4D60" w:rsidRPr="002355E6" w:rsidRDefault="00EE4D60" w:rsidP="008B7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B8AEDD" w14:textId="77777777" w:rsidR="00EE4D60" w:rsidRDefault="00EE4D60"/>
    <w:p w14:paraId="62E8A7DB" w14:textId="77777777" w:rsidR="00EE4D60" w:rsidRDefault="00EE4D60"/>
    <w:p w14:paraId="127C7A5E" w14:textId="77777777" w:rsidR="00EE4D60" w:rsidRDefault="00EE4D60"/>
    <w:p w14:paraId="4C6F1AA6" w14:textId="77777777" w:rsidR="00EE4D60" w:rsidRDefault="00EE4D60"/>
    <w:p w14:paraId="5D5E3C7A" w14:textId="77777777" w:rsidR="00EE4D60" w:rsidRDefault="00EE4D60"/>
    <w:p w14:paraId="0342FCED" w14:textId="77777777" w:rsidR="00EE4D60" w:rsidRDefault="00EE4D60"/>
    <w:p w14:paraId="3BEDB317" w14:textId="77777777" w:rsidR="00EE4D60" w:rsidRDefault="00EE4D60"/>
    <w:p w14:paraId="7210B959" w14:textId="77777777" w:rsidR="00EE4D60" w:rsidRDefault="00EE4D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3030"/>
        <w:gridCol w:w="2130"/>
        <w:gridCol w:w="1170"/>
      </w:tblGrid>
      <w:tr w:rsidR="00EE4D60" w:rsidRPr="002355E6" w14:paraId="46AB7DD3" w14:textId="77777777" w:rsidTr="00583928">
        <w:trPr>
          <w:trHeight w:val="458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8D6F7" w14:textId="77777777" w:rsidR="00EE4D60" w:rsidRPr="001E1C2B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D5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Supplemental Table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FC5D52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Comparison by frequency of GDD surgeries performed currently</w:t>
            </w:r>
          </w:p>
        </w:tc>
      </w:tr>
      <w:tr w:rsidR="00EE4D60" w:rsidRPr="002355E6" w14:paraId="6D2845E9" w14:textId="77777777" w:rsidTr="00583928">
        <w:trPr>
          <w:trHeight w:val="458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6D50E" w14:textId="77777777" w:rsidR="00EE4D60" w:rsidRPr="00FC5D52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Would a randomized clinical trial comparing ECL and IOP control after GDD implantation with tube in anterior chamber versus in ciliary sulcus be beneficial?</w:t>
            </w:r>
          </w:p>
        </w:tc>
      </w:tr>
      <w:tr w:rsidR="00EE4D60" w:rsidRPr="002355E6" w14:paraId="62033B1D" w14:textId="77777777" w:rsidTr="00583928">
        <w:trPr>
          <w:trHeight w:val="35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14:paraId="3D0EF4F4" w14:textId="77777777" w:rsidR="00EE4D60" w:rsidRPr="002355E6" w:rsidRDefault="00EE4D60" w:rsidP="008B7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01D8117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5 Surgeries or Less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5923512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6 Surgeries or More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3AEE461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2355E6" w14:paraId="720CCBF8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30FFBD2C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vAlign w:val="center"/>
          </w:tcPr>
          <w:p w14:paraId="5E09219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39 (43.3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1F5996B0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20 (52.6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AF69DB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0.6345</w:t>
            </w:r>
          </w:p>
        </w:tc>
      </w:tr>
      <w:tr w:rsidR="00EE4D60" w:rsidRPr="002355E6" w14:paraId="22FD2F06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6FF9D12B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vAlign w:val="center"/>
          </w:tcPr>
          <w:p w14:paraId="5DDA43FF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25 (27.8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196F84B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7 (18.4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642928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1E3C06C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6601C00F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vAlign w:val="center"/>
          </w:tcPr>
          <w:p w14:paraId="6C31F935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15 (16.7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54324676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5 (13.2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7C5FF66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1757920B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4959DD4E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vAlign w:val="center"/>
          </w:tcPr>
          <w:p w14:paraId="178BCCB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9 (10.0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693A022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4 (10.5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171019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2DCE7B8" w14:textId="77777777" w:rsidTr="00583928"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14:paraId="158A77DB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7C24C77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 (2.2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A047E2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2 (5.3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E1C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7EC32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1A5E895B" w14:textId="77777777" w:rsidTr="00583928"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2687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 xml:space="preserve">Would a randomized clinical trial comparing postoperative use of prednisolone 1% versus </w:t>
            </w:r>
            <w:proofErr w:type="spellStart"/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difluprednate</w:t>
            </w:r>
            <w:proofErr w:type="spellEnd"/>
            <w:r w:rsidRPr="00107DB0">
              <w:rPr>
                <w:rFonts w:ascii="Times New Roman" w:hAnsi="Times New Roman" w:cs="Times New Roman"/>
                <w:sz w:val="22"/>
                <w:szCs w:val="22"/>
              </w:rPr>
              <w:t xml:space="preserve"> 0.05% after GDD implantation be beneficial?</w:t>
            </w:r>
          </w:p>
        </w:tc>
      </w:tr>
      <w:tr w:rsidR="00EE4D60" w:rsidRPr="002355E6" w14:paraId="27F52DD8" w14:textId="77777777" w:rsidTr="00583928">
        <w:tc>
          <w:tcPr>
            <w:tcW w:w="3030" w:type="dxa"/>
            <w:tcBorders>
              <w:left w:val="single" w:sz="4" w:space="0" w:color="auto"/>
            </w:tcBorders>
          </w:tcPr>
          <w:p w14:paraId="37C81FA8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0" w:type="dxa"/>
          </w:tcPr>
          <w:p w14:paraId="13734155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5 Surgeries or Less</w:t>
            </w:r>
          </w:p>
        </w:tc>
        <w:tc>
          <w:tcPr>
            <w:tcW w:w="2130" w:type="dxa"/>
          </w:tcPr>
          <w:p w14:paraId="479E106D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6 Surgeries or More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5E9086E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2355E6" w14:paraId="46090CB8" w14:textId="77777777" w:rsidTr="00583928"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03EC6EB2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vAlign w:val="center"/>
          </w:tcPr>
          <w:p w14:paraId="205F511F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32 (35.6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03B7DD6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12 (31.6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FB60C77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0.9369</w:t>
            </w:r>
          </w:p>
        </w:tc>
      </w:tr>
      <w:tr w:rsidR="00EE4D60" w:rsidRPr="002355E6" w14:paraId="28E22C9D" w14:textId="77777777" w:rsidTr="00583928"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6439C05D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vAlign w:val="center"/>
          </w:tcPr>
          <w:p w14:paraId="1695A19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27 (30.0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0565676B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11 (28.9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E3D1883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7AF4915A" w14:textId="77777777" w:rsidTr="00583928"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07D64068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vAlign w:val="center"/>
          </w:tcPr>
          <w:p w14:paraId="41718031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19 (21.1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3A4FAA4C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10 (26.3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D44FEED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1AE3C9CE" w14:textId="77777777" w:rsidTr="00583928"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91FEF" w14:textId="77777777" w:rsidR="00EE4D60" w:rsidRPr="001E1C2B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28CADF94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12 (13.3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9EFFCBF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5 (13.2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07D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FE5E8" w14:textId="77777777" w:rsidR="00EE4D60" w:rsidRPr="001E1C2B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2355E6" w14:paraId="3035B0FA" w14:textId="77777777" w:rsidTr="00583928">
        <w:trPr>
          <w:trHeight w:val="251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C1931E" w14:textId="77777777" w:rsidR="00EE4D60" w:rsidRDefault="00EE4D60" w:rsidP="008B7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1ED2C6" w14:textId="77777777" w:rsidR="00EE4D60" w:rsidRDefault="00EE4D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3030"/>
        <w:gridCol w:w="2040"/>
        <w:gridCol w:w="1260"/>
      </w:tblGrid>
      <w:tr w:rsidR="00EE4D60" w:rsidRPr="009B6399" w14:paraId="695F3EC1" w14:textId="77777777" w:rsidTr="00627BEF">
        <w:trPr>
          <w:trHeight w:val="458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34F1A" w14:textId="77777777" w:rsidR="00EE4D60" w:rsidRPr="009B6399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Supplemental Table 1</w:t>
            </w:r>
            <w:r w:rsidRPr="006C1AC6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Comparison by preferred placement of tube shunt</w:t>
            </w:r>
          </w:p>
          <w:p w14:paraId="428E54FD" w14:textId="77777777" w:rsidR="00EE4D60" w:rsidRPr="009B6399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00DAFFC0" w14:textId="77777777" w:rsidTr="00627BEF">
        <w:trPr>
          <w:trHeight w:val="458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771F2" w14:textId="77777777" w:rsidR="00EE4D60" w:rsidRPr="006C1AC6" w:rsidRDefault="00EE4D60" w:rsidP="008B7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Would a randomized clinical trial comparing ECL and IOP control after GDD implantation with tube in anterior chamber versus in ciliary sulcus be beneficial?</w:t>
            </w:r>
          </w:p>
        </w:tc>
      </w:tr>
      <w:tr w:rsidR="00EE4D60" w:rsidRPr="009B6399" w14:paraId="1B2E5E70" w14:textId="77777777" w:rsidTr="00627BEF">
        <w:trPr>
          <w:trHeight w:val="62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14:paraId="6C920A04" w14:textId="77777777" w:rsidR="00EE4D60" w:rsidRPr="009B6399" w:rsidRDefault="00EE4D60" w:rsidP="008B7F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39972E2C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Percentage of AC Surgeries 50% or Less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7D31098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Percentage of AC Surgeries 51% or More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7730836A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9B6399" w14:paraId="2DB1FFEC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5CE9BBF0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vAlign w:val="center"/>
          </w:tcPr>
          <w:p w14:paraId="0DDBCA72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19 (46.3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43F22C3D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40 (46.0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C97FC2C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0.6204</w:t>
            </w:r>
          </w:p>
        </w:tc>
      </w:tr>
      <w:tr w:rsidR="00EE4D60" w:rsidRPr="009B6399" w14:paraId="652436B9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20B3D5B5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vAlign w:val="center"/>
          </w:tcPr>
          <w:p w14:paraId="2E1A337B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11 (26.8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3E35CE66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19 (21.8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13BFB4B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627C4B6C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3954462D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vAlign w:val="center"/>
          </w:tcPr>
          <w:p w14:paraId="7115068F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6 (14.6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4EA99076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17 (19.5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A17EA17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351165C2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55664A9F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vAlign w:val="center"/>
          </w:tcPr>
          <w:p w14:paraId="50498E2D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5 (12.2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30E03B13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7 (8.0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54722DE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2F636029" w14:textId="77777777" w:rsidTr="00627BEF"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14:paraId="77798569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0C00075B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0 (0.0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7826EB6C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4 (4.6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28560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71EC6F08" w14:textId="77777777" w:rsidTr="00627BEF"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CC5C9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 xml:space="preserve">Would a randomized clinical trial comparing postoperative use of prednisolone 1% versus </w:t>
            </w:r>
            <w:proofErr w:type="spellStart"/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difluprednate</w:t>
            </w:r>
            <w:proofErr w:type="spellEnd"/>
            <w:r w:rsidRPr="009B6399">
              <w:rPr>
                <w:rFonts w:ascii="Times New Roman" w:hAnsi="Times New Roman" w:cs="Times New Roman"/>
                <w:sz w:val="22"/>
                <w:szCs w:val="22"/>
              </w:rPr>
              <w:t xml:space="preserve"> 0.05% after GDD implantation be beneficial?</w:t>
            </w:r>
          </w:p>
        </w:tc>
      </w:tr>
      <w:tr w:rsidR="00EE4D60" w:rsidRPr="009B6399" w14:paraId="5B1B952B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166C7CE5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0" w:type="dxa"/>
          </w:tcPr>
          <w:p w14:paraId="5B0021C0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Percentage of AC Surgeries 50% or Less</w:t>
            </w:r>
          </w:p>
        </w:tc>
        <w:tc>
          <w:tcPr>
            <w:tcW w:w="2040" w:type="dxa"/>
          </w:tcPr>
          <w:p w14:paraId="2F1BA44F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Percentage of AC Surgeries 51% or More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27B3135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EE4D60" w:rsidRPr="009B6399" w14:paraId="6A5531DF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4C36876F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Very Beneficial</w:t>
            </w:r>
          </w:p>
        </w:tc>
        <w:tc>
          <w:tcPr>
            <w:tcW w:w="3030" w:type="dxa"/>
            <w:vAlign w:val="center"/>
          </w:tcPr>
          <w:p w14:paraId="62F68DFB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14 (34.1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27B1BC2A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28 (32.2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88C52E6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0.6170</w:t>
            </w:r>
          </w:p>
        </w:tc>
      </w:tr>
      <w:tr w:rsidR="00EE4D60" w:rsidRPr="009B6399" w14:paraId="69C0E570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61671C90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Moderately Beneficial</w:t>
            </w:r>
          </w:p>
        </w:tc>
        <w:tc>
          <w:tcPr>
            <w:tcW w:w="3030" w:type="dxa"/>
            <w:vAlign w:val="center"/>
          </w:tcPr>
          <w:p w14:paraId="4BBFB760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11 (26.8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14EAA968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21 (24.1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971B1DB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29B0B41B" w14:textId="77777777" w:rsidTr="00627BEF">
        <w:tc>
          <w:tcPr>
            <w:tcW w:w="3030" w:type="dxa"/>
            <w:tcBorders>
              <w:left w:val="single" w:sz="4" w:space="0" w:color="auto"/>
            </w:tcBorders>
          </w:tcPr>
          <w:p w14:paraId="282EF373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Somewhat Beneficial</w:t>
            </w:r>
          </w:p>
        </w:tc>
        <w:tc>
          <w:tcPr>
            <w:tcW w:w="3030" w:type="dxa"/>
            <w:vAlign w:val="center"/>
          </w:tcPr>
          <w:p w14:paraId="2C3E3CA0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11 (26.8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6AA8824A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19 (21.8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D9B4B9D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7FAC51E0" w14:textId="77777777" w:rsidTr="00627BEF"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14:paraId="7AFA4320" w14:textId="77777777" w:rsidR="00EE4D60" w:rsidRPr="009B6399" w:rsidRDefault="00EE4D60" w:rsidP="008B7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Unnecessary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6DEE223A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5 (12.2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63A3F1CC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19 (21.8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9B6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FFA26" w14:textId="77777777" w:rsidR="00EE4D60" w:rsidRPr="009B6399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D60" w:rsidRPr="009B6399" w14:paraId="4B38F3AA" w14:textId="77777777" w:rsidTr="00D11669">
        <w:trPr>
          <w:trHeight w:val="233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878C87C" w14:textId="77777777" w:rsidR="00EE4D60" w:rsidRDefault="00EE4D60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C8FBD" w14:textId="77777777" w:rsidR="00D1166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AAD01" w14:textId="77777777" w:rsidR="00D1166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5525DE" w14:textId="77777777" w:rsidR="00D1166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7E9C9" w14:textId="77777777" w:rsidR="00D1166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A11B4" w14:textId="77777777" w:rsidR="00D1166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F4E06" w14:textId="77777777" w:rsidR="00D1166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E08EC" w14:textId="50860FF7" w:rsidR="00D11669" w:rsidRPr="009B6399" w:rsidRDefault="00D11669" w:rsidP="008B7F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1669" w:rsidRPr="008B6610" w14:paraId="575611A1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9360" w:type="dxa"/>
            <w:gridSpan w:val="4"/>
            <w:tcBorders>
              <w:top w:val="nil"/>
              <w:left w:val="nil"/>
              <w:right w:val="nil"/>
            </w:tcBorders>
          </w:tcPr>
          <w:p w14:paraId="6E081FB1" w14:textId="5800CB9A" w:rsidR="00D11669" w:rsidRPr="008B6610" w:rsidRDefault="00D11669" w:rsidP="006160D8">
            <w:pPr>
              <w:tabs>
                <w:tab w:val="left" w:pos="1777"/>
                <w:tab w:val="center" w:pos="4567"/>
              </w:tabs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</w:p>
          <w:p w14:paraId="48B4B379" w14:textId="77777777" w:rsidR="00D11669" w:rsidRPr="008B6610" w:rsidRDefault="00D11669" w:rsidP="006160D8">
            <w:pPr>
              <w:tabs>
                <w:tab w:val="left" w:pos="1777"/>
                <w:tab w:val="center" w:pos="4567"/>
              </w:tabs>
              <w:rPr>
                <w:rFonts w:ascii="Times" w:hAnsi="Times" w:cs="Times New Roman"/>
                <w:color w:val="000000" w:themeColor="text1"/>
              </w:rPr>
            </w:pPr>
            <w:r w:rsidRPr="008B6610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Supplemental Figure 1</w:t>
            </w:r>
            <w:r w:rsidRPr="008B6610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8B6610">
              <w:rPr>
                <w:rFonts w:ascii="Times" w:hAnsi="Times"/>
                <w:color w:val="000000" w:themeColor="text1"/>
                <w:sz w:val="20"/>
                <w:szCs w:val="20"/>
              </w:rPr>
              <w:t>Survey Questions distributed via Qualtrics</w:t>
            </w:r>
          </w:p>
        </w:tc>
      </w:tr>
      <w:tr w:rsidR="00D11669" w:rsidRPr="008B6610" w14:paraId="2EFB1AEB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1BEF442D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What is your opinion of the current evidence regarding tube placement for </w:t>
            </w:r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preventing endothelial cell loss (ECL)</w:t>
            </w: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 after glaucoma drainage device (GDD) implantation?</w:t>
            </w:r>
          </w:p>
          <w:p w14:paraId="45174166" w14:textId="77777777" w:rsidR="00D11669" w:rsidRPr="008B6610" w:rsidRDefault="00D11669" w:rsidP="00D11669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Current evidence supports that tube placement in anterior chamber is superior to tube placement in ciliary sulcus for preventing ECL</w:t>
            </w:r>
          </w:p>
          <w:p w14:paraId="2834B1BC" w14:textId="77777777" w:rsidR="00D11669" w:rsidRPr="008B6610" w:rsidRDefault="00D11669" w:rsidP="00D11669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Current evidence supports that tube placement in sulcus is superior to tube placement in anterior chamber for preventing ECL</w:t>
            </w:r>
          </w:p>
          <w:p w14:paraId="08933E4F" w14:textId="77777777" w:rsidR="00D11669" w:rsidRPr="008B6610" w:rsidRDefault="00D11669" w:rsidP="00D11669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Current evidence suggests there is no difference for preventing ECL between anterior chamber versus ciliary sulcus tube placement</w:t>
            </w:r>
          </w:p>
          <w:p w14:paraId="13CA1B58" w14:textId="77777777" w:rsidR="00D11669" w:rsidRPr="008B6610" w:rsidRDefault="00D11669" w:rsidP="00D11669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There is not enough evidence to support the superiority of one tube location versus another for preventing ECL</w:t>
            </w:r>
          </w:p>
          <w:p w14:paraId="4B87ACC0" w14:textId="77777777" w:rsidR="00D11669" w:rsidRPr="00577191" w:rsidRDefault="00D11669" w:rsidP="00D11669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I am not familiar with the literature</w:t>
            </w:r>
          </w:p>
        </w:tc>
      </w:tr>
      <w:tr w:rsidR="00D11669" w:rsidRPr="008B6610" w14:paraId="08FFF57D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4"/>
        </w:trPr>
        <w:tc>
          <w:tcPr>
            <w:tcW w:w="9360" w:type="dxa"/>
            <w:gridSpan w:val="4"/>
          </w:tcPr>
          <w:p w14:paraId="724462B0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What is your opinion of the current evidence regarding tube placement for </w:t>
            </w:r>
            <w:r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 xml:space="preserve">intraocular </w:t>
            </w:r>
            <w:proofErr w:type="spellStart"/>
            <w:r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>pressure</w:t>
            </w:r>
            <w:proofErr w:type="spellEnd"/>
            <w:r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 xml:space="preserve"> (I</w:t>
            </w:r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>OP</w:t>
            </w:r>
            <w:r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>)</w:t>
            </w:r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 xml:space="preserve"> </w:t>
            </w:r>
            <w:proofErr w:type="spellStart"/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>control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 after GDD implantation?</w:t>
            </w:r>
          </w:p>
          <w:p w14:paraId="448AF86B" w14:textId="77777777" w:rsidR="00D11669" w:rsidRPr="00C55BF7" w:rsidRDefault="00D11669" w:rsidP="00D11669">
            <w:pPr>
              <w:numPr>
                <w:ilvl w:val="0"/>
                <w:numId w:val="2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Current evidence supports that tube placement in anterior chamber is superior to tube placement in ciliary sulcus for IOP control</w:t>
            </w:r>
          </w:p>
          <w:p w14:paraId="2268EBBA" w14:textId="77777777" w:rsidR="00D11669" w:rsidRPr="00C55BF7" w:rsidRDefault="00D11669" w:rsidP="00D11669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Current evidence supports that tube placement in sulcus is superior to tube placement in anterior chamber for IOP control</w:t>
            </w:r>
          </w:p>
          <w:p w14:paraId="2E2803A8" w14:textId="77777777" w:rsidR="00D11669" w:rsidRPr="00C55BF7" w:rsidRDefault="00D11669" w:rsidP="00D11669">
            <w:pPr>
              <w:numPr>
                <w:ilvl w:val="0"/>
                <w:numId w:val="2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Current evidence suggests there is no difference for IOP control between anterior chamber versus ciliary sulcus tube placement</w:t>
            </w:r>
          </w:p>
          <w:p w14:paraId="502109A4" w14:textId="77777777" w:rsidR="00D11669" w:rsidRPr="00C55BF7" w:rsidRDefault="00D11669" w:rsidP="00D11669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There is not enough evidence to support the superiority of one tube location versus another for preventing IOP control</w:t>
            </w:r>
          </w:p>
          <w:p w14:paraId="1E7BA89B" w14:textId="77777777" w:rsidR="00D11669" w:rsidRPr="00577191" w:rsidRDefault="00D11669" w:rsidP="00D11669">
            <w:pPr>
              <w:numPr>
                <w:ilvl w:val="0"/>
                <w:numId w:val="2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I am not familiar with the literature</w:t>
            </w:r>
          </w:p>
        </w:tc>
      </w:tr>
      <w:tr w:rsidR="00D11669" w:rsidRPr="008B6610" w14:paraId="6B501417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3"/>
        </w:trPr>
        <w:tc>
          <w:tcPr>
            <w:tcW w:w="9360" w:type="dxa"/>
            <w:gridSpan w:val="4"/>
          </w:tcPr>
          <w:p w14:paraId="5E797235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0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0"/>
              </w:rPr>
              <w:t>Would a randomized clinical trial comparing ECL and IOP control after GDD implantation with tube in anterior chamber versus in ciliary sulcus be </w:t>
            </w: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0"/>
                <w:lang w:val="es-ES_tradnl"/>
              </w:rPr>
              <w:t>beneficial?</w:t>
            </w:r>
          </w:p>
          <w:p w14:paraId="741F4520" w14:textId="77777777" w:rsidR="00D11669" w:rsidRPr="008B6610" w:rsidRDefault="00D11669" w:rsidP="00D11669">
            <w:pPr>
              <w:pStyle w:val="ListParagraph"/>
              <w:numPr>
                <w:ilvl w:val="0"/>
                <w:numId w:val="3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Very beneficial</w:t>
            </w:r>
          </w:p>
          <w:p w14:paraId="6EABCFB6" w14:textId="77777777" w:rsidR="00D11669" w:rsidRPr="008B6610" w:rsidRDefault="00D11669" w:rsidP="00D11669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Moderately beneficial</w:t>
            </w:r>
          </w:p>
          <w:p w14:paraId="504C7952" w14:textId="77777777" w:rsidR="00D11669" w:rsidRPr="008B6610" w:rsidRDefault="00D11669" w:rsidP="00D11669">
            <w:pPr>
              <w:pStyle w:val="ListParagraph"/>
              <w:numPr>
                <w:ilvl w:val="0"/>
                <w:numId w:val="3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Somewhat beneficial</w:t>
            </w:r>
          </w:p>
          <w:p w14:paraId="20D7108A" w14:textId="77777777" w:rsidR="00D11669" w:rsidRPr="008B6610" w:rsidRDefault="00D11669" w:rsidP="00D11669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Unnecessary</w:t>
            </w:r>
          </w:p>
          <w:p w14:paraId="75A23820" w14:textId="77777777" w:rsidR="00D11669" w:rsidRPr="008B6610" w:rsidRDefault="00D11669" w:rsidP="00D11669">
            <w:pPr>
              <w:pStyle w:val="ListParagraph"/>
              <w:numPr>
                <w:ilvl w:val="0"/>
                <w:numId w:val="3"/>
              </w:numPr>
              <w:spacing w:after="150"/>
              <w:rPr>
                <w:rFonts w:ascii="Times" w:hAnsi="Time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D11669" w:rsidRPr="008B6610" w14:paraId="77D18A5F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7A1FA8EB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What is the likelihood of changing your GDD surgical </w:t>
            </w: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  <w:lang w:val="fr-FR"/>
              </w:rPr>
              <w:t>technique </w:t>
            </w: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regarding tube location if the RCT shows tube placement in sulcus tube is superior to tube placement in anterior chamber for preventing ECL?</w:t>
            </w:r>
          </w:p>
          <w:p w14:paraId="2BA0353C" w14:textId="77777777" w:rsidR="00D11669" w:rsidRPr="008B6610" w:rsidRDefault="00D11669" w:rsidP="00D11669">
            <w:pPr>
              <w:pStyle w:val="ListParagraph"/>
              <w:numPr>
                <w:ilvl w:val="0"/>
                <w:numId w:val="4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Very likely</w:t>
            </w:r>
          </w:p>
          <w:p w14:paraId="3C270DFF" w14:textId="77777777" w:rsidR="00D11669" w:rsidRPr="008B6610" w:rsidRDefault="00D11669" w:rsidP="00D116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Moderately likely</w:t>
            </w:r>
          </w:p>
          <w:p w14:paraId="4150C940" w14:textId="77777777" w:rsidR="00D11669" w:rsidRPr="008B6610" w:rsidRDefault="00D11669" w:rsidP="00D11669">
            <w:pPr>
              <w:pStyle w:val="ListParagraph"/>
              <w:numPr>
                <w:ilvl w:val="0"/>
                <w:numId w:val="4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Somewhat likely</w:t>
            </w:r>
          </w:p>
          <w:p w14:paraId="53457F61" w14:textId="77777777" w:rsidR="00D11669" w:rsidRPr="008B6610" w:rsidRDefault="00D11669" w:rsidP="00D116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Not likely</w:t>
            </w:r>
          </w:p>
          <w:p w14:paraId="2C3491FE" w14:textId="77777777" w:rsidR="00D11669" w:rsidRPr="008B6610" w:rsidRDefault="00D11669" w:rsidP="00D116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D11669" w:rsidRPr="008B6610" w14:paraId="36DAB0DC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3CB65B31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What is your opinion of the current evidence for </w:t>
            </w:r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preventing endothelial cell loss (ECL)</w:t>
            </w: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 after GDD implantation with a stronger </w:t>
            </w:r>
            <w:proofErr w:type="spellStart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  <w:lang w:val="it-IT"/>
              </w:rPr>
              <w:t>postoperative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  <w:lang w:val="it-IT"/>
              </w:rPr>
              <w:t>corticosteroids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  <w:lang w:val="it-IT"/>
              </w:rPr>
              <w:t> </w:t>
            </w: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regimen?</w:t>
            </w:r>
          </w:p>
          <w:p w14:paraId="3AD54A3B" w14:textId="77777777" w:rsidR="00D11669" w:rsidRPr="008B6610" w:rsidRDefault="00D11669" w:rsidP="00D11669">
            <w:pPr>
              <w:pStyle w:val="ListParagraph"/>
              <w:numPr>
                <w:ilvl w:val="0"/>
                <w:numId w:val="5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Current evidence supports the use of topical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 is superior to prednisolone 1% post-operatively for preventing ECL</w:t>
            </w:r>
          </w:p>
          <w:p w14:paraId="238D94B3" w14:textId="77777777" w:rsidR="00D11669" w:rsidRPr="008B6610" w:rsidRDefault="00D11669" w:rsidP="00D11669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Current evidence supports the use of topical prednisolone 1% is superior to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 for preventing ECL</w:t>
            </w:r>
          </w:p>
          <w:p w14:paraId="098E53A6" w14:textId="77777777" w:rsidR="00D11669" w:rsidRPr="008B6610" w:rsidRDefault="00D11669" w:rsidP="00D11669">
            <w:pPr>
              <w:pStyle w:val="ListParagraph"/>
              <w:numPr>
                <w:ilvl w:val="0"/>
                <w:numId w:val="5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Current evidence suggests there is no difference for preventing ECL with topical prednisolone 1% versus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</w:t>
            </w:r>
          </w:p>
          <w:p w14:paraId="342BB8C2" w14:textId="77777777" w:rsidR="00D11669" w:rsidRPr="008B6610" w:rsidRDefault="00D11669" w:rsidP="00D11669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There is not enough evidence to support the superiority of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over prednisolone for prevention of ECL</w:t>
            </w:r>
          </w:p>
          <w:p w14:paraId="0C5BBFD3" w14:textId="77777777" w:rsidR="00D11669" w:rsidRPr="008B6610" w:rsidRDefault="00D11669" w:rsidP="00D11669">
            <w:pPr>
              <w:pStyle w:val="ListParagraph"/>
              <w:numPr>
                <w:ilvl w:val="0"/>
                <w:numId w:val="5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I am not familiar with the literature</w:t>
            </w:r>
          </w:p>
        </w:tc>
      </w:tr>
      <w:tr w:rsidR="00D11669" w:rsidRPr="008B6610" w14:paraId="7AC8B77E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7EBFAC07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What is your opinion of the current evidence for </w:t>
            </w:r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 xml:space="preserve">IOP </w:t>
            </w:r>
            <w:proofErr w:type="spellStart"/>
            <w:r w:rsidRPr="00C55BF7">
              <w:rPr>
                <w:rFonts w:ascii="Times" w:eastAsia="Times New Roman" w:hAnsi="Times" w:cs="Times New Roman"/>
                <w:b/>
                <w:bCs/>
                <w:color w:val="000000" w:themeColor="text1"/>
                <w:sz w:val="22"/>
                <w:szCs w:val="22"/>
                <w:u w:val="single"/>
                <w:lang w:val="pt-PT"/>
              </w:rPr>
              <w:t>control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 with different postoperative corticosteroids use after GDD implantation?</w:t>
            </w:r>
          </w:p>
          <w:p w14:paraId="1A378D05" w14:textId="77777777" w:rsidR="00D11669" w:rsidRPr="008B6610" w:rsidRDefault="00D11669" w:rsidP="00D11669">
            <w:pPr>
              <w:pStyle w:val="ListParagraph"/>
              <w:numPr>
                <w:ilvl w:val="0"/>
                <w:numId w:val="6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lastRenderedPageBreak/>
              <w:t xml:space="preserve">Current evidence supports the use of topical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 is superior to prednisolone 1% post-operatively for improving IOP control</w:t>
            </w:r>
          </w:p>
          <w:p w14:paraId="6029B1AF" w14:textId="77777777" w:rsidR="00D11669" w:rsidRPr="008B6610" w:rsidRDefault="00D11669" w:rsidP="00D11669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Current evidence supports the use of topical prednisolone 1% is superior to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 for improving IOP control</w:t>
            </w:r>
          </w:p>
          <w:p w14:paraId="3A92819B" w14:textId="77777777" w:rsidR="00D11669" w:rsidRPr="008B6610" w:rsidRDefault="00D11669" w:rsidP="00D11669">
            <w:pPr>
              <w:pStyle w:val="ListParagraph"/>
              <w:numPr>
                <w:ilvl w:val="0"/>
                <w:numId w:val="6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Current evidence suggests there is no difference for optimal IOP control with post-operative topical prednisolone 1% versus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</w:t>
            </w:r>
          </w:p>
          <w:p w14:paraId="2182FAE4" w14:textId="77777777" w:rsidR="00D11669" w:rsidRPr="008B6610" w:rsidRDefault="00D11669" w:rsidP="00D11669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There is not enough evidence to support the superiority of </w:t>
            </w:r>
            <w:proofErr w:type="spellStart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difluprednate</w:t>
            </w:r>
            <w:proofErr w:type="spellEnd"/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 xml:space="preserve"> 0.05% over prednisolone 1% for improved IOP control</w:t>
            </w:r>
          </w:p>
          <w:p w14:paraId="38DFBFAA" w14:textId="77777777" w:rsidR="00D11669" w:rsidRPr="008B6610" w:rsidRDefault="00D11669" w:rsidP="00D11669">
            <w:pPr>
              <w:pStyle w:val="ListParagraph"/>
              <w:numPr>
                <w:ilvl w:val="0"/>
                <w:numId w:val="6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I am not familiar with the literature</w:t>
            </w:r>
          </w:p>
        </w:tc>
      </w:tr>
      <w:tr w:rsidR="00D11669" w:rsidRPr="008B6610" w14:paraId="4196270D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01345BB5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lastRenderedPageBreak/>
              <w:t xml:space="preserve">Would a randomized clinical trial comparing postoperative use of prednisolone 1% versus </w:t>
            </w:r>
            <w:proofErr w:type="spellStart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difluprednate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 xml:space="preserve"> 0.05% after GDD implantation be beneficial?</w:t>
            </w:r>
          </w:p>
          <w:p w14:paraId="50AED6D7" w14:textId="77777777" w:rsidR="00D11669" w:rsidRPr="008B6610" w:rsidRDefault="00D11669" w:rsidP="00D11669">
            <w:pPr>
              <w:pStyle w:val="ListParagraph"/>
              <w:numPr>
                <w:ilvl w:val="0"/>
                <w:numId w:val="7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Very beneficial</w:t>
            </w:r>
          </w:p>
          <w:p w14:paraId="5E74D6C3" w14:textId="77777777" w:rsidR="00D11669" w:rsidRPr="008B6610" w:rsidRDefault="00D11669" w:rsidP="00D11669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Moderately beneficial</w:t>
            </w:r>
          </w:p>
          <w:p w14:paraId="435FE848" w14:textId="77777777" w:rsidR="00D11669" w:rsidRPr="008B6610" w:rsidRDefault="00D11669" w:rsidP="00D11669">
            <w:pPr>
              <w:pStyle w:val="ListParagraph"/>
              <w:numPr>
                <w:ilvl w:val="0"/>
                <w:numId w:val="7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Somewhat beneficial</w:t>
            </w:r>
          </w:p>
          <w:p w14:paraId="515EEC25" w14:textId="77777777" w:rsidR="00D11669" w:rsidRPr="008B6610" w:rsidRDefault="00D11669" w:rsidP="00D11669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Unnecessary</w:t>
            </w:r>
          </w:p>
        </w:tc>
      </w:tr>
      <w:tr w:rsidR="00D11669" w:rsidRPr="008B6610" w14:paraId="3E2C942C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3864EEDF" w14:textId="77777777" w:rsidR="00D11669" w:rsidRPr="00C55BF7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 xml:space="preserve">What is the likelihood of changing your postoperative use of corticosteroid after GDD implantation if the RCT shows topical </w:t>
            </w:r>
            <w:proofErr w:type="spellStart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difluprednate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 xml:space="preserve"> 0.05% is superior to prednisolone 1% post-operatively for preventing ECL?</w:t>
            </w:r>
          </w:p>
          <w:p w14:paraId="132CAFFD" w14:textId="77777777" w:rsidR="00D11669" w:rsidRPr="008B6610" w:rsidRDefault="00D11669" w:rsidP="00D11669">
            <w:pPr>
              <w:pStyle w:val="ListParagraph"/>
              <w:numPr>
                <w:ilvl w:val="0"/>
                <w:numId w:val="8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Very likely</w:t>
            </w:r>
          </w:p>
          <w:p w14:paraId="3468419F" w14:textId="77777777" w:rsidR="00D11669" w:rsidRPr="008B6610" w:rsidRDefault="00D11669" w:rsidP="00D11669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Moderately likely</w:t>
            </w:r>
          </w:p>
          <w:p w14:paraId="1EAA39E5" w14:textId="77777777" w:rsidR="00D11669" w:rsidRPr="008B6610" w:rsidRDefault="00D11669" w:rsidP="00D11669">
            <w:pPr>
              <w:pStyle w:val="ListParagraph"/>
              <w:numPr>
                <w:ilvl w:val="0"/>
                <w:numId w:val="8"/>
              </w:numPr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Somewhat likely</w:t>
            </w:r>
          </w:p>
          <w:p w14:paraId="037BC476" w14:textId="77777777" w:rsidR="00D11669" w:rsidRPr="008B6610" w:rsidRDefault="00D11669" w:rsidP="00D11669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</w:pPr>
            <w:r w:rsidRPr="008B6610">
              <w:rPr>
                <w:rFonts w:ascii="Times" w:eastAsia="Times New Roman" w:hAnsi="Times" w:cs="Times New Roman"/>
                <w:color w:val="000000" w:themeColor="text1"/>
                <w:sz w:val="20"/>
                <w:szCs w:val="22"/>
              </w:rPr>
              <w:t>Not likely</w:t>
            </w:r>
          </w:p>
        </w:tc>
      </w:tr>
      <w:tr w:rsidR="00D11669" w:rsidRPr="008B6610" w14:paraId="77839123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4F3D2364" w14:textId="77777777" w:rsidR="00D11669" w:rsidRPr="008B6610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Which country do you practice in?</w:t>
            </w:r>
          </w:p>
        </w:tc>
      </w:tr>
      <w:tr w:rsidR="00D11669" w:rsidRPr="008B6610" w14:paraId="4A000EEA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0D63D571" w14:textId="77777777" w:rsidR="00D11669" w:rsidRPr="008B6610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Did you do a glaucoma fellowship?</w:t>
            </w:r>
          </w:p>
        </w:tc>
      </w:tr>
      <w:tr w:rsidR="00D11669" w:rsidRPr="008B6610" w14:paraId="30F9DC41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7F49100E" w14:textId="77777777" w:rsidR="00D11669" w:rsidRPr="008B6610" w:rsidRDefault="00D11669" w:rsidP="006160D8">
            <w:pPr>
              <w:shd w:val="clear" w:color="auto" w:fill="FFFFFF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hAnsi="Times" w:cs="Times New Roman"/>
                <w:color w:val="000000" w:themeColor="text1"/>
                <w:sz w:val="22"/>
                <w:szCs w:val="22"/>
              </w:rPr>
              <w:t>How many years have you been in practice?</w:t>
            </w:r>
          </w:p>
        </w:tc>
      </w:tr>
      <w:tr w:rsidR="00D11669" w:rsidRPr="008B6610" w14:paraId="57A540DF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7C836421" w14:textId="77777777" w:rsidR="00D11669" w:rsidRPr="008B6610" w:rsidRDefault="00D11669" w:rsidP="006160D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8B6610">
              <w:rPr>
                <w:rFonts w:ascii="Times" w:hAnsi="Times"/>
                <w:color w:val="000000" w:themeColor="text1"/>
                <w:sz w:val="22"/>
                <w:szCs w:val="22"/>
              </w:rPr>
              <w:t>How many years have you been performing GDD placement surgery?</w:t>
            </w:r>
          </w:p>
        </w:tc>
      </w:tr>
      <w:tr w:rsidR="00D11669" w:rsidRPr="008B6610" w14:paraId="6972781B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79B680A7" w14:textId="77777777" w:rsidR="00D11669" w:rsidRPr="008B6610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How many GDD placement surgeries do you perform per month?</w:t>
            </w:r>
          </w:p>
        </w:tc>
      </w:tr>
      <w:tr w:rsidR="00D11669" w:rsidRPr="008B6610" w14:paraId="4D8A583E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</w:tcPr>
          <w:p w14:paraId="6776A44F" w14:textId="77777777" w:rsidR="00D11669" w:rsidRPr="008B6610" w:rsidRDefault="00D11669" w:rsidP="006160D8">
            <w:pPr>
              <w:shd w:val="clear" w:color="auto" w:fill="FFFFFF"/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 xml:space="preserve">In your current practice, what percentage of tubes placed in anterior chamber for </w:t>
            </w:r>
            <w:proofErr w:type="spellStart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pseudophakic</w:t>
            </w:r>
            <w:proofErr w:type="spellEnd"/>
            <w:r w:rsidRPr="00C55BF7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 xml:space="preserve"> patients</w:t>
            </w:r>
            <w:r w:rsidRPr="008B6610">
              <w:rPr>
                <w:rFonts w:ascii="Times" w:eastAsia="Times New Roman" w:hAnsi="Times" w:cs="Times New Roman"/>
                <w:color w:val="000000" w:themeColor="text1"/>
                <w:sz w:val="22"/>
                <w:szCs w:val="22"/>
              </w:rPr>
              <w:t>?</w:t>
            </w:r>
          </w:p>
        </w:tc>
      </w:tr>
      <w:tr w:rsidR="00D11669" w:rsidRPr="008B6610" w14:paraId="6B4B0878" w14:textId="77777777" w:rsidTr="00D1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9360" w:type="dxa"/>
            <w:gridSpan w:val="4"/>
          </w:tcPr>
          <w:p w14:paraId="4F6831CB" w14:textId="77777777" w:rsidR="00D11669" w:rsidRPr="008B6610" w:rsidRDefault="00D11669" w:rsidP="006160D8">
            <w:pPr>
              <w:shd w:val="clear" w:color="auto" w:fill="FFFFFF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C55BF7">
              <w:rPr>
                <w:rFonts w:ascii="Times" w:hAnsi="Times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In your current practice, what percentage of tubes placed in sulcus for </w:t>
            </w:r>
            <w:proofErr w:type="spellStart"/>
            <w:r w:rsidRPr="00C55BF7">
              <w:rPr>
                <w:rFonts w:ascii="Times" w:hAnsi="Times" w:cs="Times New Roman"/>
                <w:color w:val="000000" w:themeColor="text1"/>
                <w:sz w:val="22"/>
                <w:szCs w:val="22"/>
                <w:shd w:val="clear" w:color="auto" w:fill="FFFFFF"/>
              </w:rPr>
              <w:t>pseudophakic</w:t>
            </w:r>
            <w:proofErr w:type="spellEnd"/>
            <w:r w:rsidRPr="00C55BF7">
              <w:rPr>
                <w:rFonts w:ascii="Times" w:hAnsi="Times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patients?</w:t>
            </w:r>
          </w:p>
        </w:tc>
      </w:tr>
    </w:tbl>
    <w:p w14:paraId="5BD8A8DF" w14:textId="77777777" w:rsidR="00EE4D60" w:rsidRDefault="00EE4D60"/>
    <w:sectPr w:rsidR="00EE4D60" w:rsidSect="006B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22A"/>
    <w:multiLevelType w:val="hybridMultilevel"/>
    <w:tmpl w:val="FD4E34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732E0"/>
    <w:multiLevelType w:val="hybridMultilevel"/>
    <w:tmpl w:val="F96E9A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A6CCC"/>
    <w:multiLevelType w:val="hybridMultilevel"/>
    <w:tmpl w:val="39A285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514B2"/>
    <w:multiLevelType w:val="hybridMultilevel"/>
    <w:tmpl w:val="389C21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0251E0"/>
    <w:multiLevelType w:val="hybridMultilevel"/>
    <w:tmpl w:val="77DA88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591C9F"/>
    <w:multiLevelType w:val="hybridMultilevel"/>
    <w:tmpl w:val="8A9CF6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051974"/>
    <w:multiLevelType w:val="hybridMultilevel"/>
    <w:tmpl w:val="3474CC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457E10"/>
    <w:multiLevelType w:val="hybridMultilevel"/>
    <w:tmpl w:val="1CE015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941137">
    <w:abstractNumId w:val="4"/>
  </w:num>
  <w:num w:numId="2" w16cid:durableId="1641572968">
    <w:abstractNumId w:val="7"/>
  </w:num>
  <w:num w:numId="3" w16cid:durableId="758870794">
    <w:abstractNumId w:val="0"/>
  </w:num>
  <w:num w:numId="4" w16cid:durableId="147870823">
    <w:abstractNumId w:val="5"/>
  </w:num>
  <w:num w:numId="5" w16cid:durableId="2046516501">
    <w:abstractNumId w:val="2"/>
  </w:num>
  <w:num w:numId="6" w16cid:durableId="339240486">
    <w:abstractNumId w:val="6"/>
  </w:num>
  <w:num w:numId="7" w16cid:durableId="1587685586">
    <w:abstractNumId w:val="1"/>
  </w:num>
  <w:num w:numId="8" w16cid:durableId="203018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D3"/>
    <w:rsid w:val="002452CC"/>
    <w:rsid w:val="002F6EDE"/>
    <w:rsid w:val="00346640"/>
    <w:rsid w:val="00390FD3"/>
    <w:rsid w:val="003D38BB"/>
    <w:rsid w:val="0050432C"/>
    <w:rsid w:val="00583928"/>
    <w:rsid w:val="005F5E40"/>
    <w:rsid w:val="00627BEF"/>
    <w:rsid w:val="00647D27"/>
    <w:rsid w:val="006B1300"/>
    <w:rsid w:val="00732F6D"/>
    <w:rsid w:val="007C729C"/>
    <w:rsid w:val="00952794"/>
    <w:rsid w:val="009F2D90"/>
    <w:rsid w:val="00C213DD"/>
    <w:rsid w:val="00C35CDF"/>
    <w:rsid w:val="00D11669"/>
    <w:rsid w:val="00E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8AF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4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0FD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90F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7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D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Ton</dc:creator>
  <cp:keywords/>
  <dc:description/>
  <cp:lastModifiedBy>Lauren Ton</cp:lastModifiedBy>
  <cp:revision>7</cp:revision>
  <cp:lastPrinted>2022-03-01T22:55:00Z</cp:lastPrinted>
  <dcterms:created xsi:type="dcterms:W3CDTF">2022-03-01T23:15:00Z</dcterms:created>
  <dcterms:modified xsi:type="dcterms:W3CDTF">2022-05-30T06:39:00Z</dcterms:modified>
</cp:coreProperties>
</file>