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82D6" w14:textId="77777777" w:rsidR="008B1D75" w:rsidRDefault="008B1D75" w:rsidP="00E36E9C">
      <w:pPr>
        <w:pStyle w:val="Caption"/>
        <w:keepNext/>
        <w:rPr>
          <w:rFonts w:ascii="Times" w:hAnsi="Times"/>
          <w:i w:val="0"/>
          <w:iCs w:val="0"/>
          <w:color w:val="auto"/>
          <w:sz w:val="24"/>
          <w:szCs w:val="24"/>
        </w:rPr>
      </w:pPr>
      <w:r w:rsidRPr="006D07A1">
        <w:rPr>
          <w:rFonts w:ascii="Times" w:hAnsi="Times"/>
          <w:b/>
          <w:bCs/>
          <w:i w:val="0"/>
          <w:iCs w:val="0"/>
          <w:color w:val="auto"/>
          <w:sz w:val="24"/>
          <w:szCs w:val="24"/>
        </w:rPr>
        <w:t>Supplementary Table 1</w:t>
      </w:r>
      <w:r w:rsidRPr="009D099C">
        <w:rPr>
          <w:rFonts w:ascii="Times" w:hAnsi="Times"/>
          <w:i w:val="0"/>
          <w:iCs w:val="0"/>
          <w:color w:val="auto"/>
          <w:sz w:val="24"/>
          <w:szCs w:val="24"/>
        </w:rPr>
        <w:t>. Pearson correlation matrix for sleep</w:t>
      </w:r>
      <w:r>
        <w:rPr>
          <w:rFonts w:ascii="Times" w:hAnsi="Times"/>
          <w:i w:val="0"/>
          <w:iCs w:val="0"/>
          <w:color w:val="auto"/>
          <w:sz w:val="24"/>
          <w:szCs w:val="24"/>
        </w:rPr>
        <w:t>, circadian</w:t>
      </w:r>
      <w:r w:rsidRPr="009D099C">
        <w:rPr>
          <w:rFonts w:ascii="Times" w:hAnsi="Times"/>
          <w:i w:val="0"/>
          <w:iCs w:val="0"/>
          <w:color w:val="auto"/>
          <w:sz w:val="24"/>
          <w:szCs w:val="24"/>
        </w:rPr>
        <w:t xml:space="preserve"> variables</w:t>
      </w:r>
      <w:r>
        <w:rPr>
          <w:rFonts w:ascii="Times" w:hAnsi="Times"/>
          <w:i w:val="0"/>
          <w:iCs w:val="0"/>
          <w:color w:val="auto"/>
          <w:sz w:val="24"/>
          <w:szCs w:val="24"/>
        </w:rPr>
        <w:t>, and FAs</w:t>
      </w:r>
      <w:r w:rsidRPr="009D099C">
        <w:rPr>
          <w:rFonts w:ascii="Times" w:hAnsi="Times"/>
          <w:i w:val="0"/>
          <w:iCs w:val="0"/>
          <w:color w:val="auto"/>
          <w:sz w:val="24"/>
          <w:szCs w:val="24"/>
        </w:rPr>
        <w:t xml:space="preserve"> in </w:t>
      </w:r>
      <w:r>
        <w:rPr>
          <w:rFonts w:ascii="Times" w:hAnsi="Times"/>
          <w:i w:val="0"/>
          <w:iCs w:val="0"/>
          <w:color w:val="auto"/>
          <w:sz w:val="24"/>
          <w:szCs w:val="24"/>
        </w:rPr>
        <w:t>Shift W</w:t>
      </w:r>
      <w:r w:rsidRPr="009D099C">
        <w:rPr>
          <w:rFonts w:ascii="Times" w:hAnsi="Times"/>
          <w:i w:val="0"/>
          <w:iCs w:val="0"/>
          <w:color w:val="auto"/>
          <w:sz w:val="24"/>
          <w:szCs w:val="24"/>
        </w:rPr>
        <w:t xml:space="preserve">orkers </w:t>
      </w:r>
    </w:p>
    <w:tbl>
      <w:tblPr>
        <w:tblpPr w:leftFromText="180" w:rightFromText="180" w:vertAnchor="page" w:horzAnchor="margin" w:tblpXSpec="center" w:tblpY="1968"/>
        <w:tblW w:w="16447" w:type="dxa"/>
        <w:tblLook w:val="04A0" w:firstRow="1" w:lastRow="0" w:firstColumn="1" w:lastColumn="0" w:noHBand="0" w:noVBand="1"/>
      </w:tblPr>
      <w:tblGrid>
        <w:gridCol w:w="1111"/>
        <w:gridCol w:w="2212"/>
        <w:gridCol w:w="634"/>
        <w:gridCol w:w="635"/>
        <w:gridCol w:w="655"/>
        <w:gridCol w:w="635"/>
        <w:gridCol w:w="65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55"/>
        <w:gridCol w:w="635"/>
        <w:gridCol w:w="635"/>
        <w:gridCol w:w="635"/>
        <w:gridCol w:w="655"/>
        <w:gridCol w:w="601"/>
        <w:gridCol w:w="379"/>
      </w:tblGrid>
      <w:tr w:rsidR="008B1D75" w:rsidRPr="00E36FDF" w14:paraId="32CFD5D5" w14:textId="77777777" w:rsidTr="00682B49">
        <w:trPr>
          <w:trHeight w:val="237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5F51C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>
              <w:rPr>
                <w:rFonts w:ascii="Times" w:eastAsia="Times New Roman" w:hAnsi="Times" w:cs="Calibri"/>
                <w:sz w:val="16"/>
                <w:szCs w:val="16"/>
              </w:rPr>
              <w:t>Working Status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D18A92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BDFB39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5BA109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3D9C40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A0361E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48E1E8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0F6648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D3D2AB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459CEB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A1E96B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848610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17E5A2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D15F2E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3D2DB1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0ED22B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A180A1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D0857F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9E06EB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7C3E89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77ED74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DD5341" w14:textId="77777777" w:rsidR="008B1D75" w:rsidRPr="00A524B7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21</w:t>
            </w:r>
          </w:p>
        </w:tc>
      </w:tr>
      <w:tr w:rsidR="008B1D75" w:rsidRPr="00E36FDF" w14:paraId="7B151478" w14:textId="77777777" w:rsidTr="00682B49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B117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>
              <w:rPr>
                <w:rFonts w:ascii="Times" w:eastAsia="Times New Roman" w:hAnsi="Times" w:cs="Calibri"/>
                <w:sz w:val="16"/>
                <w:szCs w:val="16"/>
              </w:rPr>
              <w:t>Shift Workers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9C7D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 xml:space="preserve">1. </w:t>
            </w:r>
            <w:proofErr w:type="spellStart"/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Mesor</w:t>
            </w:r>
            <w:proofErr w:type="spellEnd"/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532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5F28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6013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11C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B58E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F7C4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067A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FE5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DD11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C49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0944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5BBC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122B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DE8D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BE4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25D9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C713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0609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736C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C948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A059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5BA8892F" w14:textId="77777777" w:rsidTr="00682B49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3CA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68C4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 xml:space="preserve">2. </w:t>
            </w:r>
            <w:proofErr w:type="spellStart"/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Acrophase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0C09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FBD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1DCD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2025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196F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9016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8BD4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2A20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318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BBDF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48AB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9FB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D23E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6AC7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2DB0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D6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CC4A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0F44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893F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1902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4C43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5D433DA3" w14:textId="77777777" w:rsidTr="00682B49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BF0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4E33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 xml:space="preserve">3. </w:t>
            </w:r>
            <w:proofErr w:type="spellStart"/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F_statistics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D5CC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B65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C6AF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8E1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A1F4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FDA3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3328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5D72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CE8C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A4DA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6D7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11C6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AD79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E46C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0DB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4EB4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2873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17F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5D6B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F39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08C4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0CD0B6F5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83F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385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4. 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2E4C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.862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FB1C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344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.409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37F2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E29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DC7F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E23B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893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B30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552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BA11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EC6F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D27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C0BE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19ED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79D1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3107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8DA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907E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0E04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959A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171BC1F1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7885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5E89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5. 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B0A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B5D9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2898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-.578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DCC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D9FB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59B0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A44E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ED9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D49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543B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40A1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4E8A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F358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4449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9486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4E2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EC57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A793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A018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9BF9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796A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69E0F55C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E74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49FD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 xml:space="preserve">6. </w:t>
            </w:r>
            <w:proofErr w:type="spellStart"/>
            <w:r w:rsidRPr="007F19CB">
              <w:rPr>
                <w:rFonts w:ascii="Times" w:eastAsia="Times New Roman" w:hAnsi="Times" w:cs="Calibri"/>
                <w:sz w:val="16"/>
                <w:szCs w:val="16"/>
              </w:rPr>
              <w:t>Interdaily</w:t>
            </w:r>
            <w:proofErr w:type="spellEnd"/>
            <w:r w:rsidRPr="007F19CB">
              <w:rPr>
                <w:rFonts w:ascii="Times" w:eastAsia="Times New Roman" w:hAnsi="Times" w:cs="Calibri"/>
                <w:sz w:val="16"/>
                <w:szCs w:val="16"/>
              </w:rPr>
              <w:t xml:space="preserve"> 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5613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F277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BC3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.847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2EFE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.411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A690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-.723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C11E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7950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D36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6261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0829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DEDA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39D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B392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D784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BD1C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A6EB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5622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2600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BF1A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22AB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EB92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58792B5E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CA7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16E0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7.</w:t>
            </w:r>
            <w:r w:rsidRPr="00672D13">
              <w:rPr>
                <w:rFonts w:ascii="Times" w:eastAsia="Times New Roman" w:hAnsi="Times" w:cs="Calibri"/>
                <w:sz w:val="16"/>
                <w:szCs w:val="16"/>
              </w:rPr>
              <w:t xml:space="preserve"> </w:t>
            </w:r>
            <w:proofErr w:type="spellStart"/>
            <w:r w:rsidRPr="00672D13">
              <w:rPr>
                <w:rFonts w:ascii="Times" w:eastAsia="Times New Roman" w:hAnsi="Times" w:cs="Calibri"/>
                <w:sz w:val="16"/>
                <w:szCs w:val="16"/>
              </w:rPr>
              <w:t>Interdaily</w:t>
            </w:r>
            <w:proofErr w:type="spellEnd"/>
            <w:r w:rsidRPr="00672D13">
              <w:rPr>
                <w:rFonts w:ascii="Times" w:eastAsia="Times New Roman" w:hAnsi="Times" w:cs="Calibri"/>
                <w:sz w:val="16"/>
                <w:szCs w:val="16"/>
              </w:rPr>
              <w:t xml:space="preserve"> variability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7F0B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A906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24C7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-.329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BEF3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-.266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A1C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EAA0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AA7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D4BD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4AB4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0FE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776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7536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77DF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86E2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5DC6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625C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4178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6DCB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E80C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EDE1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9ACD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539F6ED0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9ED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B629" w14:textId="77777777" w:rsidR="008B1D75" w:rsidRPr="00C3334E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8. Relative Amplitude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4B5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4199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7105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.694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AF34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.337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3FFE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-.907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D063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.820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B99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732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E79E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791D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002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8EB1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EFFC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696D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45B3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1D6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E0E5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957E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F190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F298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83AA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3D84E83B" w14:textId="77777777" w:rsidTr="00682B49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B005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278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9. PSQI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F488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4A1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C651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EE0F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8899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3525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B212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2F86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08C9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D67E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7B87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DC72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E66C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D0C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8BB1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D1AF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905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1AFB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037B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513C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C0D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367279A0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DE24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E574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10. 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6C29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4E4F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A39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D9DF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2CD5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B26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45EB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3BCF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5726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.483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9A0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B083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7A09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978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5FBF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07B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5D3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EB70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FB22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4CC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ADE8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8E83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5B7E8EB2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C69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E818A" w14:textId="77777777" w:rsidR="008B1D75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11. ISI</w:t>
            </w:r>
          </w:p>
          <w:p w14:paraId="3F7C754E" w14:textId="77777777" w:rsidR="008B1D75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</w:p>
          <w:p w14:paraId="24AD1A03" w14:textId="77777777" w:rsidR="008B1D75" w:rsidRPr="00C3334E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 xml:space="preserve">DTI Variables </w:t>
            </w:r>
          </w:p>
          <w:p w14:paraId="1FCBB56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B728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A3A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01C8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2192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4E3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4B9E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B7FB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EA7C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76E8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.741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5CB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.431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DFE5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2A86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3EAD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5D98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7078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9AD0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1122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17B9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F368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AED3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6F0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0D0F0AD7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1CF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91C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 xml:space="preserve">12. FAs of </w:t>
            </w:r>
            <w:r>
              <w:rPr>
                <w:rFonts w:ascii="Times" w:eastAsia="Times New Roman" w:hAnsi="Times" w:cs="Calibri"/>
                <w:sz w:val="16"/>
                <w:szCs w:val="16"/>
              </w:rPr>
              <w:t xml:space="preserve">the </w:t>
            </w: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Right Cingulum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8A68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.386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735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876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659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.328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9F58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E010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97B0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721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2BF2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.261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5E5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8270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72F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0FFA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D1FF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D5D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C7F3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309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477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B203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0514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ABC1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68721E92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F820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CB2B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 xml:space="preserve">13. FAs of </w:t>
            </w:r>
            <w:r>
              <w:rPr>
                <w:rFonts w:ascii="Times" w:eastAsia="Times New Roman" w:hAnsi="Times" w:cs="Calibri"/>
                <w:sz w:val="16"/>
                <w:szCs w:val="16"/>
              </w:rPr>
              <w:t xml:space="preserve">the </w:t>
            </w: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Left Cingulum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04B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285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F297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67E1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0E1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6E70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A648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FF04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1AE1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30B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AF66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C10F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.599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44A2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3D6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1DF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6773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90A1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517A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85E5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39A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C32B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2D54A333" w14:textId="77777777" w:rsidTr="00682B49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BB88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008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proofErr w:type="spellStart"/>
            <w:r w:rsidRPr="00E36FDF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Actigraphic</w:t>
            </w:r>
            <w:proofErr w:type="spellEnd"/>
            <w:r w:rsidRPr="00E36FDF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 xml:space="preserve"> Variables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5B02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2E7D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D9C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582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6DC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C86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6F25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3A9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183A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4B01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3C64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9A76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7AA3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596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62B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088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A160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B568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3EA1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834C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E31A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68B6CFEF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59DD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116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14. TST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A780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-.310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AD6C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E08B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1942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D41B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E96A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6F6C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-.275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56C1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3CC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5402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510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FE46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A87C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8C6D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501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481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45E7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FF6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9225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1A8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664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57BDDCE7" w14:textId="77777777" w:rsidTr="00682B49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3FB7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3A0F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15. 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2B9D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010A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A815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1082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28B5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7A9B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7DFE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465F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8D3E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5311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8E45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DE00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7A23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6EAA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3E36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6BF4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3F13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75B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2F56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D36E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0F90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3A4D18FA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06A9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56F6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16. 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EBE3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540D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5CB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3700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DFE0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67A4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DD0A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B89B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F78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B3C9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.337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C72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3CEA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C713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0A8B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.366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47A5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-.705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68DB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74FD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DD07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CF9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227A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DED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30263401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091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E57C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17. WASO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662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996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C5AE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85E5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8AE5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.282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EF7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F8AB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091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-.293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C8DE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A89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A85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8DD8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69E3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839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5090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3A5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-.295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5E05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4C8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4C83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1BDA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50B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7EE24D02" w14:textId="77777777" w:rsidTr="00682B49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D4C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04B3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 xml:space="preserve">Sleep Diary Variables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1E83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6C6D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3B2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4926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F18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ACB8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E3EC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182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9A0E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E7B8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50FE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FFD6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A5F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017F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63E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87FF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1D64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77BA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F7F2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E9C1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707C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00FAC5E8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13F4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4B8C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18. TST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21A3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47AF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EE89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CE66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FF48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BE1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04F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7F2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78AD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6E58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-.321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02A1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B50C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5CFE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4EDF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.492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EC0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47CB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A26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0BB3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E66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4CFF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D71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371EC800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175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852E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19. 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25B6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84B1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7E3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3CB6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02C8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A052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45A2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41C0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434C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-.262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96FE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731A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F49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EE51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6E7C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6FAB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-.279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CF92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.268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094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1CB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.364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270D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02E2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6F7D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E36FDF" w14:paraId="5EB85665" w14:textId="77777777" w:rsidTr="00682B49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7A1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D41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20. WASO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D9EF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77E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293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A21B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165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.354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499F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35F7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21DB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-.272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9D16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2A4BF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70EC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F9906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E711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661FD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1BC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48B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-.275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362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2588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BDFA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-.654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FFFF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12C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</w:tr>
      <w:tr w:rsidR="008B1D75" w:rsidRPr="00E36FDF" w14:paraId="4FEB676C" w14:textId="77777777" w:rsidTr="00682B49">
        <w:trPr>
          <w:trHeight w:val="271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0D74A44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E48E9E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21. SOL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42C6B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CD6AD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887B3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EBE74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13DFF7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83CC6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45D58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1C64EB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5867E9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.306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9715A3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325C65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36C3F5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086B5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0BCC1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A076A1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F3B8C8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04B6A2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DF46DC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-0.091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AE2FE0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-.574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6F88EE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.458</w:t>
            </w:r>
            <w:r w:rsidRPr="00E36FDF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8E4E32A" w14:textId="77777777" w:rsidR="008B1D75" w:rsidRPr="00E36FDF" w:rsidRDefault="008B1D75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E36FDF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</w:tr>
    </w:tbl>
    <w:p w14:paraId="14EB77AC" w14:textId="77777777" w:rsidR="008B1D75" w:rsidRDefault="008B1D75" w:rsidP="00E36E9C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14:paraId="285AC85E" w14:textId="77777777" w:rsidR="008B1D75" w:rsidRPr="009A54F7" w:rsidRDefault="008B1D75" w:rsidP="00E36E9C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A54F7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**</w:t>
      </w:r>
      <w:r w:rsidRPr="009A54F7">
        <w:rPr>
          <w:rFonts w:ascii="Times New Roman" w:eastAsia="Times New Roman" w:hAnsi="Times New Roman" w:cs="Times New Roman"/>
          <w:sz w:val="18"/>
          <w:szCs w:val="18"/>
        </w:rPr>
        <w:t>. Correlation is significant at the 0.01 level (2- tailed).</w:t>
      </w:r>
    </w:p>
    <w:p w14:paraId="3DC5918B" w14:textId="77777777" w:rsidR="008B1D75" w:rsidRPr="009A54F7" w:rsidRDefault="008B1D75" w:rsidP="00E36E9C">
      <w:pPr>
        <w:rPr>
          <w:rFonts w:ascii="Times New Roman" w:eastAsia="Times New Roman" w:hAnsi="Times New Roman" w:cs="Times New Roman"/>
          <w:sz w:val="18"/>
          <w:szCs w:val="18"/>
        </w:rPr>
      </w:pPr>
      <w:r w:rsidRPr="009A54F7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</w:t>
      </w:r>
      <w:r w:rsidRPr="009A54F7">
        <w:rPr>
          <w:rFonts w:ascii="Times New Roman" w:eastAsia="Times New Roman" w:hAnsi="Times New Roman" w:cs="Times New Roman"/>
          <w:sz w:val="18"/>
          <w:szCs w:val="18"/>
        </w:rPr>
        <w:t>. Correlation is significant at the 0.05 level (2- tailed).</w:t>
      </w:r>
    </w:p>
    <w:p w14:paraId="5F6D61B4" w14:textId="77777777" w:rsidR="008B1D75" w:rsidRDefault="008B1D75" w:rsidP="00E36E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5032">
        <w:rPr>
          <w:rFonts w:ascii="Times New Roman" w:hAnsi="Times New Roman" w:cs="Times New Roman"/>
          <w:sz w:val="24"/>
          <w:szCs w:val="24"/>
        </w:rPr>
        <w:t>Abbreviations:</w:t>
      </w:r>
      <w:r w:rsidRPr="00D547F2">
        <w:rPr>
          <w:rFonts w:ascii="Times New Roman" w:hAnsi="Times New Roman" w:cs="Times New Roman"/>
          <w:sz w:val="24"/>
          <w:szCs w:val="24"/>
        </w:rPr>
        <w:t xml:space="preserve"> </w:t>
      </w:r>
      <w:r w:rsidRPr="00FF5032">
        <w:rPr>
          <w:rFonts w:ascii="Times New Roman" w:hAnsi="Times New Roman" w:cs="Times New Roman"/>
          <w:sz w:val="24"/>
          <w:szCs w:val="24"/>
        </w:rPr>
        <w:t>M10, most active 10-h period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F5032">
        <w:rPr>
          <w:rFonts w:ascii="Times New Roman" w:hAnsi="Times New Roman" w:cs="Times New Roman"/>
          <w:sz w:val="24"/>
          <w:szCs w:val="24"/>
        </w:rPr>
        <w:t xml:space="preserve"> L5, least active 5-h period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F5032">
        <w:rPr>
          <w:rFonts w:ascii="Times New Roman" w:hAnsi="Times New Roman" w:cs="Times New Roman"/>
          <w:sz w:val="24"/>
          <w:szCs w:val="24"/>
        </w:rPr>
        <w:t>PSQI, Pittsburgh Sleep Quality Index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F5032">
        <w:rPr>
          <w:rFonts w:ascii="Times New Roman" w:hAnsi="Times New Roman" w:cs="Times New Roman"/>
          <w:sz w:val="24"/>
          <w:szCs w:val="24"/>
        </w:rPr>
        <w:t>ESS, Epworth Sleepiness Scale;</w:t>
      </w:r>
      <w:r w:rsidRPr="00FB40EC">
        <w:rPr>
          <w:rFonts w:ascii="Times New Roman" w:hAnsi="Times New Roman" w:cs="Times New Roman"/>
          <w:sz w:val="24"/>
          <w:szCs w:val="24"/>
        </w:rPr>
        <w:t xml:space="preserve"> </w:t>
      </w:r>
      <w:r w:rsidRPr="00FF5032">
        <w:rPr>
          <w:rFonts w:ascii="Times New Roman" w:hAnsi="Times New Roman" w:cs="Times New Roman"/>
          <w:sz w:val="24"/>
          <w:szCs w:val="24"/>
        </w:rPr>
        <w:t>ISI, Insomnia Severity Index</w:t>
      </w:r>
      <w:r>
        <w:rPr>
          <w:rFonts w:ascii="Times New Roman" w:hAnsi="Times New Roman" w:cs="Times New Roman"/>
          <w:sz w:val="24"/>
          <w:szCs w:val="24"/>
        </w:rPr>
        <w:t xml:space="preserve">; DTI, diffusion tensor imaging; FA, Fractional Anisotropy; </w:t>
      </w:r>
      <w:r w:rsidRPr="00A131E4">
        <w:rPr>
          <w:rFonts w:ascii="Times New Roman" w:hAnsi="Times New Roman" w:cs="Times New Roman"/>
          <w:sz w:val="24"/>
          <w:szCs w:val="24"/>
        </w:rPr>
        <w:t>TST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31E4">
        <w:rPr>
          <w:rFonts w:ascii="Times New Roman" w:hAnsi="Times New Roman" w:cs="Times New Roman"/>
          <w:sz w:val="24"/>
          <w:szCs w:val="24"/>
        </w:rPr>
        <w:t xml:space="preserve"> total sleep time; </w:t>
      </w:r>
      <w:r w:rsidRPr="00FF5032">
        <w:rPr>
          <w:rFonts w:ascii="Times New Roman" w:hAnsi="Times New Roman" w:cs="Times New Roman"/>
          <w:sz w:val="24"/>
          <w:szCs w:val="24"/>
        </w:rPr>
        <w:t>SOL, sleep onset latency;</w:t>
      </w:r>
      <w:r w:rsidRPr="009A54F7">
        <w:rPr>
          <w:rFonts w:ascii="Times New Roman" w:hAnsi="Times New Roman" w:cs="Times New Roman"/>
          <w:sz w:val="24"/>
          <w:szCs w:val="24"/>
        </w:rPr>
        <w:t xml:space="preserve"> </w:t>
      </w:r>
      <w:r w:rsidRPr="00FF5032">
        <w:rPr>
          <w:rFonts w:ascii="Times New Roman" w:hAnsi="Times New Roman" w:cs="Times New Roman"/>
          <w:sz w:val="24"/>
          <w:szCs w:val="24"/>
        </w:rPr>
        <w:t>SE, sleep efficiency;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32">
        <w:rPr>
          <w:rFonts w:ascii="Times New Roman" w:hAnsi="Times New Roman" w:cs="Times New Roman"/>
          <w:sz w:val="24"/>
          <w:szCs w:val="24"/>
        </w:rPr>
        <w:t>WASO, wake time after sleep onset</w:t>
      </w:r>
    </w:p>
    <w:p w14:paraId="0AE3D585" w14:textId="77777777" w:rsidR="008B1D75" w:rsidRDefault="008B1D75" w:rsidP="005E2BDF">
      <w:pPr>
        <w:pStyle w:val="NoSpacing"/>
        <w:rPr>
          <w:rFonts w:ascii="Times" w:hAnsi="Times"/>
          <w:b/>
          <w:bCs/>
          <w:sz w:val="24"/>
          <w:szCs w:val="24"/>
        </w:rPr>
      </w:pPr>
    </w:p>
    <w:p w14:paraId="14FAB4B3" w14:textId="6FAAEA1A" w:rsidR="005E2BDF" w:rsidRPr="00166101" w:rsidRDefault="005E2BDF" w:rsidP="005E2B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07A1">
        <w:rPr>
          <w:rFonts w:ascii="Times" w:hAnsi="Times"/>
          <w:b/>
          <w:bCs/>
          <w:sz w:val="24"/>
          <w:szCs w:val="24"/>
        </w:rPr>
        <w:t>Supplementary Table 2.</w:t>
      </w:r>
      <w:r w:rsidRPr="009D099C">
        <w:rPr>
          <w:rFonts w:ascii="Times" w:hAnsi="Times"/>
          <w:sz w:val="24"/>
          <w:szCs w:val="24"/>
        </w:rPr>
        <w:t xml:space="preserve"> Pearson correlation matrix for sleep</w:t>
      </w:r>
      <w:r>
        <w:rPr>
          <w:rFonts w:ascii="Times" w:hAnsi="Times"/>
          <w:sz w:val="24"/>
          <w:szCs w:val="24"/>
        </w:rPr>
        <w:t>, circadian</w:t>
      </w:r>
      <w:r w:rsidRPr="009D099C">
        <w:rPr>
          <w:rFonts w:ascii="Times" w:hAnsi="Times"/>
          <w:sz w:val="24"/>
          <w:szCs w:val="24"/>
        </w:rPr>
        <w:t xml:space="preserve"> variables</w:t>
      </w:r>
      <w:r>
        <w:rPr>
          <w:rFonts w:ascii="Times" w:hAnsi="Times"/>
          <w:sz w:val="24"/>
          <w:szCs w:val="24"/>
        </w:rPr>
        <w:t>, and FAs</w:t>
      </w:r>
      <w:r w:rsidRPr="009D099C">
        <w:rPr>
          <w:rFonts w:ascii="Times" w:hAnsi="Times"/>
          <w:sz w:val="24"/>
          <w:szCs w:val="24"/>
        </w:rPr>
        <w:t xml:space="preserve"> in </w:t>
      </w:r>
      <w:r w:rsidRPr="0048185F">
        <w:rPr>
          <w:rFonts w:ascii="Times" w:hAnsi="Times"/>
          <w:sz w:val="24"/>
          <w:szCs w:val="24"/>
        </w:rPr>
        <w:t xml:space="preserve">Non-shift workers </w:t>
      </w:r>
    </w:p>
    <w:tbl>
      <w:tblPr>
        <w:tblW w:w="16062" w:type="dxa"/>
        <w:tblInd w:w="-1016" w:type="dxa"/>
        <w:tblLook w:val="04A0" w:firstRow="1" w:lastRow="0" w:firstColumn="1" w:lastColumn="0" w:noHBand="0" w:noVBand="1"/>
      </w:tblPr>
      <w:tblGrid>
        <w:gridCol w:w="883"/>
        <w:gridCol w:w="2147"/>
        <w:gridCol w:w="650"/>
        <w:gridCol w:w="630"/>
        <w:gridCol w:w="650"/>
        <w:gridCol w:w="630"/>
        <w:gridCol w:w="650"/>
        <w:gridCol w:w="630"/>
        <w:gridCol w:w="630"/>
        <w:gridCol w:w="650"/>
        <w:gridCol w:w="630"/>
        <w:gridCol w:w="630"/>
        <w:gridCol w:w="630"/>
        <w:gridCol w:w="630"/>
        <w:gridCol w:w="630"/>
        <w:gridCol w:w="630"/>
        <w:gridCol w:w="650"/>
        <w:gridCol w:w="650"/>
        <w:gridCol w:w="630"/>
        <w:gridCol w:w="630"/>
        <w:gridCol w:w="650"/>
        <w:gridCol w:w="546"/>
        <w:gridCol w:w="376"/>
      </w:tblGrid>
      <w:tr w:rsidR="008B1D75" w:rsidRPr="007F19CB" w14:paraId="6250779D" w14:textId="77777777" w:rsidTr="008B1D75">
        <w:trPr>
          <w:trHeight w:val="416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2F0D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F7D8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011F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D193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D956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A116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B371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E86C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4D34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984D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8E06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4A14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C4DB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EBB1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CA8D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521A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8172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DCC3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08D5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BD66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D921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B10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5711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2D8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B1D75" w:rsidRPr="00A524B7" w14:paraId="6762C656" w14:textId="77777777" w:rsidTr="008B1D75">
        <w:trPr>
          <w:trHeight w:val="235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09B05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>
              <w:rPr>
                <w:rFonts w:ascii="Times" w:eastAsia="Times New Roman" w:hAnsi="Times" w:cs="Calibri"/>
                <w:sz w:val="16"/>
                <w:szCs w:val="16"/>
              </w:rPr>
              <w:t>Working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BE6EBE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AB3BE7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25CE55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695C50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071CD6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EA2B49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8B7EF0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919ADA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EE529F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E464CB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FBA114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5F543B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2F3EB6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85BFCF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1C2D0E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F96F84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037F77E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1E5CC2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D98353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8FF153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929E5D4" w14:textId="77777777" w:rsidR="005E2BDF" w:rsidRPr="00A524B7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A524B7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21</w:t>
            </w:r>
          </w:p>
        </w:tc>
      </w:tr>
      <w:tr w:rsidR="008B1D75" w:rsidRPr="007F19CB" w14:paraId="5EE0DACA" w14:textId="77777777" w:rsidTr="008B1D75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FC6A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proofErr w:type="spellStart"/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Non_Shift</w:t>
            </w:r>
            <w:proofErr w:type="spellEnd"/>
            <w:r>
              <w:rPr>
                <w:rFonts w:ascii="Times" w:eastAsia="Times New Roman" w:hAnsi="Times" w:cs="Calibri"/>
                <w:sz w:val="16"/>
                <w:szCs w:val="16"/>
              </w:rPr>
              <w:t xml:space="preserve"> </w:t>
            </w: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E6B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 xml:space="preserve">1. </w:t>
            </w:r>
            <w:proofErr w:type="spellStart"/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Mesor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3992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45A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A05A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6FF7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3CD2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319E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4A11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576E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E690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13DB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6FA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0A7B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F2B5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D847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E977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E90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6C88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796B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EDDC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DE9B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BD89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4E0B0AAC" w14:textId="77777777" w:rsidTr="008B1D7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719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>
              <w:rPr>
                <w:rFonts w:ascii="Times" w:eastAsia="Times New Roman" w:hAnsi="Times" w:cs="Calibri"/>
                <w:sz w:val="16"/>
                <w:szCs w:val="16"/>
              </w:rPr>
              <w:t>Workers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0918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 xml:space="preserve">2. </w:t>
            </w:r>
            <w:proofErr w:type="spellStart"/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Acrophase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188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9710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2D06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8AC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2384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C2A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A3A6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EFC7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8886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56DB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0172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C44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DB1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BFE0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C5C9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83E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5BD0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0E73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4167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482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0918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43702395" w14:textId="77777777" w:rsidTr="008B1D7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4CF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6697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 xml:space="preserve">3. </w:t>
            </w:r>
            <w:proofErr w:type="spellStart"/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F_statistics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A38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5DC0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6500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82C4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85C1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0C6B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A8A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F09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006E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C12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C2C0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24AA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7E74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F6DA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D51C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6A05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24F7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9AD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0426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5AA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1E44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225E2C0D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1DB2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140B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4. 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C3BE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.905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369E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1CFD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D1D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5903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B00D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B6CE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CBF7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B10D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1568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0634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CD76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18BD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EEB7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BC95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8B0C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3954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2480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1940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88A9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A7A2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63AABCCF" w14:textId="77777777" w:rsidTr="008B1D7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CB36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727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5. 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B0C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D4D4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B9E2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F87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EACD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9BC7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5E4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87F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69F3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7FF6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62F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6A4C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CF98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AA1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5571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A21E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AF5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AE31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6C99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F7BD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EE1D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6F9DB7E9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A4AE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7995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 xml:space="preserve">6. </w:t>
            </w:r>
            <w:proofErr w:type="spellStart"/>
            <w:r w:rsidRPr="007F19CB">
              <w:rPr>
                <w:rFonts w:ascii="Times" w:eastAsia="Times New Roman" w:hAnsi="Times" w:cs="Calibri"/>
                <w:sz w:val="16"/>
                <w:szCs w:val="16"/>
              </w:rPr>
              <w:t>Interdaily</w:t>
            </w:r>
            <w:proofErr w:type="spellEnd"/>
            <w:r w:rsidRPr="007F19CB">
              <w:rPr>
                <w:rFonts w:ascii="Times" w:eastAsia="Times New Roman" w:hAnsi="Times" w:cs="Calibri"/>
                <w:sz w:val="16"/>
                <w:szCs w:val="16"/>
              </w:rPr>
              <w:t xml:space="preserve"> 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2854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.473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F08F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03B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2388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.536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5DD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-.388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3DF8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3C5C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7D5B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D8BB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5CFF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7DA2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9A09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30CE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22B5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ADE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F2FF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0A69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3089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CF1E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9FAF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DEF2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681E3FCB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55DA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7B5C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7.</w:t>
            </w:r>
            <w:r>
              <w:rPr>
                <w:rFonts w:ascii="Times" w:eastAsia="Times New Roman" w:hAnsi="Times" w:cs="Calibri"/>
                <w:sz w:val="16"/>
                <w:szCs w:val="16"/>
              </w:rPr>
              <w:t xml:space="preserve"> </w:t>
            </w:r>
            <w:proofErr w:type="spellStart"/>
            <w:r w:rsidRPr="00672D13">
              <w:rPr>
                <w:rFonts w:ascii="Times" w:eastAsia="Times New Roman" w:hAnsi="Times" w:cs="Calibri"/>
                <w:sz w:val="16"/>
                <w:szCs w:val="16"/>
              </w:rPr>
              <w:t>Interdaily</w:t>
            </w:r>
            <w:proofErr w:type="spellEnd"/>
            <w:r w:rsidRPr="00672D13">
              <w:rPr>
                <w:rFonts w:ascii="Times" w:eastAsia="Times New Roman" w:hAnsi="Times" w:cs="Calibri"/>
                <w:sz w:val="16"/>
                <w:szCs w:val="16"/>
              </w:rPr>
              <w:t xml:space="preserve"> variability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462E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36E8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3B10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-.646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CCD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DFF7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F3EC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7D5A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CF3B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D765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295F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F155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1AB4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91E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9FD3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4F63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6426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EE3A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157C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AD9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0DE0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1F69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608AE2E2" w14:textId="77777777" w:rsidTr="008B1D7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2447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9240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8. Relative Amplitude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9082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981C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4741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5F35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6174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-.903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8704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.553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88AD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50A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8B0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86C0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44CF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4B9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2DD5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2F5C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A79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90C9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4FAA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FE4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7142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DE6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D052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0C22B3D6" w14:textId="77777777" w:rsidTr="008B1D7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EF54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9F2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9. PSQI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88C7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27D0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2C19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AA8F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0A1B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798E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D59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EFD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6247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155F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C178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EBF3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9F3B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7E52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3CE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D41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03BD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4A91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504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2A6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47CC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5A5E12BB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C34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6416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10. 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03D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B09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738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E0AF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275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9D42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CA1B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43F7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2D61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.470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B72B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B75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5193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5049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DAB6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A88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CEB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908E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6A2D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2CD2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62FE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BB1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75B24DA6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184B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E740B" w14:textId="77777777" w:rsidR="005E2BDF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11. ISI</w:t>
            </w:r>
          </w:p>
          <w:p w14:paraId="53C6AFF9" w14:textId="77777777" w:rsidR="005E2BDF" w:rsidRPr="00C3334E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DTI Variables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9C57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9302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A5FA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745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2E0B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354F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EB5E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5780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94EF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.722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872E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.416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D528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3BE8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8DB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9956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6384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B140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340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76C8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A255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684D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487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7BD34B7A" w14:textId="77777777" w:rsidTr="008B1D7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9CC6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3188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 xml:space="preserve">12. FAs of </w:t>
            </w:r>
            <w:r>
              <w:rPr>
                <w:rFonts w:ascii="Times" w:eastAsia="Times New Roman" w:hAnsi="Times" w:cs="Calibri"/>
                <w:sz w:val="16"/>
                <w:szCs w:val="16"/>
              </w:rPr>
              <w:t xml:space="preserve">the </w:t>
            </w: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Right Cingulum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0EB1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737A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EF64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A0DB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D8AE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6ED8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3288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F1F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0F2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4527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D60E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B291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AFB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FC5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543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FA2F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ACA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F3A5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F19F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3FAD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CE7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7B9877AE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37EC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A0A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13. FAs of</w:t>
            </w:r>
            <w:r>
              <w:rPr>
                <w:rFonts w:ascii="Times" w:eastAsia="Times New Roman" w:hAnsi="Times" w:cs="Calibri"/>
                <w:sz w:val="16"/>
                <w:szCs w:val="16"/>
              </w:rPr>
              <w:t xml:space="preserve"> the</w:t>
            </w: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 xml:space="preserve"> Left Cingulum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93DB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.386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09D2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793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C3EF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.438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7AF7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260B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4033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C7FE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3340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FE77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F311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B4B8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.725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E0E0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C158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2BBB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8A6A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78C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9D73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2402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41D0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9FE2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01B13D6F" w14:textId="77777777" w:rsidTr="008B1D7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5A1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1761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proofErr w:type="spellStart"/>
            <w:r w:rsidRPr="00792D88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>Actigraphic</w:t>
            </w:r>
            <w:proofErr w:type="spellEnd"/>
            <w:r w:rsidRPr="00792D88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 xml:space="preserve"> Variables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BC6E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DD3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870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C01E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2B9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F724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F3A7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30E6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C1BD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42D0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0CC1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2B16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797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D654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46AD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32CC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4EA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BCC8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1A7F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66C0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C122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20EF8B3C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E87F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006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14. TST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5027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-.480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32A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D384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53FE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0823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04BE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CA12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0276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24D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5E2B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1A9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F9F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2037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B054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65EF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6125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103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A10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7F54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91C9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07A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516196A8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D3B4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4C1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15. 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BEFC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-.428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9EAC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8D2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458E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-.416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45FA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700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2746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8201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393E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EE44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786C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-.363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B439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890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4ED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1C61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9043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BEF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E570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C9C5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609A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C011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6F1D6F52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8EB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7BFB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16. 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3B2A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9168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B71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9F83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3864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-.458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261A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8143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3FD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.479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D031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D012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1B63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84AA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A70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7D65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7711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-.487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99DB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4BF6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00D1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20A8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F16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9EED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654DA533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4913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4426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17. WASO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4253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460A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CF75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A2E3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C74E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.541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E29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98E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F4E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-.532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E60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689C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A3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8302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C26A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3B06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25FA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CE23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-.664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F093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1D0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4840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976C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7F2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32199EAA" w14:textId="77777777" w:rsidTr="008B1D7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791E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55F3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b/>
                <w:bCs/>
                <w:sz w:val="16"/>
                <w:szCs w:val="16"/>
              </w:rPr>
              <w:t xml:space="preserve">Sleep Diary Variables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2135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D25D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22B5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44D2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036F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8A5B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A92E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1B86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CFCA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37F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1838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0C39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C4BF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C752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7AC1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1D47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162A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17C3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695E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1B5E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C49D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0D728CBD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8A64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F559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18. TST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4833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A8F4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566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B5CA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CD05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157C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1FDC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2B9B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F20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-.386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FFD9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11D1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4F56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6932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753B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.389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3A80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34F1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D36A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7CCE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CF1B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1E8F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37D1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46451091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DD6A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15E2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19. 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6A82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DEF2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BB4B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056E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38D6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470F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DED8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DFFF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0F80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8F55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-.387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91D0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AF97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05FD6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94AE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-.398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BD95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E7CE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ABF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515B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E598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E7B2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71D1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1D75" w:rsidRPr="007F19CB" w14:paraId="7F8E74CF" w14:textId="77777777" w:rsidTr="008B1D75">
        <w:trPr>
          <w:trHeight w:val="262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299708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37DD8E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20. WASO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F81B0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31729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07158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.519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D0C43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0531D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563BE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45FB1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BE953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0.198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6E71F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0.286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16B93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0.280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CB69F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.396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ABED8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C56AD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A025C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.384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D6FAB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-0.024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5C549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26A54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9EC4D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-0.166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F2739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-.847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48B7D4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C1094B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</w:p>
        </w:tc>
      </w:tr>
      <w:tr w:rsidR="008B1D75" w:rsidRPr="007F19CB" w14:paraId="7FD2BB81" w14:textId="77777777" w:rsidTr="008B1D75">
        <w:trPr>
          <w:trHeight w:val="268"/>
        </w:trPr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14:paraId="17241EF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14:paraId="5FC5981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21. SOL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3A679AF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33AFF66E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008D9C80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53B9995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123D6DD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59AB830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23CDBC85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26C5F72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13A7A64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21A1D498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.362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5865A1E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4E01478D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2222D93F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2DF5046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2BB5C373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7717CDD1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673FD039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1623F9F2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-0.214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7D386737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-.516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77DCB2EC" w14:textId="77777777" w:rsidR="005E2BDF" w:rsidRPr="00792D88" w:rsidRDefault="005E2BDF" w:rsidP="00682B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.451</w:t>
            </w:r>
            <w:r w:rsidRPr="00792D88">
              <w:rPr>
                <w:rFonts w:ascii="Times" w:eastAsia="Times New Roman" w:hAnsi="Times" w:cs="Calibr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hideMark/>
          </w:tcPr>
          <w:p w14:paraId="68C8F102" w14:textId="77777777" w:rsidR="005E2BDF" w:rsidRPr="00792D88" w:rsidRDefault="005E2BDF" w:rsidP="00682B49">
            <w:pPr>
              <w:keepNext/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" w:eastAsia="Times New Roman" w:hAnsi="Times" w:cs="Calibri"/>
                <w:sz w:val="16"/>
                <w:szCs w:val="16"/>
              </w:rPr>
            </w:pPr>
            <w:r w:rsidRPr="00792D88">
              <w:rPr>
                <w:rFonts w:ascii="Times" w:eastAsia="Times New Roman" w:hAnsi="Times" w:cs="Calibri"/>
                <w:sz w:val="16"/>
                <w:szCs w:val="16"/>
              </w:rPr>
              <w:t>1</w:t>
            </w:r>
          </w:p>
        </w:tc>
      </w:tr>
    </w:tbl>
    <w:p w14:paraId="527045A3" w14:textId="77777777" w:rsidR="005E2BDF" w:rsidRDefault="005E2BDF" w:rsidP="005E2BDF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14:paraId="382C6F22" w14:textId="77777777" w:rsidR="005E2BDF" w:rsidRPr="009A54F7" w:rsidRDefault="005E2BDF" w:rsidP="005E2BDF">
      <w:pPr>
        <w:widowControl/>
        <w:wordWrap/>
        <w:autoSpaceDE/>
        <w:autoSpaceDN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A54F7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**</w:t>
      </w:r>
      <w:r w:rsidRPr="009A54F7">
        <w:rPr>
          <w:rFonts w:ascii="Times New Roman" w:eastAsia="Times New Roman" w:hAnsi="Times New Roman" w:cs="Times New Roman"/>
          <w:sz w:val="18"/>
          <w:szCs w:val="18"/>
        </w:rPr>
        <w:t>. Correlation is significant at the 0.01 level (2- tailed).</w:t>
      </w:r>
    </w:p>
    <w:p w14:paraId="1BB03AEE" w14:textId="77777777" w:rsidR="005E2BDF" w:rsidRPr="009A54F7" w:rsidRDefault="005E2BDF" w:rsidP="005E2BDF">
      <w:pPr>
        <w:rPr>
          <w:rFonts w:ascii="Times New Roman" w:eastAsia="Times New Roman" w:hAnsi="Times New Roman" w:cs="Times New Roman"/>
          <w:sz w:val="18"/>
          <w:szCs w:val="18"/>
        </w:rPr>
      </w:pPr>
      <w:r w:rsidRPr="009A54F7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</w:t>
      </w:r>
      <w:r w:rsidRPr="009A54F7">
        <w:rPr>
          <w:rFonts w:ascii="Times New Roman" w:eastAsia="Times New Roman" w:hAnsi="Times New Roman" w:cs="Times New Roman"/>
          <w:sz w:val="18"/>
          <w:szCs w:val="18"/>
        </w:rPr>
        <w:t>. Correlation is significant at the 0.05 level (2- tailed).</w:t>
      </w:r>
    </w:p>
    <w:p w14:paraId="52D16C30" w14:textId="77777777" w:rsidR="005E2BDF" w:rsidRPr="009A54F7" w:rsidRDefault="005E2BDF" w:rsidP="005E2B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5032">
        <w:rPr>
          <w:rFonts w:ascii="Times New Roman" w:hAnsi="Times New Roman" w:cs="Times New Roman"/>
          <w:sz w:val="24"/>
          <w:szCs w:val="24"/>
        </w:rPr>
        <w:t>Abbreviations:</w:t>
      </w:r>
      <w:r w:rsidRPr="00D547F2">
        <w:rPr>
          <w:rFonts w:ascii="Times New Roman" w:hAnsi="Times New Roman" w:cs="Times New Roman"/>
          <w:sz w:val="24"/>
          <w:szCs w:val="24"/>
        </w:rPr>
        <w:t xml:space="preserve"> </w:t>
      </w:r>
      <w:r w:rsidRPr="00FF5032">
        <w:rPr>
          <w:rFonts w:ascii="Times New Roman" w:hAnsi="Times New Roman" w:cs="Times New Roman"/>
          <w:sz w:val="24"/>
          <w:szCs w:val="24"/>
        </w:rPr>
        <w:t>M10, most active 10-h period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F5032">
        <w:rPr>
          <w:rFonts w:ascii="Times New Roman" w:hAnsi="Times New Roman" w:cs="Times New Roman"/>
          <w:sz w:val="24"/>
          <w:szCs w:val="24"/>
        </w:rPr>
        <w:t xml:space="preserve"> L5, least active 5-h period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F5032">
        <w:rPr>
          <w:rFonts w:ascii="Times New Roman" w:hAnsi="Times New Roman" w:cs="Times New Roman"/>
          <w:sz w:val="24"/>
          <w:szCs w:val="24"/>
        </w:rPr>
        <w:t>PSQI, Pittsburgh Sleep Quality Index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F5032">
        <w:rPr>
          <w:rFonts w:ascii="Times New Roman" w:hAnsi="Times New Roman" w:cs="Times New Roman"/>
          <w:sz w:val="24"/>
          <w:szCs w:val="24"/>
        </w:rPr>
        <w:t>ESS, Epworth Sleepiness Scale;</w:t>
      </w:r>
      <w:r w:rsidRPr="00FB40EC">
        <w:rPr>
          <w:rFonts w:ascii="Times New Roman" w:hAnsi="Times New Roman" w:cs="Times New Roman"/>
          <w:sz w:val="24"/>
          <w:szCs w:val="24"/>
        </w:rPr>
        <w:t xml:space="preserve"> </w:t>
      </w:r>
      <w:r w:rsidRPr="00FF5032">
        <w:rPr>
          <w:rFonts w:ascii="Times New Roman" w:hAnsi="Times New Roman" w:cs="Times New Roman"/>
          <w:sz w:val="24"/>
          <w:szCs w:val="24"/>
        </w:rPr>
        <w:t>ISI, Insomnia Severity Index</w:t>
      </w:r>
      <w:r>
        <w:rPr>
          <w:rFonts w:ascii="Times New Roman" w:hAnsi="Times New Roman" w:cs="Times New Roman"/>
          <w:sz w:val="24"/>
          <w:szCs w:val="24"/>
        </w:rPr>
        <w:t xml:space="preserve">; DTI, diffusion tensor imaging; FA, Fractional Anisotropy; </w:t>
      </w:r>
      <w:r w:rsidRPr="00A131E4">
        <w:rPr>
          <w:rFonts w:ascii="Times New Roman" w:hAnsi="Times New Roman" w:cs="Times New Roman"/>
          <w:sz w:val="24"/>
          <w:szCs w:val="24"/>
        </w:rPr>
        <w:t>TST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31E4">
        <w:rPr>
          <w:rFonts w:ascii="Times New Roman" w:hAnsi="Times New Roman" w:cs="Times New Roman"/>
          <w:sz w:val="24"/>
          <w:szCs w:val="24"/>
        </w:rPr>
        <w:t xml:space="preserve"> total sleep time; </w:t>
      </w:r>
      <w:r w:rsidRPr="00FF5032">
        <w:rPr>
          <w:rFonts w:ascii="Times New Roman" w:hAnsi="Times New Roman" w:cs="Times New Roman"/>
          <w:sz w:val="24"/>
          <w:szCs w:val="24"/>
        </w:rPr>
        <w:t>SOL, sleep onset latency;</w:t>
      </w:r>
      <w:r w:rsidRPr="009A54F7">
        <w:rPr>
          <w:rFonts w:ascii="Times New Roman" w:hAnsi="Times New Roman" w:cs="Times New Roman"/>
          <w:sz w:val="24"/>
          <w:szCs w:val="24"/>
        </w:rPr>
        <w:t xml:space="preserve"> </w:t>
      </w:r>
      <w:r w:rsidRPr="00FF5032">
        <w:rPr>
          <w:rFonts w:ascii="Times New Roman" w:hAnsi="Times New Roman" w:cs="Times New Roman"/>
          <w:sz w:val="24"/>
          <w:szCs w:val="24"/>
        </w:rPr>
        <w:t>SE, sleep efficiency;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32">
        <w:rPr>
          <w:rFonts w:ascii="Times New Roman" w:hAnsi="Times New Roman" w:cs="Times New Roman"/>
          <w:sz w:val="24"/>
          <w:szCs w:val="24"/>
        </w:rPr>
        <w:t>WASO, wake time after sleep onset</w:t>
      </w:r>
    </w:p>
    <w:p w14:paraId="1BABE855" w14:textId="379F7333" w:rsidR="00D027B3" w:rsidRDefault="00D027B3" w:rsidP="005E2BDF"/>
    <w:p w14:paraId="335DF40A" w14:textId="77777777" w:rsidR="008B1D75" w:rsidRDefault="008B1D75" w:rsidP="005E2BDF">
      <w:pPr>
        <w:sectPr w:rsidR="008B1D75" w:rsidSect="005E2BDF">
          <w:pgSz w:w="16838" w:h="11906" w:orient="landscape"/>
          <w:pgMar w:top="1440" w:right="1440" w:bottom="1440" w:left="1701" w:header="851" w:footer="992" w:gutter="0"/>
          <w:cols w:space="425"/>
          <w:docGrid w:linePitch="360"/>
        </w:sectPr>
      </w:pPr>
    </w:p>
    <w:p w14:paraId="5DC15FF5" w14:textId="558718CD" w:rsidR="008B1D75" w:rsidRDefault="008B1D75" w:rsidP="00050869">
      <w:pPr>
        <w:widowControl/>
        <w:wordWrap/>
        <w:autoSpaceDE/>
        <w:autoSpaceDN/>
        <w:rPr>
          <w:rFonts w:ascii="Times" w:hAnsi="Times"/>
          <w:sz w:val="24"/>
          <w:szCs w:val="24"/>
        </w:rPr>
      </w:pPr>
      <w:r w:rsidRPr="00050869">
        <w:rPr>
          <w:rFonts w:ascii="Times" w:hAnsi="Times"/>
          <w:b/>
          <w:bCs/>
          <w:sz w:val="24"/>
          <w:szCs w:val="24"/>
        </w:rPr>
        <w:lastRenderedPageBreak/>
        <w:t>Supplementary Figure 1</w:t>
      </w:r>
      <w:r>
        <w:rPr>
          <w:rFonts w:ascii="Times" w:hAnsi="Times"/>
          <w:sz w:val="24"/>
          <w:szCs w:val="24"/>
        </w:rPr>
        <w:t>. F</w:t>
      </w:r>
      <w:r w:rsidRPr="003A0F1C">
        <w:rPr>
          <w:rFonts w:ascii="Times" w:hAnsi="Times"/>
          <w:sz w:val="24"/>
          <w:szCs w:val="24"/>
        </w:rPr>
        <w:t xml:space="preserve">lowchart of </w:t>
      </w:r>
      <w:r>
        <w:rPr>
          <w:rFonts w:ascii="Times" w:hAnsi="Times"/>
          <w:sz w:val="24"/>
          <w:szCs w:val="24"/>
        </w:rPr>
        <w:t xml:space="preserve">study participants </w:t>
      </w:r>
      <w:r w:rsidRPr="003A0F1C">
        <w:rPr>
          <w:rFonts w:ascii="Times" w:hAnsi="Times"/>
          <w:sz w:val="24"/>
          <w:szCs w:val="24"/>
        </w:rPr>
        <w:t>selection</w:t>
      </w:r>
      <w:r>
        <w:rPr>
          <w:rFonts w:ascii="Times" w:hAnsi="Times"/>
          <w:sz w:val="24"/>
          <w:szCs w:val="24"/>
        </w:rPr>
        <w:t xml:space="preserve">  </w:t>
      </w:r>
    </w:p>
    <w:p w14:paraId="2DAE0FFD" w14:textId="3ACF4E6F" w:rsidR="008B1D75" w:rsidRPr="008B1D75" w:rsidRDefault="008B1D75" w:rsidP="00050869">
      <w:pPr>
        <w:widowControl/>
        <w:wordWrap/>
        <w:autoSpaceDE/>
        <w:autoSpaceDN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EDE239" wp14:editId="600FB479">
            <wp:simplePos x="0" y="0"/>
            <wp:positionH relativeFrom="column">
              <wp:posOffset>421199</wp:posOffset>
            </wp:positionH>
            <wp:positionV relativeFrom="paragraph">
              <wp:posOffset>29293</wp:posOffset>
            </wp:positionV>
            <wp:extent cx="4690745" cy="6548755"/>
            <wp:effectExtent l="0" t="0" r="0" b="4445"/>
            <wp:wrapTight wrapText="bothSides">
              <wp:wrapPolygon edited="0">
                <wp:start x="0" y="0"/>
                <wp:lineTo x="0" y="21552"/>
                <wp:lineTo x="21492" y="21552"/>
                <wp:lineTo x="21492" y="0"/>
                <wp:lineTo x="0" y="0"/>
              </wp:wrapPolygon>
            </wp:wrapTight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654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915A5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3882AD5A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45766736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5BCC574D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6E0B7933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28C787B7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7AA15FF0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0DD07B38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1BD3570F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72105F1E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0F3511EB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64E7B8BF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35E9C67D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48BEBE92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53038BCB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68BC866D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32289AE2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28401E41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1EA80369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08C35487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1D9AF52B" w14:textId="77777777" w:rsid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7B133C72" w14:textId="5CBC40B2" w:rsidR="008B1D75" w:rsidRPr="008B1D75" w:rsidRDefault="008B1D75" w:rsidP="008B1D75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36"/>
          <w:szCs w:val="36"/>
        </w:rPr>
      </w:pPr>
      <w:r w:rsidRPr="001C2F3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This flowchart showed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process of how subjects were selected, showing inclusion and exclusion criteria</w:t>
      </w:r>
      <w:r w:rsidRPr="001C2F3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Initially, 97 participants were recruited among them 63 participants were shift workers and 34 participants were non-shift workers. SCID-IV, Actigraphy and self-reported questionnaire were conducted for screening for eligibility. Diffusion Tenson Imaging were performed after the screening. During this process 2 shift workers and 3 non-shift workers were excluded due to poor image quality. As a result, 61 shift workers and 31 non-shift workers were used. </w:t>
      </w:r>
      <w:r w:rsidRPr="001C2F3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Abbreviation: SCID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-IV,</w:t>
      </w:r>
      <w:r w:rsidRPr="001C2F3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(</w:t>
      </w:r>
      <w:r w:rsidRPr="001C2F3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structured clinical interview for DSM-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IV</w:t>
      </w:r>
      <w:r w:rsidRPr="001C2F3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) </w:t>
      </w:r>
    </w:p>
    <w:sectPr w:rsidR="008B1D75" w:rsidRPr="008B1D75" w:rsidSect="00397BEF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B6F2" w14:textId="77777777" w:rsidR="00CA6B98" w:rsidRDefault="00CA6B98" w:rsidP="00B57F65">
      <w:pPr>
        <w:spacing w:after="0" w:line="240" w:lineRule="auto"/>
      </w:pPr>
      <w:r>
        <w:separator/>
      </w:r>
    </w:p>
  </w:endnote>
  <w:endnote w:type="continuationSeparator" w:id="0">
    <w:p w14:paraId="5D20F3D3" w14:textId="77777777" w:rsidR="00CA6B98" w:rsidRDefault="00CA6B98" w:rsidP="00B5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6510" w14:textId="77777777" w:rsidR="00CA6B98" w:rsidRDefault="00CA6B98" w:rsidP="00B57F65">
      <w:pPr>
        <w:spacing w:after="0" w:line="240" w:lineRule="auto"/>
      </w:pPr>
      <w:r>
        <w:separator/>
      </w:r>
    </w:p>
  </w:footnote>
  <w:footnote w:type="continuationSeparator" w:id="0">
    <w:p w14:paraId="616AC73C" w14:textId="77777777" w:rsidR="00CA6B98" w:rsidRDefault="00CA6B98" w:rsidP="00B5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BE"/>
    <w:rsid w:val="00096715"/>
    <w:rsid w:val="000C1146"/>
    <w:rsid w:val="000C141B"/>
    <w:rsid w:val="001455D2"/>
    <w:rsid w:val="001506F7"/>
    <w:rsid w:val="001F1E32"/>
    <w:rsid w:val="002A25BE"/>
    <w:rsid w:val="002C2C81"/>
    <w:rsid w:val="002D06EF"/>
    <w:rsid w:val="00302CE3"/>
    <w:rsid w:val="00333A32"/>
    <w:rsid w:val="003404D7"/>
    <w:rsid w:val="00390B2B"/>
    <w:rsid w:val="00394B3D"/>
    <w:rsid w:val="003A0F1C"/>
    <w:rsid w:val="004030AC"/>
    <w:rsid w:val="00456EBF"/>
    <w:rsid w:val="004A2D80"/>
    <w:rsid w:val="004B414F"/>
    <w:rsid w:val="005E2BDF"/>
    <w:rsid w:val="005E43B1"/>
    <w:rsid w:val="00672D13"/>
    <w:rsid w:val="00684E3D"/>
    <w:rsid w:val="006A517B"/>
    <w:rsid w:val="006C3283"/>
    <w:rsid w:val="00784BC9"/>
    <w:rsid w:val="00792D88"/>
    <w:rsid w:val="007F19CB"/>
    <w:rsid w:val="00892898"/>
    <w:rsid w:val="008B1D75"/>
    <w:rsid w:val="008E7F8E"/>
    <w:rsid w:val="00910F3C"/>
    <w:rsid w:val="00917C80"/>
    <w:rsid w:val="009A54F7"/>
    <w:rsid w:val="009D099C"/>
    <w:rsid w:val="009D23CF"/>
    <w:rsid w:val="00A524B7"/>
    <w:rsid w:val="00A54F42"/>
    <w:rsid w:val="00A67AE8"/>
    <w:rsid w:val="00A67B8B"/>
    <w:rsid w:val="00B57F65"/>
    <w:rsid w:val="00B9700B"/>
    <w:rsid w:val="00BA33A3"/>
    <w:rsid w:val="00C6401D"/>
    <w:rsid w:val="00CA6B98"/>
    <w:rsid w:val="00CC360B"/>
    <w:rsid w:val="00D027B3"/>
    <w:rsid w:val="00D547F2"/>
    <w:rsid w:val="00E347CB"/>
    <w:rsid w:val="00E36FDF"/>
    <w:rsid w:val="00E556A1"/>
    <w:rsid w:val="00F21694"/>
    <w:rsid w:val="00F72245"/>
    <w:rsid w:val="00F80269"/>
    <w:rsid w:val="00FB40EC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6F88"/>
  <w15:chartTrackingRefBased/>
  <w15:docId w15:val="{D086FEB2-C15C-45D6-A843-BEA4D6D5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F"/>
    <w:pPr>
      <w:widowControl w:val="0"/>
      <w:shd w:val="clear" w:color="auto" w:fill="FFFFFF"/>
      <w:wordWrap w:val="0"/>
      <w:autoSpaceDE w:val="0"/>
      <w:autoSpaceDN w:val="0"/>
      <w:spacing w:after="200" w:line="276" w:lineRule="auto"/>
      <w:jc w:val="both"/>
    </w:pPr>
    <w:rPr>
      <w:kern w:val="2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C1146"/>
    <w:pPr>
      <w:shd w:val="clear" w:color="auto" w:fill="auto"/>
      <w:spacing w:line="240" w:lineRule="auto"/>
      <w:jc w:val="left"/>
    </w:pPr>
    <w:rPr>
      <w:i/>
      <w:iCs/>
      <w:color w:val="44546A" w:themeColor="text2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4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7CB"/>
    <w:pPr>
      <w:shd w:val="clear" w:color="auto" w:fill="auto"/>
      <w:spacing w:after="160" w:line="240" w:lineRule="auto"/>
      <w:jc w:val="left"/>
    </w:pPr>
    <w:rPr>
      <w:kern w:val="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7CB"/>
    <w:rPr>
      <w:b/>
      <w:bCs/>
      <w:sz w:val="20"/>
      <w:szCs w:val="20"/>
    </w:rPr>
  </w:style>
  <w:style w:type="paragraph" w:styleId="NoSpacing">
    <w:name w:val="No Spacing"/>
    <w:uiPriority w:val="1"/>
    <w:qFormat/>
    <w:rsid w:val="00A54F42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F65"/>
  </w:style>
  <w:style w:type="paragraph" w:styleId="Footer">
    <w:name w:val="footer"/>
    <w:basedOn w:val="Normal"/>
    <w:link w:val="FooterChar"/>
    <w:uiPriority w:val="99"/>
    <w:unhideWhenUsed/>
    <w:rsid w:val="00B5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A446-218B-4A1F-AD04-B395F909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Mia</dc:creator>
  <cp:keywords/>
  <dc:description/>
  <cp:lastModifiedBy>Olliver, Tania</cp:lastModifiedBy>
  <cp:revision>2</cp:revision>
  <dcterms:created xsi:type="dcterms:W3CDTF">2022-08-04T01:44:00Z</dcterms:created>
  <dcterms:modified xsi:type="dcterms:W3CDTF">2022-08-04T01:44:00Z</dcterms:modified>
</cp:coreProperties>
</file>