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0BC82" w14:textId="770F7DA8" w:rsidR="00C32246" w:rsidRDefault="00C32246" w:rsidP="00C32246">
      <w:pPr>
        <w:widowControl w:val="0"/>
        <w:jc w:val="center"/>
        <w:rPr>
          <w:rFonts w:cs="Arial"/>
          <w:b/>
          <w:lang w:bidi="en-US"/>
        </w:rPr>
      </w:pPr>
      <w:r w:rsidRPr="00572A06">
        <w:rPr>
          <w:rFonts w:cs="Arial"/>
          <w:b/>
          <w:lang w:bidi="en-US"/>
        </w:rPr>
        <w:t>Supplementary Materials</w:t>
      </w:r>
    </w:p>
    <w:p w14:paraId="28549663" w14:textId="7F005078" w:rsidR="00C32246" w:rsidRDefault="00C32246" w:rsidP="00C32246">
      <w:pPr>
        <w:widowControl w:val="0"/>
        <w:jc w:val="center"/>
        <w:rPr>
          <w:rFonts w:cs="Arial"/>
          <w:b/>
          <w:lang w:bidi="en-US"/>
        </w:rPr>
      </w:pPr>
      <w:r>
        <w:rPr>
          <w:noProof/>
        </w:rPr>
        <w:drawing>
          <wp:inline distT="0" distB="0" distL="0" distR="0" wp14:anchorId="1D6A0428" wp14:editId="4CB96263">
            <wp:extent cx="3027680" cy="1998345"/>
            <wp:effectExtent l="0" t="0" r="1270" b="19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7680" cy="1998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6CA689" w14:textId="77777777" w:rsidR="00C32246" w:rsidRDefault="00C32246" w:rsidP="00C32246">
      <w:pPr>
        <w:widowControl w:val="0"/>
        <w:rPr>
          <w:rFonts w:cs="Arial"/>
          <w:lang w:bidi="en-US"/>
        </w:rPr>
      </w:pPr>
      <w:r w:rsidRPr="00572A06">
        <w:rPr>
          <w:rFonts w:cs="Arial"/>
          <w:b/>
          <w:lang w:bidi="en-US"/>
        </w:rPr>
        <w:t>Supplementary</w:t>
      </w:r>
      <w:r w:rsidRPr="00572A06">
        <w:rPr>
          <w:rFonts w:cs="Arial"/>
          <w:b/>
          <w:bCs/>
          <w:lang w:bidi="en-US"/>
        </w:rPr>
        <w:t xml:space="preserve"> </w:t>
      </w:r>
      <w:r w:rsidRPr="00DC7E6C">
        <w:rPr>
          <w:rFonts w:cs="Arial"/>
          <w:b/>
          <w:bCs/>
          <w:lang w:bidi="en-US"/>
        </w:rPr>
        <w:t>Figure S1</w:t>
      </w:r>
      <w:r>
        <w:rPr>
          <w:rFonts w:cs="Arial"/>
          <w:lang w:bidi="en-US"/>
        </w:rPr>
        <w:t>.</w:t>
      </w:r>
      <w:r w:rsidRPr="00572A06">
        <w:rPr>
          <w:rFonts w:cs="Arial"/>
          <w:lang w:bidi="en-US"/>
        </w:rPr>
        <w:t xml:space="preserve"> Dispersion stability of PDA NPs, PPIG NPs, and cRGD-PPIG NPs in PBS at different time points</w:t>
      </w:r>
    </w:p>
    <w:p w14:paraId="023DB169" w14:textId="79E5D246" w:rsidR="00C32246" w:rsidRDefault="00C32246" w:rsidP="00C32246">
      <w:pPr>
        <w:widowControl w:val="0"/>
        <w:jc w:val="center"/>
        <w:rPr>
          <w:rFonts w:cs="Arial"/>
          <w:lang w:bidi="en-US"/>
        </w:rPr>
      </w:pPr>
      <w:r>
        <w:rPr>
          <w:noProof/>
        </w:rPr>
        <w:drawing>
          <wp:inline distT="0" distB="0" distL="0" distR="0" wp14:anchorId="197F30BD" wp14:editId="105DCF49">
            <wp:extent cx="3018155" cy="2075180"/>
            <wp:effectExtent l="0" t="0" r="0" b="127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8155" cy="207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CBC23E" w14:textId="77777777" w:rsidR="00C32246" w:rsidRDefault="00C32246" w:rsidP="00C32246">
      <w:pPr>
        <w:widowControl w:val="0"/>
        <w:rPr>
          <w:rFonts w:cs="Arial"/>
          <w:lang w:bidi="en-US"/>
        </w:rPr>
      </w:pPr>
      <w:bookmarkStart w:id="0" w:name="_Hlk102597019"/>
      <w:r w:rsidRPr="00572A06">
        <w:rPr>
          <w:rFonts w:cs="Arial"/>
          <w:b/>
          <w:lang w:bidi="en-US"/>
        </w:rPr>
        <w:t>Supplementary</w:t>
      </w:r>
      <w:r w:rsidRPr="00572A06">
        <w:rPr>
          <w:rFonts w:cs="Arial"/>
          <w:b/>
          <w:bCs/>
          <w:lang w:bidi="en-US"/>
        </w:rPr>
        <w:t xml:space="preserve"> </w:t>
      </w:r>
      <w:r w:rsidRPr="00DC7E6C">
        <w:rPr>
          <w:rFonts w:cs="Arial"/>
          <w:b/>
          <w:bCs/>
          <w:lang w:bidi="en-US"/>
        </w:rPr>
        <w:t>Figure S2</w:t>
      </w:r>
      <w:r>
        <w:rPr>
          <w:rFonts w:cs="Arial"/>
          <w:lang w:bidi="en-US"/>
        </w:rPr>
        <w:t>.</w:t>
      </w:r>
      <w:r w:rsidRPr="00572A06">
        <w:rPr>
          <w:rFonts w:cs="Arial"/>
          <w:lang w:bidi="en-US"/>
        </w:rPr>
        <w:t xml:space="preserve"> Expression of integrin alpha V beta 3 (α</w:t>
      </w:r>
      <w:r w:rsidRPr="00572A06">
        <w:rPr>
          <w:rFonts w:cs="Arial"/>
          <w:vertAlign w:val="subscript"/>
          <w:lang w:bidi="en-US"/>
        </w:rPr>
        <w:t>v</w:t>
      </w:r>
      <w:r w:rsidRPr="00572A06">
        <w:rPr>
          <w:rFonts w:cs="Arial"/>
          <w:lang w:bidi="en-US"/>
        </w:rPr>
        <w:t>β3) in GES-1 and MKN45 cells using confocal laser scanning microscopy</w:t>
      </w:r>
      <w:bookmarkEnd w:id="0"/>
      <w:r>
        <w:rPr>
          <w:rFonts w:cs="Arial"/>
          <w:lang w:bidi="en-US"/>
        </w:rPr>
        <w:tab/>
      </w:r>
    </w:p>
    <w:p w14:paraId="0AE787BD" w14:textId="01344CD7" w:rsidR="00C32246" w:rsidRDefault="00C32246" w:rsidP="00C32246">
      <w:pPr>
        <w:widowControl w:val="0"/>
        <w:jc w:val="center"/>
        <w:rPr>
          <w:rFonts w:cs="Arial"/>
          <w:lang w:bidi="en-US"/>
        </w:rPr>
      </w:pPr>
      <w:r>
        <w:rPr>
          <w:noProof/>
        </w:rPr>
        <w:lastRenderedPageBreak/>
        <w:drawing>
          <wp:inline distT="0" distB="0" distL="0" distR="0" wp14:anchorId="3B694D39" wp14:editId="181BE531">
            <wp:extent cx="3024505" cy="3398520"/>
            <wp:effectExtent l="0" t="0" r="444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4505" cy="339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4F2584" w14:textId="77777777" w:rsidR="00C32246" w:rsidRDefault="00C32246" w:rsidP="00C32246">
      <w:pPr>
        <w:widowControl w:val="0"/>
        <w:rPr>
          <w:rFonts w:cs="Arial"/>
          <w:lang w:bidi="en-US"/>
        </w:rPr>
      </w:pPr>
      <w:bookmarkStart w:id="1" w:name="_Hlk102597047"/>
      <w:r w:rsidRPr="00572A06">
        <w:rPr>
          <w:rFonts w:cs="Arial"/>
          <w:b/>
          <w:lang w:bidi="en-US"/>
        </w:rPr>
        <w:t>Supplementary</w:t>
      </w:r>
      <w:r w:rsidRPr="00572A06">
        <w:rPr>
          <w:rFonts w:cs="Arial"/>
          <w:b/>
          <w:bCs/>
          <w:lang w:bidi="en-US"/>
        </w:rPr>
        <w:t xml:space="preserve"> </w:t>
      </w:r>
      <w:r w:rsidRPr="00DC7E6C">
        <w:rPr>
          <w:rFonts w:cs="Arial"/>
          <w:b/>
          <w:bCs/>
          <w:lang w:bidi="en-US"/>
        </w:rPr>
        <w:t>Figure S3</w:t>
      </w:r>
      <w:r>
        <w:rPr>
          <w:rFonts w:cs="Arial"/>
          <w:lang w:bidi="en-US"/>
        </w:rPr>
        <w:t>.</w:t>
      </w:r>
      <w:r w:rsidRPr="00572A06">
        <w:rPr>
          <w:rFonts w:cs="Arial"/>
          <w:lang w:bidi="en-US"/>
        </w:rPr>
        <w:t xml:space="preserve"> Average relative T1-weighted MRI signal intensities of the lymph nodes (LNs) over 4 h after injection of cRGD-PPIG or PPIG NPs (general linear model repeated measures) (n = 3)</w:t>
      </w:r>
    </w:p>
    <w:bookmarkEnd w:id="1"/>
    <w:p w14:paraId="4A5F1A36" w14:textId="6BD48624" w:rsidR="00C32246" w:rsidRDefault="00C32246" w:rsidP="00C32246">
      <w:pPr>
        <w:widowControl w:val="0"/>
        <w:jc w:val="center"/>
        <w:rPr>
          <w:rFonts w:cs="Arial"/>
          <w:lang w:bidi="en-US"/>
        </w:rPr>
      </w:pPr>
      <w:r>
        <w:rPr>
          <w:noProof/>
        </w:rPr>
        <w:drawing>
          <wp:inline distT="0" distB="0" distL="0" distR="0" wp14:anchorId="62BF9A0B" wp14:editId="2E46C3DB">
            <wp:extent cx="3021330" cy="2874010"/>
            <wp:effectExtent l="0" t="0" r="7620" b="254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1330" cy="287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7D5AC4" w14:textId="77777777" w:rsidR="00C32246" w:rsidRDefault="00C32246" w:rsidP="00C32246">
      <w:pPr>
        <w:widowControl w:val="0"/>
        <w:rPr>
          <w:rFonts w:cs="Arial"/>
          <w:lang w:bidi="en-US"/>
        </w:rPr>
      </w:pPr>
      <w:bookmarkStart w:id="2" w:name="_Hlk102597064"/>
      <w:r w:rsidRPr="00572A06">
        <w:rPr>
          <w:rFonts w:cs="Arial"/>
          <w:b/>
          <w:lang w:bidi="en-US"/>
        </w:rPr>
        <w:t>Supplementary</w:t>
      </w:r>
      <w:r w:rsidRPr="00572A06">
        <w:rPr>
          <w:rFonts w:cs="Arial"/>
          <w:b/>
          <w:bCs/>
          <w:lang w:bidi="en-US"/>
        </w:rPr>
        <w:t xml:space="preserve"> </w:t>
      </w:r>
      <w:r w:rsidRPr="00DC7E6C">
        <w:rPr>
          <w:rFonts w:cs="Arial"/>
          <w:b/>
          <w:bCs/>
          <w:lang w:bidi="en-US"/>
        </w:rPr>
        <w:t>Figure S4</w:t>
      </w:r>
      <w:r>
        <w:rPr>
          <w:rFonts w:cs="Arial"/>
          <w:lang w:bidi="en-US"/>
        </w:rPr>
        <w:t>.</w:t>
      </w:r>
      <w:r w:rsidRPr="00572A06">
        <w:rPr>
          <w:rFonts w:cs="Arial"/>
          <w:lang w:bidi="en-US"/>
        </w:rPr>
        <w:t xml:space="preserve"> Average relative fluorescence intensity of lymph nodes (LNs) over 4 h after injection of cRGD-PPIG NPs or PPIG NPs (general linear model repeated measures) (n = 3)</w:t>
      </w:r>
    </w:p>
    <w:bookmarkEnd w:id="2"/>
    <w:p w14:paraId="0D0FE02E" w14:textId="77B194D8" w:rsidR="00C32246" w:rsidRDefault="00C32246" w:rsidP="00C32246">
      <w:pPr>
        <w:widowControl w:val="0"/>
        <w:jc w:val="center"/>
        <w:rPr>
          <w:rFonts w:cs="Arial"/>
          <w:lang w:bidi="en-US"/>
        </w:rPr>
      </w:pPr>
      <w:r>
        <w:rPr>
          <w:noProof/>
        </w:rPr>
        <w:lastRenderedPageBreak/>
        <w:drawing>
          <wp:inline distT="0" distB="0" distL="0" distR="0" wp14:anchorId="70CD9704" wp14:editId="2D999338">
            <wp:extent cx="4645660" cy="5186045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5660" cy="5186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18096C" w14:textId="77777777" w:rsidR="00C32246" w:rsidRDefault="00C32246" w:rsidP="00C32246">
      <w:pPr>
        <w:widowControl w:val="0"/>
        <w:rPr>
          <w:rFonts w:cs="Arial"/>
          <w:lang w:bidi="en-US"/>
        </w:rPr>
      </w:pPr>
      <w:bookmarkStart w:id="3" w:name="_Hlk102597082"/>
      <w:r w:rsidRPr="00572A06">
        <w:rPr>
          <w:rFonts w:cs="Arial"/>
          <w:b/>
          <w:lang w:bidi="en-US"/>
        </w:rPr>
        <w:t>Supplementary</w:t>
      </w:r>
      <w:r w:rsidRPr="00572A06">
        <w:rPr>
          <w:rFonts w:cs="Arial"/>
          <w:b/>
          <w:bCs/>
          <w:lang w:bidi="en-US"/>
        </w:rPr>
        <w:t xml:space="preserve"> </w:t>
      </w:r>
      <w:r w:rsidRPr="00DC7E6C">
        <w:rPr>
          <w:rFonts w:cs="Arial"/>
          <w:b/>
          <w:bCs/>
          <w:lang w:bidi="en-US"/>
        </w:rPr>
        <w:t>Figure S5</w:t>
      </w:r>
      <w:r>
        <w:rPr>
          <w:rFonts w:cs="Arial"/>
          <w:lang w:bidi="en-US"/>
        </w:rPr>
        <w:t>.</w:t>
      </w:r>
      <w:r w:rsidRPr="00572A06">
        <w:rPr>
          <w:rFonts w:cs="Arial"/>
          <w:lang w:bidi="en-US"/>
        </w:rPr>
        <w:t xml:space="preserve"> </w:t>
      </w:r>
      <w:r w:rsidRPr="00572A06">
        <w:rPr>
          <w:rFonts w:cs="Arial"/>
          <w:i/>
          <w:lang w:bidi="en-US"/>
        </w:rPr>
        <w:t>In vivo</w:t>
      </w:r>
      <w:r w:rsidRPr="00572A06">
        <w:rPr>
          <w:rFonts w:cs="Arial"/>
          <w:lang w:bidi="en-US"/>
        </w:rPr>
        <w:t xml:space="preserve"> biodistribution and biosafety of cRGD-PPIG NPs in mice</w:t>
      </w:r>
    </w:p>
    <w:bookmarkEnd w:id="3"/>
    <w:p w14:paraId="762E3D5D" w14:textId="4AFCD593" w:rsidR="00C32246" w:rsidRDefault="00C32246" w:rsidP="00C32246">
      <w:pPr>
        <w:widowControl w:val="0"/>
        <w:jc w:val="center"/>
        <w:rPr>
          <w:rFonts w:cs="Arial"/>
          <w:lang w:bidi="en-US"/>
        </w:rPr>
      </w:pPr>
      <w:r>
        <w:rPr>
          <w:noProof/>
        </w:rPr>
        <w:lastRenderedPageBreak/>
        <w:drawing>
          <wp:inline distT="0" distB="0" distL="0" distR="0" wp14:anchorId="17941639" wp14:editId="77D1E9A2">
            <wp:extent cx="3024505" cy="2583180"/>
            <wp:effectExtent l="0" t="0" r="4445" b="762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4505" cy="2583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F4FD69" w14:textId="77777777" w:rsidR="00C32246" w:rsidRPr="0010343F" w:rsidRDefault="00C32246" w:rsidP="00C32246">
      <w:pPr>
        <w:widowControl w:val="0"/>
        <w:rPr>
          <w:rFonts w:cs="Arial"/>
          <w:lang w:bidi="en-US"/>
        </w:rPr>
      </w:pPr>
      <w:bookmarkStart w:id="4" w:name="_Hlk102597097"/>
      <w:r w:rsidRPr="00572A06">
        <w:rPr>
          <w:rFonts w:cs="Arial"/>
          <w:b/>
          <w:lang w:bidi="en-US"/>
        </w:rPr>
        <w:t>Supplementary</w:t>
      </w:r>
      <w:r w:rsidRPr="00572A06">
        <w:rPr>
          <w:rFonts w:cs="Arial"/>
          <w:b/>
          <w:bCs/>
          <w:lang w:bidi="en-US"/>
        </w:rPr>
        <w:t xml:space="preserve"> </w:t>
      </w:r>
      <w:r w:rsidRPr="00DC7E6C">
        <w:rPr>
          <w:rFonts w:cs="Arial"/>
          <w:b/>
          <w:bCs/>
          <w:lang w:bidi="en-US"/>
        </w:rPr>
        <w:t>Figure S6</w:t>
      </w:r>
      <w:r>
        <w:rPr>
          <w:rFonts w:cs="Arial"/>
          <w:lang w:bidi="en-US"/>
        </w:rPr>
        <w:t>.</w:t>
      </w:r>
      <w:r w:rsidRPr="00572A06">
        <w:rPr>
          <w:rFonts w:cs="Arial"/>
          <w:lang w:bidi="en-US"/>
        </w:rPr>
        <w:t xml:space="preserve"> Blood biochemistry indices, including alanine transaminase (ALT), aspartate transaminase (AST), blood urea nitrogen (BUN), and creatinine (CREA), after footpad injection of PPIG or cRGD-PPIG NPs in rats</w:t>
      </w:r>
      <w:bookmarkEnd w:id="4"/>
    </w:p>
    <w:p w14:paraId="633E512D" w14:textId="77777777" w:rsidR="00BC38B8" w:rsidRDefault="00BC38B8"/>
    <w:sectPr w:rsidR="00BC38B8" w:rsidSect="006858B7">
      <w:footerReference w:type="even" r:id="rId10"/>
      <w:footerReference w:type="default" r:id="rId11"/>
      <w:pgSz w:w="12240" w:h="15840"/>
      <w:pgMar w:top="1701" w:right="1701" w:bottom="1701" w:left="1701" w:header="720" w:footer="720" w:gutter="0"/>
      <w:lnNumType w:countBy="1" w:restart="continuous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AA33F" w14:textId="77777777" w:rsidR="006C5368" w:rsidRDefault="00C32246" w:rsidP="00FF266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0459CA0" w14:textId="77777777" w:rsidR="006C5368" w:rsidRDefault="00C32246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238AA" w14:textId="77777777" w:rsidR="006C5368" w:rsidRDefault="00C32246" w:rsidP="00FF266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5</w:t>
    </w:r>
    <w:r>
      <w:rPr>
        <w:rStyle w:val="a5"/>
      </w:rPr>
      <w:fldChar w:fldCharType="end"/>
    </w:r>
  </w:p>
  <w:p w14:paraId="59348D06" w14:textId="77777777" w:rsidR="006C5368" w:rsidRDefault="00C32246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8B8"/>
    <w:rsid w:val="00BC38B8"/>
    <w:rsid w:val="00C32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B8119"/>
  <w15:chartTrackingRefBased/>
  <w15:docId w15:val="{73AED5A0-F6B1-414D-A495-099A8C883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2246"/>
    <w:pPr>
      <w:spacing w:line="480" w:lineRule="auto"/>
    </w:pPr>
    <w:rPr>
      <w:rFonts w:ascii="Arial" w:hAnsi="Arial" w:cs="Times New Roman"/>
      <w:kern w:val="0"/>
      <w:sz w:val="20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32246"/>
    <w:pPr>
      <w:tabs>
        <w:tab w:val="center" w:pos="4320"/>
        <w:tab w:val="right" w:pos="8640"/>
      </w:tabs>
    </w:pPr>
  </w:style>
  <w:style w:type="character" w:customStyle="1" w:styleId="a4">
    <w:name w:val="页脚 字符"/>
    <w:basedOn w:val="a0"/>
    <w:link w:val="a3"/>
    <w:rsid w:val="00C32246"/>
    <w:rPr>
      <w:rFonts w:ascii="Arial" w:hAnsi="Arial" w:cs="Times New Roman"/>
      <w:kern w:val="0"/>
      <w:sz w:val="20"/>
      <w:szCs w:val="24"/>
      <w:lang w:eastAsia="en-US"/>
    </w:rPr>
  </w:style>
  <w:style w:type="character" w:styleId="a5">
    <w:name w:val="page number"/>
    <w:basedOn w:val="a0"/>
    <w:rsid w:val="00C32246"/>
  </w:style>
  <w:style w:type="character" w:styleId="a6">
    <w:name w:val="line number"/>
    <w:basedOn w:val="a0"/>
    <w:uiPriority w:val="99"/>
    <w:semiHidden/>
    <w:unhideWhenUsed/>
    <w:rsid w:val="00C322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tif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tiff"/><Relationship Id="rId11" Type="http://schemas.openxmlformats.org/officeDocument/2006/relationships/footer" Target="footer2.xml"/><Relationship Id="rId5" Type="http://schemas.openxmlformats.org/officeDocument/2006/relationships/image" Target="media/image2.tiff"/><Relationship Id="rId10" Type="http://schemas.openxmlformats.org/officeDocument/2006/relationships/footer" Target="footer1.xml"/><Relationship Id="rId4" Type="http://schemas.openxmlformats.org/officeDocument/2006/relationships/image" Target="media/image1.jpeg"/><Relationship Id="rId9" Type="http://schemas.openxmlformats.org/officeDocument/2006/relationships/image" Target="media/image6.tif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延锐 梁</dc:creator>
  <cp:keywords/>
  <dc:description/>
  <cp:lastModifiedBy>延锐 梁</cp:lastModifiedBy>
  <cp:revision>2</cp:revision>
  <dcterms:created xsi:type="dcterms:W3CDTF">2022-06-27T04:14:00Z</dcterms:created>
  <dcterms:modified xsi:type="dcterms:W3CDTF">2022-06-27T04:16:00Z</dcterms:modified>
</cp:coreProperties>
</file>