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00" w:rsidRPr="00EC6FA2" w:rsidRDefault="00A05400" w:rsidP="00A05400">
      <w:pPr>
        <w:jc w:val="center"/>
        <w:rPr>
          <w:rFonts w:ascii="Arial" w:hAnsi="Arial" w:cs="Arial"/>
          <w:bCs/>
          <w:sz w:val="24"/>
          <w:szCs w:val="24"/>
        </w:rPr>
      </w:pPr>
      <w:r w:rsidRPr="00EC6FA2">
        <w:rPr>
          <w:rFonts w:ascii="Arial" w:hAnsi="Arial" w:cs="Arial"/>
          <w:bCs/>
          <w:sz w:val="24"/>
          <w:szCs w:val="24"/>
        </w:rPr>
        <w:t>SUPPLEMENTAL TEXT AND TABLES</w:t>
      </w:r>
    </w:p>
    <w:p w:rsidR="00A05400" w:rsidRPr="00EC6FA2" w:rsidRDefault="00A05400" w:rsidP="00A05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5400" w:rsidRPr="00EC6FA2" w:rsidRDefault="00A05400" w:rsidP="00A05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5400" w:rsidRPr="00EC6FA2" w:rsidRDefault="00A05400" w:rsidP="00A05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5400" w:rsidRPr="00EC6FA2" w:rsidRDefault="00107286" w:rsidP="00A054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6FA2">
        <w:rPr>
          <w:rFonts w:ascii="Arial" w:hAnsi="Arial" w:cs="Arial"/>
          <w:sz w:val="20"/>
          <w:szCs w:val="20"/>
        </w:rPr>
        <w:t>Supplemental</w:t>
      </w:r>
      <w:r w:rsidR="003655EA" w:rsidRPr="00EC6FA2">
        <w:rPr>
          <w:rFonts w:ascii="Arial" w:hAnsi="Arial" w:cs="Arial"/>
          <w:sz w:val="20"/>
          <w:szCs w:val="20"/>
        </w:rPr>
        <w:t xml:space="preserve"> </w:t>
      </w:r>
      <w:r w:rsidR="00A05400" w:rsidRPr="00EC6FA2">
        <w:rPr>
          <w:rFonts w:ascii="Arial" w:hAnsi="Arial" w:cs="Arial"/>
          <w:sz w:val="20"/>
          <w:szCs w:val="20"/>
        </w:rPr>
        <w:t xml:space="preserve">Table 1. </w:t>
      </w:r>
      <w:r w:rsidR="00CE7AE1" w:rsidRPr="00EC6FA2">
        <w:rPr>
          <w:rFonts w:ascii="Arial" w:hAnsi="Arial" w:cs="Arial"/>
          <w:sz w:val="20"/>
          <w:szCs w:val="20"/>
        </w:rPr>
        <w:br/>
      </w:r>
      <w:r w:rsidR="00A05400" w:rsidRPr="00EC6FA2">
        <w:rPr>
          <w:rFonts w:ascii="Arial" w:hAnsi="Arial" w:cs="Arial"/>
          <w:sz w:val="20"/>
          <w:szCs w:val="20"/>
        </w:rPr>
        <w:t>Adjusted probability of each treatment following screening among patients who self-reported chronic pain on a screener without an existing pain diagnosis (N = 4,328)</w:t>
      </w:r>
    </w:p>
    <w:p w:rsidR="00A05400" w:rsidRPr="00EC6FA2" w:rsidRDefault="00A05400" w:rsidP="00A05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5400" w:rsidRPr="00EC6FA2" w:rsidRDefault="00107286" w:rsidP="00A054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6FA2">
        <w:rPr>
          <w:rFonts w:ascii="Arial" w:hAnsi="Arial" w:cs="Arial"/>
          <w:sz w:val="20"/>
          <w:szCs w:val="20"/>
        </w:rPr>
        <w:t xml:space="preserve">Supplemental </w:t>
      </w:r>
      <w:r w:rsidR="00A05400" w:rsidRPr="00EC6FA2">
        <w:rPr>
          <w:rFonts w:ascii="Arial" w:hAnsi="Arial" w:cs="Arial"/>
          <w:sz w:val="20"/>
          <w:szCs w:val="20"/>
        </w:rPr>
        <w:t xml:space="preserve">Methods. </w:t>
      </w:r>
      <w:r w:rsidR="00CE7AE1" w:rsidRPr="00EC6FA2">
        <w:rPr>
          <w:rFonts w:ascii="Arial" w:hAnsi="Arial" w:cs="Arial"/>
          <w:sz w:val="20"/>
          <w:szCs w:val="20"/>
        </w:rPr>
        <w:br/>
      </w:r>
      <w:r w:rsidR="00A05400" w:rsidRPr="00EC6FA2">
        <w:rPr>
          <w:rFonts w:ascii="Arial" w:hAnsi="Arial" w:cs="Arial"/>
          <w:sz w:val="20"/>
          <w:szCs w:val="20"/>
        </w:rPr>
        <w:t>Post-hoc exploratory analyses of chronic pain and treatment among Latinx patients.</w:t>
      </w:r>
    </w:p>
    <w:p w:rsidR="00A05400" w:rsidRPr="00EC6FA2" w:rsidRDefault="00A05400" w:rsidP="00A05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5400" w:rsidRPr="00CA41B8" w:rsidRDefault="00107286" w:rsidP="00A05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FA2">
        <w:rPr>
          <w:rFonts w:ascii="Arial" w:hAnsi="Arial" w:cs="Arial"/>
          <w:sz w:val="20"/>
          <w:szCs w:val="20"/>
        </w:rPr>
        <w:t xml:space="preserve">Supplemental </w:t>
      </w:r>
      <w:r w:rsidR="00A05400" w:rsidRPr="00EC6FA2">
        <w:rPr>
          <w:rFonts w:ascii="Arial" w:hAnsi="Arial" w:cs="Arial"/>
          <w:sz w:val="20"/>
          <w:szCs w:val="20"/>
        </w:rPr>
        <w:t xml:space="preserve">Table 2. </w:t>
      </w:r>
      <w:r w:rsidR="00CE7AE1" w:rsidRPr="00EC6FA2">
        <w:rPr>
          <w:rFonts w:ascii="Arial" w:hAnsi="Arial" w:cs="Arial"/>
          <w:sz w:val="20"/>
          <w:szCs w:val="20"/>
        </w:rPr>
        <w:br/>
      </w:r>
      <w:r w:rsidR="00A05400" w:rsidRPr="00EC6FA2">
        <w:rPr>
          <w:rFonts w:ascii="Arial" w:hAnsi="Arial" w:cs="Arial"/>
          <w:sz w:val="20"/>
          <w:szCs w:val="20"/>
        </w:rPr>
        <w:t>Demographic characteristics of patients with self-reported chronic pain at chronic pain screening, by presence/timing of documented pain diagnosis (N = 10,091)</w:t>
      </w:r>
      <w:r w:rsidR="00A05400">
        <w:rPr>
          <w:rFonts w:ascii="Times New Roman" w:hAnsi="Times New Roman" w:cs="Times New Roman"/>
          <w:sz w:val="20"/>
          <w:szCs w:val="20"/>
        </w:rPr>
        <w:br/>
      </w:r>
    </w:p>
    <w:p w:rsidR="00A05400" w:rsidRDefault="00A05400" w:rsidP="00A054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5400" w:rsidRDefault="00A05400" w:rsidP="00A054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5400" w:rsidRDefault="00A05400" w:rsidP="00A054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5400" w:rsidRDefault="00A05400" w:rsidP="00A054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05400" w:rsidRDefault="00A05400" w:rsidP="00A05400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05400" w:rsidSect="00A05400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5400" w:rsidRPr="00EC6FA2" w:rsidRDefault="00107286" w:rsidP="00A054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6FA2">
        <w:rPr>
          <w:rFonts w:ascii="Arial" w:hAnsi="Arial" w:cs="Arial"/>
          <w:sz w:val="24"/>
          <w:szCs w:val="24"/>
        </w:rPr>
        <w:lastRenderedPageBreak/>
        <w:t xml:space="preserve">Supplemental </w:t>
      </w:r>
      <w:r w:rsidR="00A05400" w:rsidRPr="00EC6FA2">
        <w:rPr>
          <w:rFonts w:ascii="Arial" w:hAnsi="Arial" w:cs="Arial"/>
          <w:sz w:val="24"/>
          <w:szCs w:val="24"/>
        </w:rPr>
        <w:t>Table 1. Adjusted probability of each treatment following screening among patients who self-reported chronic pain on a screener without an existing pain diagnosis (N = 4,328)</w:t>
      </w:r>
    </w:p>
    <w:tbl>
      <w:tblPr>
        <w:tblStyle w:val="TableGrid"/>
        <w:tblpPr w:leftFromText="180" w:rightFromText="180" w:vertAnchor="text" w:horzAnchor="margin" w:tblpXSpec="center" w:tblpY="290"/>
        <w:tblW w:w="15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890"/>
        <w:gridCol w:w="1890"/>
        <w:gridCol w:w="1800"/>
        <w:gridCol w:w="1800"/>
        <w:gridCol w:w="1890"/>
        <w:gridCol w:w="1890"/>
        <w:gridCol w:w="1710"/>
      </w:tblGrid>
      <w:tr w:rsidR="00A05400" w:rsidRPr="008E6667" w:rsidTr="00105795">
        <w:trPr>
          <w:trHeight w:val="20"/>
          <w:tblHeader/>
        </w:trPr>
        <w:tc>
          <w:tcPr>
            <w:tcW w:w="243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CE7AE1" w:rsidRDefault="00A05400" w:rsidP="00105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7A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EC6FA2" w:rsidRDefault="00A05400" w:rsidP="001057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Opioid analgesics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EC6FA2" w:rsidRDefault="00A05400" w:rsidP="001057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Non-opioid analgesics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EC6FA2" w:rsidRDefault="00CE2BA5" w:rsidP="001057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 xml:space="preserve">Onsite physical </w:t>
            </w:r>
            <w:proofErr w:type="spellStart"/>
            <w:r w:rsidRPr="00EC6FA2">
              <w:rPr>
                <w:rFonts w:ascii="Arial" w:hAnsi="Arial" w:cs="Arial"/>
                <w:bCs/>
                <w:sz w:val="18"/>
                <w:szCs w:val="18"/>
              </w:rPr>
              <w:t>medicine</w:t>
            </w:r>
            <w:r w:rsidRPr="00EC6FA2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80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EC6FA2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 xml:space="preserve">Referrals for pain-related </w:t>
            </w:r>
            <w:proofErr w:type="spellStart"/>
            <w:r w:rsidRPr="00EC6FA2">
              <w:rPr>
                <w:rFonts w:ascii="Arial" w:hAnsi="Arial" w:cs="Arial"/>
                <w:bCs/>
                <w:sz w:val="18"/>
                <w:szCs w:val="18"/>
              </w:rPr>
              <w:t>care</w:t>
            </w:r>
            <w:r w:rsidR="00CE2BA5" w:rsidRPr="00EC6FA2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proofErr w:type="spellEnd"/>
          </w:p>
          <w:p w:rsidR="00A05400" w:rsidRPr="00EC6FA2" w:rsidRDefault="00A05400" w:rsidP="001057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05400" w:rsidRPr="00EC6FA2" w:rsidRDefault="00A05400" w:rsidP="0010579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A05400" w:rsidRPr="00EC6FA2" w:rsidRDefault="00A05400" w:rsidP="00CE2BA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MH/</w:t>
            </w:r>
            <w:proofErr w:type="spellStart"/>
            <w:r w:rsidRPr="00EC6FA2">
              <w:rPr>
                <w:rFonts w:ascii="Arial" w:hAnsi="Arial" w:cs="Arial"/>
                <w:bCs/>
                <w:sz w:val="18"/>
                <w:szCs w:val="18"/>
              </w:rPr>
              <w:t>SUD</w:t>
            </w:r>
            <w:r w:rsidR="00CE2BA5" w:rsidRPr="00EC6FA2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</w:t>
            </w:r>
            <w:proofErr w:type="spellEnd"/>
            <w:r w:rsidRPr="00EC6F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6FA2">
              <w:rPr>
                <w:rFonts w:ascii="Arial" w:hAnsi="Arial" w:cs="Arial"/>
                <w:sz w:val="18"/>
                <w:szCs w:val="18"/>
              </w:rPr>
              <w:br/>
            </w:r>
            <w:r w:rsidRPr="00EC6FA2">
              <w:rPr>
                <w:rFonts w:ascii="Arial" w:hAnsi="Arial" w:cs="Arial"/>
                <w:bCs/>
                <w:sz w:val="18"/>
                <w:szCs w:val="18"/>
              </w:rPr>
              <w:t>medications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A05400" w:rsidRPr="00EC6FA2" w:rsidRDefault="00A05400" w:rsidP="001057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Onsite MH/SUD visits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A05400" w:rsidRPr="00EC6FA2" w:rsidRDefault="00A05400" w:rsidP="00CE2BA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Referrals to MH/SUD care</w:t>
            </w:r>
            <w:r w:rsidR="00CE2BA5" w:rsidRPr="00EC6FA2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d</w:t>
            </w:r>
          </w:p>
        </w:tc>
      </w:tr>
      <w:tr w:rsidR="00A05400" w:rsidRPr="008E6667" w:rsidTr="00105795">
        <w:trPr>
          <w:trHeight w:val="98"/>
          <w:tblHeader/>
        </w:trPr>
        <w:tc>
          <w:tcPr>
            <w:tcW w:w="2430" w:type="dxa"/>
            <w:tcBorders>
              <w:top w:val="single" w:sz="4" w:space="0" w:color="auto"/>
            </w:tcBorders>
          </w:tcPr>
          <w:p w:rsidR="00A05400" w:rsidRPr="00CE7AE1" w:rsidRDefault="00A05400" w:rsidP="00105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5400" w:rsidRPr="00CE7AE1" w:rsidRDefault="00A05400" w:rsidP="00CE2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Average adjusted probability, % [95% CI]</w:t>
            </w:r>
            <w:r w:rsidR="00CE2BA5" w:rsidRPr="00CE7AE1">
              <w:rPr>
                <w:rFonts w:ascii="Arial" w:eastAsia="TimesNewRomanPSMT" w:hAnsi="Arial" w:cs="Arial"/>
                <w:sz w:val="18"/>
                <w:szCs w:val="18"/>
                <w:vertAlign w:val="superscript"/>
              </w:rPr>
              <w:t>e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Age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hideMark/>
          </w:tcPr>
          <w:p w:rsidR="00A05400" w:rsidRPr="00CE7AE1" w:rsidRDefault="00A05400" w:rsidP="00105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7A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hideMark/>
          </w:tcPr>
          <w:p w:rsidR="00A05400" w:rsidRPr="00CE7AE1" w:rsidRDefault="00A05400" w:rsidP="00105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7A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hideMark/>
          </w:tcPr>
          <w:p w:rsidR="00A05400" w:rsidRPr="00CE7AE1" w:rsidRDefault="00A05400" w:rsidP="00105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7A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hideMark/>
          </w:tcPr>
          <w:p w:rsidR="00A05400" w:rsidRPr="00CE7AE1" w:rsidRDefault="00A05400" w:rsidP="00105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7AE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05400" w:rsidRPr="00CE7AE1" w:rsidRDefault="00A05400" w:rsidP="00105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05400" w:rsidRPr="00CE7AE1" w:rsidRDefault="00A05400" w:rsidP="00105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A05400" w:rsidRPr="00CE7AE1" w:rsidRDefault="00A05400" w:rsidP="00105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18-34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3.8 [2.6 – 5.0]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30.8 [28.2 - 33.5]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22.3 [19.9 - 24.6]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6.3 [4.8 - 7.8]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26.5 [23.9 - 29.1]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16.9 [14.8 - 19.1]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6.9 [5.4 - 8.5]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35-54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4.1 [3.3 - 4.9]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31.6 [29.7 - 33.5]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16.1 [14.6 - 17.6]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8.5 [7.3 - 9.6]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31.7 [29.8 - 33.6]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16.7 [15.1 - 18.2]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6.1 [5.0 - 7.2]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55-64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4.7 [3.5 - 5.8]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30.6 [27.8 - 33.3]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14.3 [12.2 - 16.5]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9.0 [7.2 - 10.8]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31.4 [28.8 - 34.1]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14.7 [12.7 - 16.8]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5.8 [4.3 - 7.3]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≥65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6.9 [4.5 - 9.4]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26.8 [22.5 - 31.2]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13.5 [9.9 - 17.1]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7.2 [4.5 – 10.0]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24.6 [20.8 - 28.5]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9.3 [6.4 - 12.2]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2.7 [1.0 – 4.4]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EC6FA2" w:rsidP="001057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Sex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4.4 [3.5 – 5.3]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30.7 [28.8 – 32.6]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16.9 [15.4 – 18.5]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8.4 [7.2 – 9.6]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29.7 [27.8 – 31.5]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15.2 [13.7 – 16.7]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5.7 [4.7 – 6.8]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4.5 [3.7 – 5.3]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30.8 [29.1 – 32.5]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17.1 [15.7 – 18.5]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7.7 [6.6 – 8.7]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29.9 [28.3 – 31.6]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16.1 [14.7 – 17.4]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6.1 [5.2 – 7.1]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Race/Ethnicity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Non-Latinx White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6.4 [5.2 – 7.5]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29.3 [27.2 – 31.4]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15.2 [13.4 – 16.9]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9.5 [8.0 – 11.0]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33.8 [31.7 – 36.0]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18.1 [16.4 – 19.9]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5.8 [4.6 – 7.0]</w:t>
            </w:r>
          </w:p>
        </w:tc>
      </w:tr>
      <w:tr w:rsidR="00A05400" w:rsidRPr="008E6667" w:rsidTr="00105795">
        <w:trPr>
          <w:trHeight w:val="126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Non-Latinx Black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6.4 [4.5 – 8.4]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26.5 [22.8 – 30.1]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16.8 [13.7 – 19.9]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8.4 [6.0 – 10.7]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26.3 [22.7 – 29.9]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15.0 [12.0 – 18.0]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 [3.1 – 7.0]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Non-Latinx Other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1.5 [0.1 – 2.9]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33.3 [28.7 – 38.0]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19.1 [15.4 – 22.9]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7.8 [5.0 – 10.5]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31.2 [26.7 – 35.7]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20.0 [16.1 – 24.0]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8.9 [5.9 – 11.9]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Latinx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3.0 [2.2 – 3.8]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32.9 [30.8 – 35.0]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18.5 [16.9 – 20.2]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6.9 [5.7 – 8.1]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26.3 [24.3 – 28.3]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12.6 [11.1 – 14.1]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5.6 [4.5 - 6.8]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2.0 [0.5 - 3.5]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30.5 [25.7 - 35.4]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14.7 [10.9 - 18.4]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6.0 [3.4 - 8.7]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30.4 [25.6 - 35.2]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15.0 [11.2 - 18.8]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6.8 [3.9 - 9.7]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Mental health (MH) diagnoses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4.6 [3.9 - 5.2]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31.8 [30.4 - 33.2]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17.2 [16.1 - 18.3]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8.1 [7.2 - 8.9]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29.5 [28.0 - 30.9]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15.7 [14.3 - 17.1]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6.2 [5.4 - 7.1]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1+ diagnosis documented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4.0 [2.7 - 5.3]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25.8 [22.7 – 29.0]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15.8 [12.9 - 18.6]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7.6 [5.5 - 9.7]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31.3 [27.9 - 34.7]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15.7 [12.7 – 18.7]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4.9 [3.2 – 6.6]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-19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Substance use disorder (SUD) diagnoses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1"/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4.5 [3.9 – 5.1]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30.0 [28.7 – 31.3]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17.2 [16.1 – 18.2]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8.1 [7.3 – 8.9]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29.3 [28.0 – 30.6]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15.4 [14.4 – 16.5]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5.9 [5.2 – 6.6]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1+ diagnosis documented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3.5 [1.4 – 5.7]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45.2 [39.0 – 51.5]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13.7 [8.5 – 18.8]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5.9 [2.7 – 9.1]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38.1 [32.0 – 44.3]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18.2 [14.0 – 22.4]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7.3 [3.8 – 10.8]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EC6F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Charlson</w:t>
            </w:r>
            <w:proofErr w:type="spellEnd"/>
            <w:r w:rsidRPr="00EC6F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Comorbidity </w:t>
            </w:r>
            <w:proofErr w:type="spellStart"/>
            <w:r w:rsidRPr="00EC6F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Index</w:t>
            </w:r>
            <w:r w:rsidR="00CE2BA5" w:rsidRPr="00EC6FA2">
              <w:rPr>
                <w:rFonts w:ascii="Arial" w:eastAsia="TimesNewRomanPSMT" w:hAnsi="Arial" w:cs="Arial"/>
                <w:sz w:val="18"/>
                <w:szCs w:val="18"/>
                <w:vertAlign w:val="superscript"/>
              </w:rPr>
              <w:t>f</w:t>
            </w:r>
            <w:proofErr w:type="spellEnd"/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4.3 [3.5 – 5.0]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31.7 [30.1 – 33.4]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17.9 [16.6 – 19.2]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8.1 [7.1 – 9.1]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28.6 [27.1 – 30.2]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16.2 [14.9 – 17.5]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6.2 [5.3 – 7.1]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color w:val="000000"/>
                <w:sz w:val="18"/>
                <w:szCs w:val="18"/>
              </w:rPr>
              <w:t>1-2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4.6 [3.6 – 5.7]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29.7 [27.4 – 32.0]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15.3 [13.4 – 17.2]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8.3 [6.9 – 9.8]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31.3 [29.1 – 33.5]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14.2 [12.4 – 15.9]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5.5 [4.3 – 6.8]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5.2 [2.2 – 8.1]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25.9 [18.6 – 33.2]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13.5 [7.0 – 20.0]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4.0 [0.6 – 7.5]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30.9 [23.7 – 38.1]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15.6 [9.4 – 21.9]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4.0 [0.1 – 7.8]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≥5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5.1 [0.4 – 9.9]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19.3 [9.1 – 29.6]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16.3 [5.6 – 27.0]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4.0 [-1.4 – 9.4]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46.4 [33.7 – 59.1]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26.1 [14.7 – 37.4]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10.2 [1.8 – 18.7]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 xml:space="preserve">Treatment prior to chronic pain </w:t>
            </w:r>
            <w:proofErr w:type="spellStart"/>
            <w:r w:rsidRPr="00EC6FA2">
              <w:rPr>
                <w:rFonts w:ascii="Arial" w:hAnsi="Arial" w:cs="Arial"/>
                <w:bCs/>
                <w:sz w:val="18"/>
                <w:szCs w:val="18"/>
              </w:rPr>
              <w:t>screen</w:t>
            </w:r>
            <w:r w:rsidR="00CE2BA5" w:rsidRPr="00EC6FA2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g</w:t>
            </w:r>
            <w:proofErr w:type="spellEnd"/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No prior treatment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3.4 [2.8 – 3.9]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26.9 [25.6 – 28.3]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7.8 [7.0 – 8.6]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21.2 [19.8 – 22.7]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11.5 [10.5 – 12.6]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5.7 [5.0 – 6.4]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Received prior treatment</w:t>
            </w: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41.1 [32.5 – 49.7]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54.2 [50.5 – 58.0]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18.1 [9.8 – 26.3]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62.7 [58.8 – 66.5]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55.6 [47.3 – 64.0]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15.3 [7.8 - 22.8]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CE7AE1" w:rsidRPr="00EC6FA2" w:rsidRDefault="00CE7AE1" w:rsidP="0010579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05400" w:rsidRPr="00EC6FA2" w:rsidRDefault="00A05400" w:rsidP="001057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lastRenderedPageBreak/>
              <w:t>Pain diagnosis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None documented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2.8 [2.1 - 3.5]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16.4 [14.8 - 17.9]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2.1 [1.5 - 2.7]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2.9 [2.2 - 3.6]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27.3 [25.6 – 29.0]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14.9 [13.5 - 16.4]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5.7 [4.7 - 6.7]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Newly documented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6.0 [5.1 - 6.9]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43.3 [41.4 - 45.3]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29.5 [27.7 - 31.4]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color w:val="000000"/>
                <w:sz w:val="18"/>
                <w:szCs w:val="18"/>
              </w:rPr>
              <w:t>12.4 [11.0 - 13.7]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32.1 [30.3 - 33.8]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16.3 [14.9 - 17.7]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6.2 [5.2 - 7.2]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</w:tcPr>
          <w:p w:rsidR="00A05400" w:rsidRPr="00EC6FA2" w:rsidRDefault="00A05400" w:rsidP="001057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6FA2">
              <w:rPr>
                <w:rFonts w:ascii="Arial" w:hAnsi="Arial" w:cs="Arial"/>
                <w:bCs/>
                <w:sz w:val="18"/>
                <w:szCs w:val="18"/>
              </w:rPr>
              <w:t>PEG total score severity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Non-severe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3.0 [2.3 - 3.7]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27.2 [25.3 – 29.0]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14.8 [13.3 - 16.3]</w:t>
            </w:r>
          </w:p>
        </w:tc>
        <w:tc>
          <w:tcPr>
            <w:tcW w:w="180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6.1 [5.1 - 7.2]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26.5 [24.8 - 28.3]</w:t>
            </w:r>
          </w:p>
        </w:tc>
        <w:tc>
          <w:tcPr>
            <w:tcW w:w="189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14.4 [12.9 - 15.8]</w:t>
            </w:r>
          </w:p>
        </w:tc>
        <w:tc>
          <w:tcPr>
            <w:tcW w:w="1710" w:type="dxa"/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5.0 [4.0 - 5.9]</w:t>
            </w:r>
          </w:p>
        </w:tc>
      </w:tr>
      <w:tr w:rsidR="00A05400" w:rsidRPr="008E6667" w:rsidTr="00105795">
        <w:trPr>
          <w:trHeight w:val="20"/>
        </w:trPr>
        <w:tc>
          <w:tcPr>
            <w:tcW w:w="2430" w:type="dxa"/>
            <w:tcBorders>
              <w:bottom w:val="single" w:sz="4" w:space="0" w:color="auto"/>
            </w:tcBorders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18"/>
                <w:szCs w:val="18"/>
              </w:rPr>
            </w:pPr>
            <w:r w:rsidRPr="00EC6FA2">
              <w:rPr>
                <w:rFonts w:ascii="Arial" w:hAnsi="Arial" w:cs="Arial"/>
                <w:sz w:val="18"/>
                <w:szCs w:val="18"/>
              </w:rPr>
              <w:t>Severe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5.6 [4.8 - 6.5]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70AD47" w:themeColor="accent6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33.7 [31.9 - 35.5]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18.7 [17.3 – 20.0]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9.4 [8.3 - 10.5]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70AD47" w:themeColor="accent6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32.6 [30.9 - 34.4]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70AD47" w:themeColor="accent6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16.8 [15.4 - 18.2]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05400" w:rsidRPr="00CE7AE1" w:rsidRDefault="00A05400" w:rsidP="00105795">
            <w:pPr>
              <w:rPr>
                <w:rFonts w:ascii="Arial" w:hAnsi="Arial" w:cs="Arial"/>
                <w:color w:val="70AD47" w:themeColor="accent6"/>
                <w:sz w:val="18"/>
                <w:szCs w:val="18"/>
              </w:rPr>
            </w:pPr>
            <w:r w:rsidRPr="00CE7AE1">
              <w:rPr>
                <w:rFonts w:ascii="Arial" w:hAnsi="Arial" w:cs="Arial"/>
                <w:sz w:val="18"/>
                <w:szCs w:val="18"/>
              </w:rPr>
              <w:t>6.8 [5.8 - 7.9]</w:t>
            </w:r>
          </w:p>
        </w:tc>
      </w:tr>
    </w:tbl>
    <w:p w:rsidR="00A05400" w:rsidRPr="008E6667" w:rsidRDefault="00A05400" w:rsidP="00A05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5400" w:rsidRPr="00107286" w:rsidRDefault="00CE2BA5" w:rsidP="00A05400">
      <w:pPr>
        <w:spacing w:after="0" w:line="240" w:lineRule="auto"/>
        <w:rPr>
          <w:rFonts w:ascii="Arial" w:hAnsi="Arial" w:cs="Arial"/>
          <w:sz w:val="18"/>
          <w:szCs w:val="16"/>
        </w:rPr>
      </w:pPr>
      <w:proofErr w:type="spellStart"/>
      <w:r>
        <w:rPr>
          <w:rFonts w:ascii="Arial" w:hAnsi="Arial" w:cs="Arial"/>
          <w:sz w:val="18"/>
          <w:szCs w:val="16"/>
        </w:rPr>
        <w:t>a</w:t>
      </w:r>
      <w:proofErr w:type="spellEnd"/>
      <w:r w:rsidR="00A05400" w:rsidRPr="00107286">
        <w:rPr>
          <w:rFonts w:ascii="Arial" w:hAnsi="Arial" w:cs="Arial"/>
          <w:sz w:val="18"/>
          <w:szCs w:val="16"/>
        </w:rPr>
        <w:t xml:space="preserve"> Onsite physical medicine includes referrals to chiropractor and acupuncture.</w:t>
      </w:r>
      <w:r w:rsidR="00A05400" w:rsidRPr="00107286">
        <w:rPr>
          <w:rFonts w:ascii="Arial" w:hAnsi="Arial" w:cs="Arial"/>
          <w:sz w:val="18"/>
          <w:szCs w:val="16"/>
        </w:rPr>
        <w:br/>
      </w:r>
      <w:r>
        <w:rPr>
          <w:rFonts w:ascii="Arial" w:hAnsi="Arial" w:cs="Arial"/>
          <w:sz w:val="18"/>
          <w:szCs w:val="16"/>
        </w:rPr>
        <w:t>b</w:t>
      </w:r>
      <w:r w:rsidR="00A05400" w:rsidRPr="00107286">
        <w:rPr>
          <w:rFonts w:ascii="Arial" w:hAnsi="Arial" w:cs="Arial"/>
          <w:sz w:val="18"/>
          <w:szCs w:val="16"/>
        </w:rPr>
        <w:t xml:space="preserve"> Referrals for pain-related care include pain management specialist, rheumatology, orthopedic or neurological </w:t>
      </w:r>
      <w:r w:rsidR="00A05400" w:rsidRPr="00107286">
        <w:rPr>
          <w:rFonts w:ascii="Arial" w:hAnsi="Arial" w:cs="Arial"/>
          <w:sz w:val="18"/>
          <w:szCs w:val="16"/>
        </w:rPr>
        <w:br/>
        <w:t xml:space="preserve">   surgery, and physical therapy and rehabilitation.</w:t>
      </w:r>
      <w:r w:rsidR="00A05400" w:rsidRPr="00107286">
        <w:rPr>
          <w:rFonts w:ascii="Arial" w:hAnsi="Arial" w:cs="Arial"/>
          <w:sz w:val="18"/>
          <w:szCs w:val="16"/>
        </w:rPr>
        <w:br/>
      </w:r>
      <w:r>
        <w:rPr>
          <w:rFonts w:ascii="Arial" w:hAnsi="Arial" w:cs="Arial"/>
          <w:sz w:val="18"/>
          <w:szCs w:val="16"/>
        </w:rPr>
        <w:t>c</w:t>
      </w:r>
      <w:r w:rsidR="00A05400" w:rsidRPr="00107286">
        <w:rPr>
          <w:rFonts w:ascii="Arial" w:hAnsi="Arial" w:cs="Arial"/>
          <w:sz w:val="18"/>
          <w:szCs w:val="16"/>
        </w:rPr>
        <w:t xml:space="preserve"> MH=Mental health. SUD= substance use disorder. </w:t>
      </w:r>
      <w:r w:rsidR="00A05400" w:rsidRPr="00107286">
        <w:rPr>
          <w:rFonts w:ascii="Arial" w:hAnsi="Arial" w:cs="Arial"/>
          <w:sz w:val="18"/>
          <w:szCs w:val="16"/>
        </w:rPr>
        <w:br/>
      </w:r>
      <w:r>
        <w:rPr>
          <w:rFonts w:ascii="Arial" w:hAnsi="Arial" w:cs="Arial"/>
          <w:sz w:val="18"/>
          <w:szCs w:val="16"/>
        </w:rPr>
        <w:t>d</w:t>
      </w:r>
      <w:r w:rsidR="00A05400" w:rsidRPr="00107286">
        <w:rPr>
          <w:rFonts w:ascii="Arial" w:hAnsi="Arial" w:cs="Arial"/>
          <w:sz w:val="18"/>
          <w:szCs w:val="16"/>
        </w:rPr>
        <w:t xml:space="preserve"> </w:t>
      </w:r>
      <w:r w:rsidR="00A05400" w:rsidRPr="00107286">
        <w:rPr>
          <w:rFonts w:ascii="Arial" w:eastAsia="Times New Roman,Times New Roman" w:hAnsi="Arial" w:cs="Arial"/>
          <w:sz w:val="18"/>
          <w:szCs w:val="16"/>
        </w:rPr>
        <w:t xml:space="preserve">MH/SUD visits and external referrals included psychiatrist, psychiatric nurse, clinical psychologist, licensed </w:t>
      </w:r>
      <w:r w:rsidR="00A05400" w:rsidRPr="00107286">
        <w:rPr>
          <w:rFonts w:ascii="Arial" w:eastAsia="Times New Roman,Times New Roman" w:hAnsi="Arial" w:cs="Arial"/>
          <w:sz w:val="18"/>
          <w:szCs w:val="16"/>
        </w:rPr>
        <w:br/>
        <w:t xml:space="preserve">    clinical social worker, licensed professional counselor, marriage and family therapist, and/or alcohol and drug </w:t>
      </w:r>
      <w:r w:rsidR="00A05400" w:rsidRPr="00107286">
        <w:rPr>
          <w:rFonts w:ascii="Arial" w:eastAsia="Times New Roman,Times New Roman" w:hAnsi="Arial" w:cs="Arial"/>
          <w:sz w:val="18"/>
          <w:szCs w:val="16"/>
        </w:rPr>
        <w:br/>
        <w:t xml:space="preserve">    counselor</w:t>
      </w:r>
    </w:p>
    <w:p w:rsidR="00A05400" w:rsidRPr="00107286" w:rsidRDefault="00CE2BA5" w:rsidP="00A05400">
      <w:pPr>
        <w:spacing w:after="0" w:line="240" w:lineRule="auto"/>
        <w:rPr>
          <w:rFonts w:ascii="Arial" w:hAnsi="Arial" w:cs="Arial"/>
          <w:sz w:val="18"/>
          <w:szCs w:val="16"/>
        </w:rPr>
      </w:pPr>
      <w:r>
        <w:rPr>
          <w:rFonts w:ascii="Arial" w:eastAsia="TimesNewRomanPSMT" w:hAnsi="Arial" w:cs="Arial"/>
          <w:sz w:val="18"/>
          <w:szCs w:val="16"/>
        </w:rPr>
        <w:t>e</w:t>
      </w:r>
      <w:r w:rsidR="00A05400" w:rsidRPr="00107286">
        <w:rPr>
          <w:rFonts w:ascii="Arial" w:eastAsia="TimesNewRomanPSMT" w:hAnsi="Arial" w:cs="Arial"/>
          <w:sz w:val="18"/>
          <w:szCs w:val="16"/>
        </w:rPr>
        <w:t xml:space="preserve"> </w:t>
      </w:r>
      <w:r w:rsidR="00A05400" w:rsidRPr="00107286">
        <w:rPr>
          <w:rFonts w:ascii="Arial" w:hAnsi="Arial" w:cs="Arial"/>
          <w:sz w:val="18"/>
          <w:szCs w:val="16"/>
        </w:rPr>
        <w:t>95%Confidence Interval</w:t>
      </w:r>
    </w:p>
    <w:p w:rsidR="00A05400" w:rsidRPr="00107286" w:rsidRDefault="00CE2BA5" w:rsidP="00A05400">
      <w:pPr>
        <w:spacing w:after="0" w:line="240" w:lineRule="auto"/>
        <w:rPr>
          <w:rFonts w:ascii="Arial" w:hAnsi="Arial" w:cs="Arial"/>
          <w:sz w:val="18"/>
          <w:szCs w:val="16"/>
        </w:rPr>
      </w:pPr>
      <w:r>
        <w:rPr>
          <w:rFonts w:ascii="Arial" w:eastAsia="TimesNewRomanPSMT" w:hAnsi="Arial" w:cs="Arial"/>
          <w:sz w:val="18"/>
          <w:szCs w:val="16"/>
        </w:rPr>
        <w:t>f</w:t>
      </w:r>
      <w:r w:rsidR="00A05400" w:rsidRPr="00107286">
        <w:rPr>
          <w:rFonts w:ascii="Arial" w:eastAsia="TimesNewRomanPSMT" w:hAnsi="Arial" w:cs="Arial"/>
          <w:sz w:val="18"/>
          <w:szCs w:val="16"/>
        </w:rPr>
        <w:t xml:space="preserve"> </w:t>
      </w:r>
      <w:proofErr w:type="spellStart"/>
      <w:r w:rsidR="00A05400" w:rsidRPr="00107286">
        <w:rPr>
          <w:rFonts w:ascii="Arial" w:hAnsi="Arial" w:cs="Arial"/>
          <w:sz w:val="18"/>
          <w:szCs w:val="16"/>
        </w:rPr>
        <w:t>Charlson</w:t>
      </w:r>
      <w:proofErr w:type="spellEnd"/>
      <w:r w:rsidR="00A05400" w:rsidRPr="00107286">
        <w:rPr>
          <w:rFonts w:ascii="Arial" w:hAnsi="Arial" w:cs="Arial"/>
          <w:sz w:val="18"/>
          <w:szCs w:val="16"/>
        </w:rPr>
        <w:t xml:space="preserve"> Comorbidity Index.  Weighted index of diagnosis codes; higher weights indicate more severe morbidity.</w:t>
      </w:r>
    </w:p>
    <w:p w:rsidR="00A05400" w:rsidRPr="00107286" w:rsidRDefault="00CE2BA5" w:rsidP="00A05400">
      <w:pPr>
        <w:spacing w:after="0" w:line="24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g</w:t>
      </w:r>
      <w:r w:rsidR="00A05400" w:rsidRPr="00107286">
        <w:rPr>
          <w:rFonts w:ascii="Arial" w:hAnsi="Arial" w:cs="Arial"/>
          <w:sz w:val="18"/>
          <w:szCs w:val="16"/>
        </w:rPr>
        <w:t xml:space="preserve"> Note that the independent variable </w:t>
      </w:r>
      <w:r w:rsidR="00A05400" w:rsidRPr="00107286">
        <w:rPr>
          <w:rFonts w:ascii="Arial" w:hAnsi="Arial" w:cs="Arial"/>
          <w:i/>
          <w:iCs/>
          <w:sz w:val="18"/>
          <w:szCs w:val="16"/>
        </w:rPr>
        <w:t>treatment prior to chronic pain screen</w:t>
      </w:r>
      <w:r w:rsidR="00A05400" w:rsidRPr="00107286">
        <w:rPr>
          <w:rFonts w:ascii="Arial" w:hAnsi="Arial" w:cs="Arial"/>
          <w:sz w:val="18"/>
          <w:szCs w:val="16"/>
        </w:rPr>
        <w:t xml:space="preserve"> is specific to the treatment of interest. For example, in the model examining opioid </w:t>
      </w:r>
      <w:r w:rsidR="00A05400" w:rsidRPr="00107286">
        <w:rPr>
          <w:rFonts w:ascii="Arial" w:hAnsi="Arial" w:cs="Arial"/>
          <w:sz w:val="18"/>
          <w:szCs w:val="16"/>
        </w:rPr>
        <w:br/>
        <w:t xml:space="preserve">   analgesic treatments, this independent variable accounted for opioid analgesic treatment prior to screen, not all other treatments. Acupuncture/chiropractic </w:t>
      </w:r>
      <w:r w:rsidR="00A05400" w:rsidRPr="00107286">
        <w:rPr>
          <w:rFonts w:ascii="Arial" w:hAnsi="Arial" w:cs="Arial"/>
          <w:sz w:val="18"/>
          <w:szCs w:val="16"/>
        </w:rPr>
        <w:br/>
        <w:t xml:space="preserve">   treatment prior to chronic pain screen was not determined due to insufficient data. PT = physical therapy.</w:t>
      </w:r>
    </w:p>
    <w:p w:rsidR="00A05400" w:rsidRPr="00CA41B8" w:rsidRDefault="00A05400" w:rsidP="00A05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  <w:sectPr w:rsidR="00A05400" w:rsidSect="00A0540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05400" w:rsidRPr="00EC6FA2" w:rsidRDefault="00107286" w:rsidP="00A054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6FA2">
        <w:rPr>
          <w:rFonts w:ascii="Arial" w:hAnsi="Arial" w:cs="Arial"/>
          <w:sz w:val="24"/>
          <w:szCs w:val="20"/>
        </w:rPr>
        <w:lastRenderedPageBreak/>
        <w:t xml:space="preserve">Supplemental </w:t>
      </w:r>
      <w:r w:rsidR="00A05400" w:rsidRPr="00EC6FA2">
        <w:rPr>
          <w:rFonts w:ascii="Arial" w:hAnsi="Arial" w:cs="Arial"/>
          <w:sz w:val="24"/>
          <w:szCs w:val="20"/>
        </w:rPr>
        <w:t xml:space="preserve">Methods. Post-hoc exploratory analyses of chronic pain and treatment among Latinx patients. </w:t>
      </w:r>
    </w:p>
    <w:p w:rsidR="00A05400" w:rsidRPr="00107286" w:rsidRDefault="00A05400" w:rsidP="00A054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5400" w:rsidRPr="00107286" w:rsidRDefault="00A05400" w:rsidP="00107286">
      <w:pPr>
        <w:spacing w:after="0" w:line="480" w:lineRule="auto"/>
        <w:ind w:firstLine="720"/>
        <w:rPr>
          <w:rFonts w:ascii="Arial" w:hAnsi="Arial" w:cs="Arial"/>
          <w:sz w:val="20"/>
          <w:szCs w:val="20"/>
        </w:rPr>
      </w:pPr>
      <w:r w:rsidRPr="00107286">
        <w:rPr>
          <w:rFonts w:ascii="Arial" w:hAnsi="Arial" w:cs="Arial"/>
          <w:sz w:val="20"/>
          <w:szCs w:val="20"/>
        </w:rPr>
        <w:t>We conducted post-hoc exploratory analyses to better understand the relationship between Latinx ethnicity and receipt of a newly documented chronic pain diagnosis. Results revealed that Latinx patients reported average PEG total scores within the severe range (</w:t>
      </w:r>
      <w:r w:rsidRPr="00107286">
        <w:rPr>
          <w:rFonts w:ascii="Arial" w:hAnsi="Arial" w:cs="Arial"/>
          <w:i/>
          <w:iCs/>
          <w:sz w:val="20"/>
          <w:szCs w:val="20"/>
        </w:rPr>
        <w:t xml:space="preserve">M </w:t>
      </w:r>
      <w:r w:rsidRPr="00107286">
        <w:rPr>
          <w:rFonts w:ascii="Arial" w:hAnsi="Arial" w:cs="Arial"/>
          <w:sz w:val="20"/>
          <w:szCs w:val="20"/>
        </w:rPr>
        <w:t xml:space="preserve">= 7.2, </w:t>
      </w:r>
      <w:r w:rsidRPr="00107286">
        <w:rPr>
          <w:rFonts w:ascii="Arial" w:hAnsi="Arial" w:cs="Arial"/>
          <w:i/>
          <w:iCs/>
          <w:sz w:val="20"/>
          <w:szCs w:val="20"/>
        </w:rPr>
        <w:t xml:space="preserve">SD </w:t>
      </w:r>
      <w:r w:rsidRPr="00107286">
        <w:rPr>
          <w:rFonts w:ascii="Arial" w:hAnsi="Arial" w:cs="Arial"/>
          <w:sz w:val="20"/>
          <w:szCs w:val="20"/>
        </w:rPr>
        <w:t>= 2.1), while non-Latinx White patients reported slightly lower, but non-severe average PEG total scores (</w:t>
      </w:r>
      <w:r w:rsidRPr="00107286">
        <w:rPr>
          <w:rFonts w:ascii="Arial" w:hAnsi="Arial" w:cs="Arial"/>
          <w:i/>
          <w:iCs/>
          <w:sz w:val="20"/>
          <w:szCs w:val="20"/>
        </w:rPr>
        <w:t xml:space="preserve">M </w:t>
      </w:r>
      <w:r w:rsidRPr="00107286">
        <w:rPr>
          <w:rFonts w:ascii="Arial" w:hAnsi="Arial" w:cs="Arial"/>
          <w:sz w:val="20"/>
          <w:szCs w:val="20"/>
        </w:rPr>
        <w:t xml:space="preserve">= 6.6, </w:t>
      </w:r>
      <w:r w:rsidRPr="00107286">
        <w:rPr>
          <w:rFonts w:ascii="Arial" w:hAnsi="Arial" w:cs="Arial"/>
          <w:i/>
          <w:iCs/>
          <w:sz w:val="20"/>
          <w:szCs w:val="20"/>
        </w:rPr>
        <w:t xml:space="preserve">SD </w:t>
      </w:r>
      <w:r w:rsidRPr="00107286">
        <w:rPr>
          <w:rFonts w:ascii="Arial" w:hAnsi="Arial" w:cs="Arial"/>
          <w:sz w:val="20"/>
          <w:szCs w:val="20"/>
        </w:rPr>
        <w:t>= 2.3), a statistically significant difference (t</w:t>
      </w:r>
      <w:r w:rsidRPr="00107286">
        <w:rPr>
          <w:rFonts w:ascii="Arial" w:hAnsi="Arial" w:cs="Arial"/>
          <w:sz w:val="20"/>
          <w:szCs w:val="20"/>
          <w:vertAlign w:val="subscript"/>
        </w:rPr>
        <w:t xml:space="preserve">7762 </w:t>
      </w:r>
      <w:r w:rsidRPr="00107286">
        <w:rPr>
          <w:rFonts w:ascii="Arial" w:hAnsi="Arial" w:cs="Arial"/>
          <w:sz w:val="20"/>
          <w:szCs w:val="20"/>
        </w:rPr>
        <w:t>= 11.72,</w:t>
      </w:r>
      <w:r w:rsidRPr="00107286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107286">
        <w:rPr>
          <w:rFonts w:ascii="Arial" w:hAnsi="Arial" w:cs="Arial"/>
          <w:i/>
          <w:iCs/>
          <w:sz w:val="20"/>
          <w:szCs w:val="20"/>
        </w:rPr>
        <w:t>p</w:t>
      </w:r>
      <w:r w:rsidRPr="00107286">
        <w:rPr>
          <w:rFonts w:ascii="Arial" w:hAnsi="Arial" w:cs="Arial"/>
          <w:sz w:val="20"/>
          <w:szCs w:val="20"/>
        </w:rPr>
        <w:t xml:space="preserve">&lt;0.0001). We also investigated the association between language and PEG total scores. While a significant portion of Latinx patients (40.7%) reported Spanish as their preferred language, findings remained consistent even after accounting for language, suggesting that findings were unlikely due to comprehension difficulties. </w:t>
      </w:r>
    </w:p>
    <w:p w:rsidR="00A05400" w:rsidRPr="00107286" w:rsidRDefault="00A05400" w:rsidP="00107286">
      <w:pPr>
        <w:pStyle w:val="ListParagraph"/>
        <w:spacing w:after="0" w:line="480" w:lineRule="auto"/>
        <w:ind w:left="0" w:firstLine="720"/>
        <w:rPr>
          <w:rFonts w:ascii="Arial" w:hAnsi="Arial" w:cs="Arial"/>
          <w:sz w:val="20"/>
          <w:szCs w:val="20"/>
        </w:rPr>
      </w:pPr>
      <w:r w:rsidRPr="00107286">
        <w:rPr>
          <w:rFonts w:ascii="Arial" w:hAnsi="Arial" w:cs="Arial"/>
          <w:sz w:val="20"/>
          <w:szCs w:val="20"/>
        </w:rPr>
        <w:t xml:space="preserve">To better understand the finding that Latinx patients were less likely to receive opioid medications and mental health treatments (ARDs = -7.5% to -3.3%; </w:t>
      </w:r>
      <w:proofErr w:type="spellStart"/>
      <w:r w:rsidRPr="00107286">
        <w:rPr>
          <w:rFonts w:ascii="Arial" w:hAnsi="Arial" w:cs="Arial"/>
          <w:i/>
          <w:iCs/>
          <w:sz w:val="20"/>
          <w:szCs w:val="20"/>
        </w:rPr>
        <w:t>p</w:t>
      </w:r>
      <w:r w:rsidRPr="00107286">
        <w:rPr>
          <w:rFonts w:ascii="Arial" w:hAnsi="Arial" w:cs="Arial"/>
          <w:sz w:val="20"/>
          <w:szCs w:val="20"/>
        </w:rPr>
        <w:t>s</w:t>
      </w:r>
      <w:proofErr w:type="spellEnd"/>
      <w:r w:rsidRPr="00107286">
        <w:rPr>
          <w:rFonts w:ascii="Arial" w:hAnsi="Arial" w:cs="Arial"/>
          <w:sz w:val="20"/>
          <w:szCs w:val="20"/>
        </w:rPr>
        <w:t xml:space="preserve"> &lt;0.0001), we conducted post-hoc exploratory analyses examining prevalence of MH/SUD disorders by race/ethnicity groups. Results showed that compared to non-Latinx White patients, Latinx and Black patients have a lower prevalence of both MH and SUD disorders. Forty-five percent of non-Latinx White, 35% of Latinx, and 32% of Black patients have a MH diagnosis at screening. Similarly, 16% of non-Latinx White, 7% of Latinx, and 11% of Black patients have a SUD diagnosis. Pairwise comparisons of MH and SUD prevalence between Latinx and Black compared to non-Latinx White patients were statistically significant (</w:t>
      </w:r>
      <w:proofErr w:type="spellStart"/>
      <w:r w:rsidRPr="00107286">
        <w:rPr>
          <w:rFonts w:ascii="Arial" w:hAnsi="Arial" w:cs="Arial"/>
          <w:i/>
          <w:iCs/>
          <w:sz w:val="20"/>
          <w:szCs w:val="20"/>
        </w:rPr>
        <w:t>p</w:t>
      </w:r>
      <w:r w:rsidRPr="00107286">
        <w:rPr>
          <w:rFonts w:ascii="Arial" w:hAnsi="Arial" w:cs="Arial"/>
          <w:sz w:val="20"/>
          <w:szCs w:val="20"/>
        </w:rPr>
        <w:t>s</w:t>
      </w:r>
      <w:proofErr w:type="spellEnd"/>
      <w:r w:rsidRPr="00107286">
        <w:rPr>
          <w:rFonts w:ascii="Arial" w:hAnsi="Arial" w:cs="Arial"/>
          <w:sz w:val="20"/>
          <w:szCs w:val="20"/>
        </w:rPr>
        <w:t xml:space="preserve"> &lt;0.0001). </w:t>
      </w:r>
    </w:p>
    <w:p w:rsidR="00A05400" w:rsidRPr="006C7684" w:rsidRDefault="00A05400" w:rsidP="00A05400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trike/>
          <w:sz w:val="20"/>
          <w:szCs w:val="20"/>
        </w:rPr>
      </w:pPr>
    </w:p>
    <w:p w:rsidR="00A05400" w:rsidRDefault="00A05400" w:rsidP="00A054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5400" w:rsidRDefault="00A05400" w:rsidP="00A054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05400" w:rsidRPr="00EC6FA2" w:rsidRDefault="00107286" w:rsidP="00A054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6FA2">
        <w:rPr>
          <w:rFonts w:ascii="Arial" w:hAnsi="Arial" w:cs="Arial"/>
          <w:sz w:val="24"/>
          <w:szCs w:val="24"/>
        </w:rPr>
        <w:lastRenderedPageBreak/>
        <w:t xml:space="preserve">Supplemental </w:t>
      </w:r>
      <w:r w:rsidR="00A05400" w:rsidRPr="00EC6FA2">
        <w:rPr>
          <w:rFonts w:ascii="Arial" w:hAnsi="Arial" w:cs="Arial"/>
          <w:sz w:val="24"/>
          <w:szCs w:val="24"/>
        </w:rPr>
        <w:t>Table 2. Demographic characteristics of patients with self-reported chronic pain at chronic pain screening, by presence/timing of documented pain diagnosis (N = 10,091)</w:t>
      </w:r>
    </w:p>
    <w:p w:rsidR="00A05400" w:rsidRDefault="00A05400" w:rsidP="00A0540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620"/>
        <w:gridCol w:w="1710"/>
        <w:gridCol w:w="1800"/>
        <w:gridCol w:w="1620"/>
      </w:tblGrid>
      <w:tr w:rsidR="00A05400" w:rsidRPr="00CA41B8" w:rsidTr="00CE7AE1">
        <w:trPr>
          <w:trHeight w:val="20"/>
          <w:tblHeader/>
        </w:trPr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EC6FA2" w:rsidRDefault="00CE7AE1" w:rsidP="00105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A05400" w:rsidRPr="00EC6FA2">
              <w:rPr>
                <w:rFonts w:ascii="Arial" w:hAnsi="Arial" w:cs="Arial"/>
                <w:bCs/>
                <w:sz w:val="20"/>
                <w:szCs w:val="20"/>
              </w:rPr>
              <w:t xml:space="preserve">Existing pain </w:t>
            </w:r>
            <w:proofErr w:type="spellStart"/>
            <w:r w:rsidR="00A05400" w:rsidRPr="00EC6FA2">
              <w:rPr>
                <w:rFonts w:ascii="Arial" w:hAnsi="Arial" w:cs="Arial"/>
                <w:bCs/>
                <w:sz w:val="20"/>
                <w:szCs w:val="20"/>
              </w:rPr>
              <w:t>diagnosis</w:t>
            </w:r>
            <w:r w:rsidRPr="00EC6FA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  <w:p w:rsidR="00A05400" w:rsidRPr="00EC6FA2" w:rsidRDefault="00A05400" w:rsidP="00105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(n=5,763)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EC6FA2" w:rsidRDefault="00A05400" w:rsidP="00CE7A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t xml:space="preserve">Newly documented pain </w:t>
            </w:r>
            <w:proofErr w:type="spellStart"/>
            <w:r w:rsidRPr="00EC6FA2">
              <w:rPr>
                <w:rFonts w:ascii="Arial" w:hAnsi="Arial" w:cs="Arial"/>
                <w:bCs/>
                <w:sz w:val="20"/>
                <w:szCs w:val="20"/>
              </w:rPr>
              <w:t>diagnosis</w:t>
            </w:r>
            <w:r w:rsidR="00CE7AE1" w:rsidRPr="00EC6FA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b</w:t>
            </w:r>
            <w:proofErr w:type="spellEnd"/>
            <w:r w:rsidRPr="00EC6FA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EC6FA2">
              <w:rPr>
                <w:rFonts w:ascii="Arial" w:hAnsi="Arial" w:cs="Arial"/>
                <w:sz w:val="20"/>
                <w:szCs w:val="20"/>
              </w:rPr>
              <w:t>(n=2,282)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EC6FA2" w:rsidRDefault="00CE7AE1" w:rsidP="00CE7A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A05400" w:rsidRPr="00EC6FA2">
              <w:rPr>
                <w:rFonts w:ascii="Arial" w:hAnsi="Arial" w:cs="Arial"/>
                <w:bCs/>
                <w:sz w:val="20"/>
                <w:szCs w:val="20"/>
              </w:rPr>
              <w:t xml:space="preserve">No documented pain </w:t>
            </w:r>
            <w:proofErr w:type="spellStart"/>
            <w:r w:rsidR="00A05400" w:rsidRPr="00EC6FA2">
              <w:rPr>
                <w:rFonts w:ascii="Arial" w:hAnsi="Arial" w:cs="Arial"/>
                <w:bCs/>
                <w:sz w:val="20"/>
                <w:szCs w:val="20"/>
              </w:rPr>
              <w:t>diagnosis</w:t>
            </w:r>
            <w:r w:rsidRPr="00EC6FA2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proofErr w:type="spellEnd"/>
            <w:r w:rsidR="00A05400" w:rsidRPr="00EC6FA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A05400" w:rsidRPr="00EC6FA2">
              <w:rPr>
                <w:rFonts w:ascii="Arial" w:hAnsi="Arial" w:cs="Arial"/>
                <w:sz w:val="20"/>
                <w:szCs w:val="20"/>
              </w:rPr>
              <w:t>(n=2,046)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single" w:sz="4" w:space="0" w:color="auto"/>
            </w:tcBorders>
            <w:hideMark/>
          </w:tcPr>
          <w:p w:rsidR="00A05400" w:rsidRPr="00EC6FA2" w:rsidRDefault="00CE7AE1" w:rsidP="001057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A05400" w:rsidRPr="00EC6FA2">
              <w:rPr>
                <w:rFonts w:ascii="Arial" w:hAnsi="Arial" w:cs="Arial"/>
                <w:bCs/>
                <w:sz w:val="20"/>
                <w:szCs w:val="20"/>
              </w:rPr>
              <w:t>Total</w:t>
            </w:r>
            <w:r w:rsidR="00A05400" w:rsidRPr="00EC6FA2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</w:t>
            </w:r>
            <w:r w:rsidR="00A05400" w:rsidRPr="00EC6FA2">
              <w:rPr>
                <w:rFonts w:ascii="Arial" w:hAnsi="Arial" w:cs="Arial"/>
                <w:sz w:val="20"/>
                <w:szCs w:val="20"/>
              </w:rPr>
              <w:t>(N=10,091)</w:t>
            </w:r>
          </w:p>
        </w:tc>
      </w:tr>
      <w:tr w:rsidR="00A05400" w:rsidRPr="00CA41B8" w:rsidTr="00CE7AE1">
        <w:trPr>
          <w:trHeight w:val="98"/>
        </w:trPr>
        <w:tc>
          <w:tcPr>
            <w:tcW w:w="2700" w:type="dxa"/>
            <w:tcBorders>
              <w:top w:val="single" w:sz="4" w:space="0" w:color="auto"/>
            </w:tcBorders>
          </w:tcPr>
          <w:p w:rsidR="00A05400" w:rsidRPr="00EC6FA2" w:rsidRDefault="00A05400" w:rsidP="001057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</w:tcBorders>
          </w:tcPr>
          <w:p w:rsidR="00A05400" w:rsidRPr="008E6667" w:rsidRDefault="00A05400" w:rsidP="00105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8E666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E6667">
              <w:rPr>
                <w:rFonts w:ascii="Arial" w:hAnsi="Arial" w:cs="Arial"/>
                <w:i/>
                <w:iCs/>
                <w:sz w:val="20"/>
                <w:szCs w:val="20"/>
              </w:rPr>
              <w:t>SD</w:t>
            </w:r>
            <w:r w:rsidRPr="008E6667">
              <w:rPr>
                <w:rFonts w:ascii="Arial" w:hAnsi="Arial" w:cs="Arial"/>
                <w:sz w:val="20"/>
                <w:szCs w:val="20"/>
              </w:rPr>
              <w:t>) or N (%)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t>Age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18-34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629 (10.9%)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539 (23.6%)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515 (25.2%)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1,683 (16.7%)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35-54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2,673 (46.4%)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1,079 (47.3%)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847 (41.4%)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4,599 (45.6%)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55-64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1,693 (29.4%)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492 (21.6%)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474 (23.2%)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2,659 (26.4%)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≥65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768 (13.3%)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172 (7.5%)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210 (10.3%)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1,150 (11.4%)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EC6FA2" w:rsidP="00EC6F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t>Sex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2,111 (36.6%)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997 (43.7%)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901 (44.0%)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4,009 (39.7%)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3,652 (63.4%)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1,285 (56.3%)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1,145 (56.0%)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6,082 (60.3%)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t>Race/Ethnicity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Latinx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2,539 (44.1%)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934 (40.9%)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679 (33.2%)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4,152 (41.1%)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Non-Latinx Black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655 (11.4%)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252 (11.0%)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217 (10.6%)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1,124 (11.1%)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Non-Latinx White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2,015 (35.0%)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751 (32.9%)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846 (41.3%)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3,612 (35.8%)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Non-Latinx Other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317 (5.5%)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188 (8.2%)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157 (7.7%)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662 (6.6%)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237 (4.1%)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157 (6.9%)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147 (7.2%)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541 (5.4%)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Medicaid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3487 (60.5%)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1,528 (67.0%)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1,238 (60.5%)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6,253 (62.0%)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Medicare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984 (17.1%)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214 (9.4%)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276 (13.5%)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1,474 (14.6%)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1,008 (17.5%)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352 (15.4%)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354 (17.3%)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1,714 (17.0%)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Other Public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 (0.0%)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5 (0.2%)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 (0.3%)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14 (0.1%)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Uninsured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282 (4.9%)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183 (8.0%)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171 (8.4%)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636 (6.3%)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t>Preferred Language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4,501 (78.1%)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1,844 (80.8%)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1,738 (84.9%)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8,083 (80.1%)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1,111 (19.3%)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382 (16.7%)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267 (13%)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1,760 (17.4%)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hideMark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151 (2.6%)</w:t>
            </w:r>
          </w:p>
        </w:tc>
        <w:tc>
          <w:tcPr>
            <w:tcW w:w="171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56 (2.5%)</w:t>
            </w:r>
          </w:p>
        </w:tc>
        <w:tc>
          <w:tcPr>
            <w:tcW w:w="180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41 (2.0%)</w:t>
            </w:r>
          </w:p>
        </w:tc>
        <w:tc>
          <w:tcPr>
            <w:tcW w:w="1620" w:type="dxa"/>
            <w:hideMark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248 (2.5%)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t>PEG scores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 xml:space="preserve">Total PEG 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7.2 (2.1)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7.0 (2.2)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6.2 (2.4)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7.0 (2.2)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Pain intensity (P)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7.4 (1.9)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7.4 (2.0)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6.7 (2.1)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7.2 (2.0)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Interference with life enjoyment (E)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7.0 (2.7)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6.8 (2.8)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5.9 (3.0)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6.8 (2.8)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Interference with general activity (G)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7.2 (2.5)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6.9 (2.7)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6.0 (3.0)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6.9 (2.7)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-1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t>Pain conditions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Cancer pain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5 (0.1%)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Chronic pain condition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2,876 (49.9%)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671 (29.4%)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Fibromyalgia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310 (5.4%)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49 (2.1%)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Headaches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1,005 (17.4%)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246 (10.8%)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Low back pain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2,344 (40.7%)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714 (31.3%)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Neuropathic pain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78 (1.4%)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19 (0.8%)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Non-lumbar back pain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1,696 (29.4%)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413 (18.1%)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 xml:space="preserve">Pain </w:t>
            </w:r>
            <w:r w:rsidRPr="00EC6FA2">
              <w:rPr>
                <w:rFonts w:ascii="Arial" w:hAnsi="Arial" w:cs="Arial"/>
                <w:sz w:val="20"/>
                <w:szCs w:val="20"/>
              </w:rPr>
              <w:t xml:space="preserve">≥1 </w:t>
            </w: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joints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3,740 (64.9%)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1,069 (46.8%)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Rheumatologic condition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287 (5%)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58 (2.5%)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Other pain conditions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945 (16.4%)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000000"/>
                <w:sz w:val="20"/>
                <w:szCs w:val="20"/>
              </w:rPr>
              <w:t>177 (7.8%)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107286" w:rsidP="00105795">
            <w:pPr>
              <w:ind w:left="-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br/>
            </w:r>
            <w:proofErr w:type="spellStart"/>
            <w:r w:rsidR="00A05400" w:rsidRPr="00EC6F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Charlson</w:t>
            </w:r>
            <w:proofErr w:type="spellEnd"/>
            <w:r w:rsidR="00A05400" w:rsidRPr="00EC6F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Comorbidity </w:t>
            </w:r>
            <w:proofErr w:type="spellStart"/>
            <w:r w:rsidR="00A05400" w:rsidRPr="00EC6F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Index</w:t>
            </w:r>
            <w:r w:rsidR="00CE7AE1" w:rsidRPr="00EC6FA2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2,804 (48.7%)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1,540 (67.5%)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1,239 (60.6%)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5,583 (55.3%)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2,491 (43.2%)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668 (29.3%)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700 (34.2%)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3,859 (38.2%)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326 (5.7%)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54 (2.4%)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73 (3.6%)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453 (4.5%)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142 (2.5%)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20 (0.9%)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34 (1.7%)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196 (1.9%)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-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Mental health (MH) diagnosis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Any mental health disorder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2,941 (51.0%)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839 (36.8%)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840 (41.1%)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4,620 (45.8%)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Anxiety disorder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1,366 (23.7%)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384 (16.8%)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367 (17.9%)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2,117 (21.0%)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Bipolar/psychotic disorder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476 (8.3%)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130 (5.7%)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158 (7.7%)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764 (7.6%)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Depression disorder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1,565 (27.2%)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400 (17.5%)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400 (19.6%)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2,365 (23.4%)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Other mental health disorder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1,409 (24.4%)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341 (14.9%)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363 (17.7%)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2,113 (20.9%)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vAlign w:val="bottom"/>
          </w:tcPr>
          <w:p w:rsidR="00A05400" w:rsidRPr="00EC6FA2" w:rsidRDefault="00A05400" w:rsidP="00105795">
            <w:pPr>
              <w:ind w:left="-15" w:firstLine="1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Substance use disorder (SUD) diagnosis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Any substance use disorder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895 (15.5%)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289 (12.7%)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324 (15.8%)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1,508 (14.9%)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Opioid use disorder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423 (7.3%)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109 (4.8%)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135 (6.6%)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667 (6.6%)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Alcohol use disorder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382 (6.6%)</w:t>
            </w:r>
          </w:p>
        </w:tc>
        <w:tc>
          <w:tcPr>
            <w:tcW w:w="171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138 (6.0%)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145 (7.1%)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sz w:val="20"/>
                <w:szCs w:val="20"/>
              </w:rPr>
              <w:t>665 (6.6%)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sz w:val="20"/>
                <w:szCs w:val="20"/>
              </w:rPr>
              <w:t>Other substance use disorder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333333"/>
                <w:sz w:val="20"/>
                <w:szCs w:val="20"/>
              </w:rPr>
              <w:t>358 (6.2%)</w:t>
            </w: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333333"/>
                <w:sz w:val="20"/>
                <w:szCs w:val="20"/>
              </w:rPr>
              <w:t>112 (4.9%)</w:t>
            </w: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333333"/>
                <w:sz w:val="20"/>
                <w:szCs w:val="20"/>
              </w:rPr>
              <w:t>117 (5.7%)</w:t>
            </w: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333333"/>
                <w:sz w:val="20"/>
                <w:szCs w:val="20"/>
              </w:rPr>
              <w:t>587 (5.8%)</w:t>
            </w: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</w:tcPr>
          <w:p w:rsidR="00A05400" w:rsidRPr="00EC6FA2" w:rsidRDefault="00A05400" w:rsidP="00105795">
            <w:pPr>
              <w:ind w:left="-15"/>
              <w:rPr>
                <w:rFonts w:ascii="Arial" w:hAnsi="Arial" w:cs="Arial"/>
                <w:sz w:val="20"/>
                <w:szCs w:val="20"/>
              </w:rPr>
            </w:pPr>
            <w:r w:rsidRPr="00EC6FA2">
              <w:rPr>
                <w:rFonts w:ascii="Arial" w:hAnsi="Arial" w:cs="Arial"/>
                <w:bCs/>
                <w:sz w:val="20"/>
                <w:szCs w:val="20"/>
              </w:rPr>
              <w:t>Any MH/SUD diagnosis</w:t>
            </w:r>
          </w:p>
        </w:tc>
        <w:tc>
          <w:tcPr>
            <w:tcW w:w="162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400" w:rsidRPr="00CA41B8" w:rsidTr="00CE7AE1">
        <w:trPr>
          <w:trHeight w:val="20"/>
        </w:trPr>
        <w:tc>
          <w:tcPr>
            <w:tcW w:w="2700" w:type="dxa"/>
            <w:tcBorders>
              <w:bottom w:val="single" w:sz="4" w:space="0" w:color="auto"/>
            </w:tcBorders>
          </w:tcPr>
          <w:p w:rsidR="00A05400" w:rsidRPr="00EC6FA2" w:rsidRDefault="00A05400" w:rsidP="00105795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333333"/>
                <w:sz w:val="20"/>
                <w:szCs w:val="20"/>
              </w:rPr>
              <w:t>3,122 (54.2%)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333333"/>
                <w:sz w:val="20"/>
                <w:szCs w:val="20"/>
              </w:rPr>
              <w:t>934 (40.9%)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333333"/>
                <w:sz w:val="20"/>
                <w:szCs w:val="20"/>
              </w:rPr>
              <w:t>936 (45.7%)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05400" w:rsidRPr="008E6667" w:rsidRDefault="00A05400" w:rsidP="00105795">
            <w:pPr>
              <w:rPr>
                <w:rFonts w:ascii="Arial" w:hAnsi="Arial" w:cs="Arial"/>
                <w:sz w:val="20"/>
                <w:szCs w:val="20"/>
              </w:rPr>
            </w:pPr>
            <w:r w:rsidRPr="008E6667">
              <w:rPr>
                <w:rFonts w:ascii="Arial" w:hAnsi="Arial" w:cs="Arial"/>
                <w:color w:val="333333"/>
                <w:sz w:val="20"/>
                <w:szCs w:val="20"/>
              </w:rPr>
              <w:t>4,992 (49.5%)</w:t>
            </w:r>
          </w:p>
        </w:tc>
      </w:tr>
    </w:tbl>
    <w:p w:rsidR="00A05400" w:rsidRPr="00107286" w:rsidRDefault="00A05400" w:rsidP="00A05400">
      <w:pPr>
        <w:spacing w:after="0" w:line="240" w:lineRule="auto"/>
        <w:rPr>
          <w:rFonts w:ascii="Arial" w:hAnsi="Arial" w:cs="Arial"/>
          <w:sz w:val="18"/>
          <w:szCs w:val="16"/>
        </w:rPr>
      </w:pPr>
      <w:r w:rsidRPr="00107286">
        <w:rPr>
          <w:rFonts w:ascii="Arial" w:hAnsi="Arial" w:cs="Arial"/>
          <w:i/>
          <w:iCs/>
          <w:sz w:val="18"/>
          <w:szCs w:val="16"/>
        </w:rPr>
        <w:t>Notes</w:t>
      </w:r>
      <w:r w:rsidRPr="00107286">
        <w:rPr>
          <w:rFonts w:ascii="Arial" w:hAnsi="Arial" w:cs="Arial"/>
          <w:sz w:val="18"/>
          <w:szCs w:val="16"/>
        </w:rPr>
        <w:t xml:space="preserve">: </w:t>
      </w:r>
    </w:p>
    <w:p w:rsidR="00A05400" w:rsidRPr="00107286" w:rsidRDefault="00CE7AE1" w:rsidP="00A05400">
      <w:pPr>
        <w:spacing w:after="0" w:line="240" w:lineRule="auto"/>
        <w:rPr>
          <w:rFonts w:ascii="Arial" w:hAnsi="Arial" w:cs="Arial"/>
          <w:sz w:val="18"/>
          <w:szCs w:val="16"/>
        </w:rPr>
      </w:pPr>
      <w:proofErr w:type="spellStart"/>
      <w:r>
        <w:rPr>
          <w:rFonts w:ascii="Arial" w:hAnsi="Arial" w:cs="Arial"/>
          <w:sz w:val="18"/>
          <w:szCs w:val="16"/>
        </w:rPr>
        <w:t>a</w:t>
      </w:r>
      <w:proofErr w:type="spellEnd"/>
      <w:r w:rsidR="00A05400" w:rsidRPr="00107286">
        <w:rPr>
          <w:rFonts w:ascii="Arial" w:hAnsi="Arial" w:cs="Arial"/>
          <w:sz w:val="18"/>
          <w:szCs w:val="16"/>
        </w:rPr>
        <w:t xml:space="preserve"> Existing pain diagnosis:</w:t>
      </w:r>
      <w:r w:rsidR="00A05400" w:rsidRPr="00107286">
        <w:rPr>
          <w:rFonts w:ascii="Arial" w:hAnsi="Arial" w:cs="Arial"/>
          <w:i/>
          <w:iCs/>
          <w:sz w:val="18"/>
          <w:szCs w:val="16"/>
        </w:rPr>
        <w:t xml:space="preserve"> </w:t>
      </w:r>
      <w:r w:rsidR="00A05400" w:rsidRPr="00107286">
        <w:rPr>
          <w:rFonts w:ascii="Arial" w:hAnsi="Arial" w:cs="Arial"/>
          <w:sz w:val="18"/>
          <w:szCs w:val="16"/>
        </w:rPr>
        <w:t xml:space="preserve">Patients with a documented pain diagnosis within one year prior to a </w:t>
      </w:r>
      <w:r w:rsidR="00A05400" w:rsidRPr="00107286">
        <w:rPr>
          <w:rFonts w:ascii="Arial" w:hAnsi="Arial" w:cs="Arial"/>
          <w:sz w:val="18"/>
          <w:szCs w:val="16"/>
        </w:rPr>
        <w:br/>
        <w:t xml:space="preserve">   positive chronic pain screen </w:t>
      </w:r>
    </w:p>
    <w:p w:rsidR="00A05400" w:rsidRPr="00107286" w:rsidRDefault="00CE7AE1" w:rsidP="00A05400">
      <w:pPr>
        <w:spacing w:after="0" w:line="24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b</w:t>
      </w:r>
      <w:r w:rsidR="00A05400" w:rsidRPr="00107286">
        <w:rPr>
          <w:rFonts w:ascii="Arial" w:hAnsi="Arial" w:cs="Arial"/>
          <w:sz w:val="18"/>
          <w:szCs w:val="16"/>
        </w:rPr>
        <w:t xml:space="preserve"> Newly documented pain diagnosis: Patients with a newly documented chronic pain diagnosis in the EHR on the </w:t>
      </w:r>
      <w:r w:rsidR="00A05400" w:rsidRPr="00107286">
        <w:rPr>
          <w:rFonts w:ascii="Arial" w:hAnsi="Arial" w:cs="Arial"/>
          <w:sz w:val="18"/>
          <w:szCs w:val="16"/>
        </w:rPr>
        <w:br/>
        <w:t xml:space="preserve">   day of screening or within 90 days post-screening.</w:t>
      </w:r>
      <w:r w:rsidR="00A05400" w:rsidRPr="00107286">
        <w:rPr>
          <w:rFonts w:ascii="Arial" w:hAnsi="Arial" w:cs="Arial"/>
          <w:sz w:val="18"/>
          <w:szCs w:val="16"/>
        </w:rPr>
        <w:br/>
      </w:r>
      <w:r>
        <w:rPr>
          <w:rFonts w:ascii="Arial" w:hAnsi="Arial" w:cs="Arial"/>
          <w:sz w:val="18"/>
          <w:szCs w:val="16"/>
        </w:rPr>
        <w:t>c</w:t>
      </w:r>
      <w:r w:rsidR="00A05400" w:rsidRPr="00107286">
        <w:rPr>
          <w:rFonts w:ascii="Arial" w:hAnsi="Arial" w:cs="Arial"/>
          <w:sz w:val="18"/>
          <w:szCs w:val="16"/>
        </w:rPr>
        <w:t xml:space="preserve"> No documented pain diagnosis: Patients with no documented pai</w:t>
      </w:r>
      <w:r>
        <w:rPr>
          <w:rFonts w:ascii="Arial" w:hAnsi="Arial" w:cs="Arial"/>
          <w:sz w:val="18"/>
          <w:szCs w:val="16"/>
        </w:rPr>
        <w:t xml:space="preserve">n diagnosis in either period. </w:t>
      </w:r>
      <w:r>
        <w:rPr>
          <w:rFonts w:ascii="Arial" w:hAnsi="Arial" w:cs="Arial"/>
          <w:sz w:val="18"/>
          <w:szCs w:val="16"/>
        </w:rPr>
        <w:br/>
        <w:t>d</w:t>
      </w:r>
      <w:r w:rsidR="00A05400" w:rsidRPr="00107286">
        <w:rPr>
          <w:rFonts w:ascii="Arial" w:hAnsi="Arial" w:cs="Arial"/>
          <w:sz w:val="18"/>
          <w:szCs w:val="16"/>
        </w:rPr>
        <w:t xml:space="preserve"> </w:t>
      </w:r>
      <w:proofErr w:type="spellStart"/>
      <w:r w:rsidR="00A05400" w:rsidRPr="00107286">
        <w:rPr>
          <w:rFonts w:ascii="Arial" w:hAnsi="Arial" w:cs="Arial"/>
          <w:sz w:val="18"/>
          <w:szCs w:val="16"/>
        </w:rPr>
        <w:t>Charlson</w:t>
      </w:r>
      <w:proofErr w:type="spellEnd"/>
      <w:r w:rsidR="00A05400" w:rsidRPr="00107286">
        <w:rPr>
          <w:rFonts w:ascii="Arial" w:hAnsi="Arial" w:cs="Arial"/>
          <w:sz w:val="18"/>
          <w:szCs w:val="16"/>
        </w:rPr>
        <w:t xml:space="preserve"> Comorbidity Index.  Weighted index of diagnoses codes; higher weights indicate more severe morbidity. </w:t>
      </w: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5400" w:rsidRDefault="00A05400" w:rsidP="00A054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79B" w:rsidRDefault="0001479B"/>
    <w:sectPr w:rsidR="0001479B" w:rsidSect="00A05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48" w:rsidRDefault="00496348" w:rsidP="00496348">
      <w:pPr>
        <w:spacing w:after="0" w:line="240" w:lineRule="auto"/>
      </w:pPr>
      <w:r>
        <w:separator/>
      </w:r>
    </w:p>
  </w:endnote>
  <w:endnote w:type="continuationSeparator" w:id="0">
    <w:p w:rsidR="00496348" w:rsidRDefault="00496348" w:rsidP="0049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48" w:rsidRDefault="00496348" w:rsidP="00496348">
      <w:pPr>
        <w:spacing w:after="0" w:line="240" w:lineRule="auto"/>
      </w:pPr>
      <w:r>
        <w:separator/>
      </w:r>
    </w:p>
  </w:footnote>
  <w:footnote w:type="continuationSeparator" w:id="0">
    <w:p w:rsidR="00496348" w:rsidRDefault="00496348" w:rsidP="0049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2588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6348" w:rsidRDefault="0049634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F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6348" w:rsidRDefault="004963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00"/>
    <w:rsid w:val="0000574B"/>
    <w:rsid w:val="00006957"/>
    <w:rsid w:val="00006B68"/>
    <w:rsid w:val="00011578"/>
    <w:rsid w:val="00013954"/>
    <w:rsid w:val="0001479B"/>
    <w:rsid w:val="00017104"/>
    <w:rsid w:val="00017919"/>
    <w:rsid w:val="0002234E"/>
    <w:rsid w:val="000236F7"/>
    <w:rsid w:val="000249FE"/>
    <w:rsid w:val="000330EB"/>
    <w:rsid w:val="00033187"/>
    <w:rsid w:val="00033696"/>
    <w:rsid w:val="0003481A"/>
    <w:rsid w:val="00041DD7"/>
    <w:rsid w:val="000534D6"/>
    <w:rsid w:val="00053712"/>
    <w:rsid w:val="0005774B"/>
    <w:rsid w:val="00060484"/>
    <w:rsid w:val="00060DD1"/>
    <w:rsid w:val="00061AD5"/>
    <w:rsid w:val="0006647F"/>
    <w:rsid w:val="00075276"/>
    <w:rsid w:val="00075BB9"/>
    <w:rsid w:val="000801C3"/>
    <w:rsid w:val="000803D3"/>
    <w:rsid w:val="00081038"/>
    <w:rsid w:val="00082289"/>
    <w:rsid w:val="000A0B71"/>
    <w:rsid w:val="000A4E50"/>
    <w:rsid w:val="000A5C37"/>
    <w:rsid w:val="000A767D"/>
    <w:rsid w:val="000B3587"/>
    <w:rsid w:val="000B480E"/>
    <w:rsid w:val="000B5D46"/>
    <w:rsid w:val="000B5E66"/>
    <w:rsid w:val="000B5F8A"/>
    <w:rsid w:val="000C132D"/>
    <w:rsid w:val="000C382C"/>
    <w:rsid w:val="000C44C3"/>
    <w:rsid w:val="000D1CCF"/>
    <w:rsid w:val="000D48C3"/>
    <w:rsid w:val="000D49D8"/>
    <w:rsid w:val="000E3465"/>
    <w:rsid w:val="000E3DA6"/>
    <w:rsid w:val="000F12A0"/>
    <w:rsid w:val="000F2607"/>
    <w:rsid w:val="000F63DB"/>
    <w:rsid w:val="00106F6C"/>
    <w:rsid w:val="00107286"/>
    <w:rsid w:val="00111481"/>
    <w:rsid w:val="0011455D"/>
    <w:rsid w:val="0011511A"/>
    <w:rsid w:val="001252AA"/>
    <w:rsid w:val="00130F63"/>
    <w:rsid w:val="00136962"/>
    <w:rsid w:val="001413D0"/>
    <w:rsid w:val="00145D92"/>
    <w:rsid w:val="00147CB4"/>
    <w:rsid w:val="0015035A"/>
    <w:rsid w:val="00153CB2"/>
    <w:rsid w:val="0015638E"/>
    <w:rsid w:val="0016139C"/>
    <w:rsid w:val="00167173"/>
    <w:rsid w:val="00172A56"/>
    <w:rsid w:val="00176F5C"/>
    <w:rsid w:val="00181819"/>
    <w:rsid w:val="00184877"/>
    <w:rsid w:val="001864F1"/>
    <w:rsid w:val="00192254"/>
    <w:rsid w:val="0019381C"/>
    <w:rsid w:val="00193A3D"/>
    <w:rsid w:val="001A00F6"/>
    <w:rsid w:val="001A4EE4"/>
    <w:rsid w:val="001A51EE"/>
    <w:rsid w:val="001A5435"/>
    <w:rsid w:val="001B0201"/>
    <w:rsid w:val="001B0A7A"/>
    <w:rsid w:val="001B39A0"/>
    <w:rsid w:val="001B5EEC"/>
    <w:rsid w:val="001C2BAB"/>
    <w:rsid w:val="001C4207"/>
    <w:rsid w:val="001D044D"/>
    <w:rsid w:val="001D4DFB"/>
    <w:rsid w:val="001D6F6D"/>
    <w:rsid w:val="001E24C4"/>
    <w:rsid w:val="001F3C9F"/>
    <w:rsid w:val="001F3DB4"/>
    <w:rsid w:val="0020081E"/>
    <w:rsid w:val="00203EED"/>
    <w:rsid w:val="002043BC"/>
    <w:rsid w:val="002053B4"/>
    <w:rsid w:val="00206564"/>
    <w:rsid w:val="00214D18"/>
    <w:rsid w:val="00216AAF"/>
    <w:rsid w:val="0022235A"/>
    <w:rsid w:val="00224C9D"/>
    <w:rsid w:val="00225BF7"/>
    <w:rsid w:val="0023266C"/>
    <w:rsid w:val="002377D8"/>
    <w:rsid w:val="00243DAE"/>
    <w:rsid w:val="002475F8"/>
    <w:rsid w:val="00263770"/>
    <w:rsid w:val="002817E4"/>
    <w:rsid w:val="00293412"/>
    <w:rsid w:val="00295853"/>
    <w:rsid w:val="002972C1"/>
    <w:rsid w:val="002A0FA0"/>
    <w:rsid w:val="002A1C58"/>
    <w:rsid w:val="002A2BF9"/>
    <w:rsid w:val="002A600E"/>
    <w:rsid w:val="002A7EE7"/>
    <w:rsid w:val="002B0196"/>
    <w:rsid w:val="002B03A0"/>
    <w:rsid w:val="002B0584"/>
    <w:rsid w:val="002B1545"/>
    <w:rsid w:val="002C5810"/>
    <w:rsid w:val="002D41B9"/>
    <w:rsid w:val="002D4B6C"/>
    <w:rsid w:val="002D4E82"/>
    <w:rsid w:val="002D7C02"/>
    <w:rsid w:val="002E64FF"/>
    <w:rsid w:val="002F19AA"/>
    <w:rsid w:val="002F20F9"/>
    <w:rsid w:val="00301D0A"/>
    <w:rsid w:val="003073E0"/>
    <w:rsid w:val="00307831"/>
    <w:rsid w:val="00310617"/>
    <w:rsid w:val="00321A29"/>
    <w:rsid w:val="003238C0"/>
    <w:rsid w:val="00324907"/>
    <w:rsid w:val="00324BCD"/>
    <w:rsid w:val="00335D71"/>
    <w:rsid w:val="00341069"/>
    <w:rsid w:val="00342CCC"/>
    <w:rsid w:val="003467DE"/>
    <w:rsid w:val="003509B4"/>
    <w:rsid w:val="00350BB8"/>
    <w:rsid w:val="00363B4E"/>
    <w:rsid w:val="003655EA"/>
    <w:rsid w:val="0037307F"/>
    <w:rsid w:val="0038250C"/>
    <w:rsid w:val="00384668"/>
    <w:rsid w:val="00385669"/>
    <w:rsid w:val="00385A94"/>
    <w:rsid w:val="0039018D"/>
    <w:rsid w:val="00392412"/>
    <w:rsid w:val="00394835"/>
    <w:rsid w:val="00396057"/>
    <w:rsid w:val="003A111F"/>
    <w:rsid w:val="003A119A"/>
    <w:rsid w:val="003A2D05"/>
    <w:rsid w:val="003B39A4"/>
    <w:rsid w:val="003B7ECB"/>
    <w:rsid w:val="003C1E77"/>
    <w:rsid w:val="003C2B43"/>
    <w:rsid w:val="003C2C30"/>
    <w:rsid w:val="003C5C82"/>
    <w:rsid w:val="003C77C5"/>
    <w:rsid w:val="003C7CEE"/>
    <w:rsid w:val="003E1F7D"/>
    <w:rsid w:val="003E6A03"/>
    <w:rsid w:val="003F1967"/>
    <w:rsid w:val="003F7215"/>
    <w:rsid w:val="004007B2"/>
    <w:rsid w:val="0040121C"/>
    <w:rsid w:val="0040537D"/>
    <w:rsid w:val="00405784"/>
    <w:rsid w:val="0040749B"/>
    <w:rsid w:val="00413654"/>
    <w:rsid w:val="00413C10"/>
    <w:rsid w:val="00415F2B"/>
    <w:rsid w:val="00415FFE"/>
    <w:rsid w:val="00417366"/>
    <w:rsid w:val="00423001"/>
    <w:rsid w:val="0044166A"/>
    <w:rsid w:val="00444B54"/>
    <w:rsid w:val="00446869"/>
    <w:rsid w:val="00446D47"/>
    <w:rsid w:val="00457C39"/>
    <w:rsid w:val="004637E4"/>
    <w:rsid w:val="00467347"/>
    <w:rsid w:val="00471909"/>
    <w:rsid w:val="00473DE0"/>
    <w:rsid w:val="00476923"/>
    <w:rsid w:val="00486658"/>
    <w:rsid w:val="00496348"/>
    <w:rsid w:val="004A708F"/>
    <w:rsid w:val="004B1F9D"/>
    <w:rsid w:val="004B236C"/>
    <w:rsid w:val="004B388E"/>
    <w:rsid w:val="004B535C"/>
    <w:rsid w:val="004C018A"/>
    <w:rsid w:val="004C1215"/>
    <w:rsid w:val="004C298B"/>
    <w:rsid w:val="004C3C4C"/>
    <w:rsid w:val="004D7292"/>
    <w:rsid w:val="004D7B13"/>
    <w:rsid w:val="004E4A6A"/>
    <w:rsid w:val="004E734A"/>
    <w:rsid w:val="004F0796"/>
    <w:rsid w:val="004F0D2C"/>
    <w:rsid w:val="004F68AE"/>
    <w:rsid w:val="00500C5B"/>
    <w:rsid w:val="00511857"/>
    <w:rsid w:val="005145B3"/>
    <w:rsid w:val="00514856"/>
    <w:rsid w:val="0051757D"/>
    <w:rsid w:val="0052326F"/>
    <w:rsid w:val="005272C6"/>
    <w:rsid w:val="0052799E"/>
    <w:rsid w:val="00531745"/>
    <w:rsid w:val="0053247D"/>
    <w:rsid w:val="005353F6"/>
    <w:rsid w:val="00537691"/>
    <w:rsid w:val="00542916"/>
    <w:rsid w:val="0054348B"/>
    <w:rsid w:val="0054758C"/>
    <w:rsid w:val="00547FE1"/>
    <w:rsid w:val="00550CF5"/>
    <w:rsid w:val="00554B9E"/>
    <w:rsid w:val="005633DA"/>
    <w:rsid w:val="00564310"/>
    <w:rsid w:val="00564801"/>
    <w:rsid w:val="00564E2F"/>
    <w:rsid w:val="005663DE"/>
    <w:rsid w:val="005664D6"/>
    <w:rsid w:val="00567862"/>
    <w:rsid w:val="00572978"/>
    <w:rsid w:val="005732CD"/>
    <w:rsid w:val="00577DD7"/>
    <w:rsid w:val="00577DF4"/>
    <w:rsid w:val="00582361"/>
    <w:rsid w:val="00582BEA"/>
    <w:rsid w:val="005877A4"/>
    <w:rsid w:val="00594EF9"/>
    <w:rsid w:val="005967CE"/>
    <w:rsid w:val="00597DA6"/>
    <w:rsid w:val="005A1AA5"/>
    <w:rsid w:val="005A40D6"/>
    <w:rsid w:val="005A4AF7"/>
    <w:rsid w:val="005A56D2"/>
    <w:rsid w:val="005B4596"/>
    <w:rsid w:val="005C4F7C"/>
    <w:rsid w:val="005C5C17"/>
    <w:rsid w:val="005E02AA"/>
    <w:rsid w:val="005E040C"/>
    <w:rsid w:val="005E2914"/>
    <w:rsid w:val="005E6EFF"/>
    <w:rsid w:val="005F17D7"/>
    <w:rsid w:val="005F3923"/>
    <w:rsid w:val="005F5FA5"/>
    <w:rsid w:val="005F7E2B"/>
    <w:rsid w:val="0060398A"/>
    <w:rsid w:val="00606B91"/>
    <w:rsid w:val="00606EA3"/>
    <w:rsid w:val="00610B83"/>
    <w:rsid w:val="00612001"/>
    <w:rsid w:val="00614DD9"/>
    <w:rsid w:val="006157BF"/>
    <w:rsid w:val="006237FB"/>
    <w:rsid w:val="00624044"/>
    <w:rsid w:val="00626CFD"/>
    <w:rsid w:val="0063092E"/>
    <w:rsid w:val="00631B89"/>
    <w:rsid w:val="00642926"/>
    <w:rsid w:val="00644E18"/>
    <w:rsid w:val="00644ECD"/>
    <w:rsid w:val="00645EE0"/>
    <w:rsid w:val="006471B9"/>
    <w:rsid w:val="006476D8"/>
    <w:rsid w:val="00650807"/>
    <w:rsid w:val="00655B84"/>
    <w:rsid w:val="006560A5"/>
    <w:rsid w:val="006625EE"/>
    <w:rsid w:val="00662D74"/>
    <w:rsid w:val="00664580"/>
    <w:rsid w:val="006662B4"/>
    <w:rsid w:val="00672B78"/>
    <w:rsid w:val="00673EB1"/>
    <w:rsid w:val="00675CA7"/>
    <w:rsid w:val="00675F91"/>
    <w:rsid w:val="00683DAA"/>
    <w:rsid w:val="006918DB"/>
    <w:rsid w:val="00691B16"/>
    <w:rsid w:val="0069357E"/>
    <w:rsid w:val="00695E9D"/>
    <w:rsid w:val="00697FDE"/>
    <w:rsid w:val="006A23D7"/>
    <w:rsid w:val="006A2DA8"/>
    <w:rsid w:val="006A5059"/>
    <w:rsid w:val="006B4F2D"/>
    <w:rsid w:val="006B7838"/>
    <w:rsid w:val="006C11FD"/>
    <w:rsid w:val="006C12A5"/>
    <w:rsid w:val="006C1D05"/>
    <w:rsid w:val="006C3389"/>
    <w:rsid w:val="006C6E19"/>
    <w:rsid w:val="006C7134"/>
    <w:rsid w:val="006D183A"/>
    <w:rsid w:val="006D3285"/>
    <w:rsid w:val="006E2C82"/>
    <w:rsid w:val="006E2E2C"/>
    <w:rsid w:val="006E3830"/>
    <w:rsid w:val="006E5022"/>
    <w:rsid w:val="006F3554"/>
    <w:rsid w:val="00701382"/>
    <w:rsid w:val="00707EBD"/>
    <w:rsid w:val="00710CF0"/>
    <w:rsid w:val="00712212"/>
    <w:rsid w:val="007153DE"/>
    <w:rsid w:val="00722C8C"/>
    <w:rsid w:val="0072399B"/>
    <w:rsid w:val="007270EC"/>
    <w:rsid w:val="00730A16"/>
    <w:rsid w:val="00734BC4"/>
    <w:rsid w:val="00734E7D"/>
    <w:rsid w:val="00735530"/>
    <w:rsid w:val="00736FA9"/>
    <w:rsid w:val="007432C4"/>
    <w:rsid w:val="00743F9C"/>
    <w:rsid w:val="00745AF0"/>
    <w:rsid w:val="007475EA"/>
    <w:rsid w:val="007522E4"/>
    <w:rsid w:val="00754A28"/>
    <w:rsid w:val="00755F8A"/>
    <w:rsid w:val="00761CCC"/>
    <w:rsid w:val="00762274"/>
    <w:rsid w:val="00767E3C"/>
    <w:rsid w:val="007738E1"/>
    <w:rsid w:val="00776C67"/>
    <w:rsid w:val="007818E0"/>
    <w:rsid w:val="00781C86"/>
    <w:rsid w:val="0078204D"/>
    <w:rsid w:val="007825CD"/>
    <w:rsid w:val="007842CD"/>
    <w:rsid w:val="007872E7"/>
    <w:rsid w:val="0079337C"/>
    <w:rsid w:val="00793696"/>
    <w:rsid w:val="00796B14"/>
    <w:rsid w:val="00797083"/>
    <w:rsid w:val="007A07FB"/>
    <w:rsid w:val="007A1697"/>
    <w:rsid w:val="007A2D55"/>
    <w:rsid w:val="007B5C17"/>
    <w:rsid w:val="007B7C46"/>
    <w:rsid w:val="007C4083"/>
    <w:rsid w:val="007C4743"/>
    <w:rsid w:val="007D2762"/>
    <w:rsid w:val="007E1098"/>
    <w:rsid w:val="007E12DA"/>
    <w:rsid w:val="007E2358"/>
    <w:rsid w:val="007E2E08"/>
    <w:rsid w:val="007E3D50"/>
    <w:rsid w:val="007F24DE"/>
    <w:rsid w:val="007F2EF1"/>
    <w:rsid w:val="00806643"/>
    <w:rsid w:val="00806AB3"/>
    <w:rsid w:val="008134A4"/>
    <w:rsid w:val="00813E9E"/>
    <w:rsid w:val="00817D21"/>
    <w:rsid w:val="008219A4"/>
    <w:rsid w:val="00823796"/>
    <w:rsid w:val="00826D8F"/>
    <w:rsid w:val="00837B01"/>
    <w:rsid w:val="008450D5"/>
    <w:rsid w:val="008464C4"/>
    <w:rsid w:val="008548CD"/>
    <w:rsid w:val="0085574E"/>
    <w:rsid w:val="008578D2"/>
    <w:rsid w:val="008631D3"/>
    <w:rsid w:val="00865211"/>
    <w:rsid w:val="008660E1"/>
    <w:rsid w:val="00867A5B"/>
    <w:rsid w:val="0087135B"/>
    <w:rsid w:val="008756F7"/>
    <w:rsid w:val="00877684"/>
    <w:rsid w:val="008800D4"/>
    <w:rsid w:val="00880E9A"/>
    <w:rsid w:val="00884DD1"/>
    <w:rsid w:val="008856B2"/>
    <w:rsid w:val="00886D0F"/>
    <w:rsid w:val="00891052"/>
    <w:rsid w:val="00893C53"/>
    <w:rsid w:val="00894004"/>
    <w:rsid w:val="008977A5"/>
    <w:rsid w:val="008A39F6"/>
    <w:rsid w:val="008A6483"/>
    <w:rsid w:val="008A6AE3"/>
    <w:rsid w:val="008B215E"/>
    <w:rsid w:val="008C496C"/>
    <w:rsid w:val="008C6F9F"/>
    <w:rsid w:val="008E1BCF"/>
    <w:rsid w:val="008E5E13"/>
    <w:rsid w:val="008E762D"/>
    <w:rsid w:val="008F420C"/>
    <w:rsid w:val="008F443A"/>
    <w:rsid w:val="008F6573"/>
    <w:rsid w:val="00900E86"/>
    <w:rsid w:val="00901371"/>
    <w:rsid w:val="00901704"/>
    <w:rsid w:val="00902127"/>
    <w:rsid w:val="009040A6"/>
    <w:rsid w:val="00904877"/>
    <w:rsid w:val="009162C9"/>
    <w:rsid w:val="009178CD"/>
    <w:rsid w:val="009200BD"/>
    <w:rsid w:val="00921535"/>
    <w:rsid w:val="00921AF2"/>
    <w:rsid w:val="00923747"/>
    <w:rsid w:val="0092413B"/>
    <w:rsid w:val="0092600C"/>
    <w:rsid w:val="009260CA"/>
    <w:rsid w:val="0093441F"/>
    <w:rsid w:val="00934C80"/>
    <w:rsid w:val="00935245"/>
    <w:rsid w:val="00945263"/>
    <w:rsid w:val="0095146A"/>
    <w:rsid w:val="0095153C"/>
    <w:rsid w:val="0095207F"/>
    <w:rsid w:val="00954649"/>
    <w:rsid w:val="009554C4"/>
    <w:rsid w:val="0096162E"/>
    <w:rsid w:val="00961A84"/>
    <w:rsid w:val="00964B7C"/>
    <w:rsid w:val="0096639C"/>
    <w:rsid w:val="0096724A"/>
    <w:rsid w:val="00971AD7"/>
    <w:rsid w:val="009723DF"/>
    <w:rsid w:val="0097781D"/>
    <w:rsid w:val="0098226F"/>
    <w:rsid w:val="009847C3"/>
    <w:rsid w:val="00984BEC"/>
    <w:rsid w:val="00984EC7"/>
    <w:rsid w:val="00987FA3"/>
    <w:rsid w:val="00996D73"/>
    <w:rsid w:val="009A26CC"/>
    <w:rsid w:val="009A4727"/>
    <w:rsid w:val="009B17B3"/>
    <w:rsid w:val="009B1CFC"/>
    <w:rsid w:val="009B25F3"/>
    <w:rsid w:val="009B2758"/>
    <w:rsid w:val="009C0D98"/>
    <w:rsid w:val="009C10BA"/>
    <w:rsid w:val="009C1911"/>
    <w:rsid w:val="009C2515"/>
    <w:rsid w:val="009C381E"/>
    <w:rsid w:val="009C575F"/>
    <w:rsid w:val="009D586A"/>
    <w:rsid w:val="009E1188"/>
    <w:rsid w:val="009E1368"/>
    <w:rsid w:val="009F3D11"/>
    <w:rsid w:val="00A05400"/>
    <w:rsid w:val="00A05705"/>
    <w:rsid w:val="00A12F8A"/>
    <w:rsid w:val="00A13836"/>
    <w:rsid w:val="00A1658D"/>
    <w:rsid w:val="00A244A7"/>
    <w:rsid w:val="00A25420"/>
    <w:rsid w:val="00A2716D"/>
    <w:rsid w:val="00A36B04"/>
    <w:rsid w:val="00A4031A"/>
    <w:rsid w:val="00A47063"/>
    <w:rsid w:val="00A63266"/>
    <w:rsid w:val="00A73146"/>
    <w:rsid w:val="00A743F8"/>
    <w:rsid w:val="00A81597"/>
    <w:rsid w:val="00A81F43"/>
    <w:rsid w:val="00A843A5"/>
    <w:rsid w:val="00A8442B"/>
    <w:rsid w:val="00A92F39"/>
    <w:rsid w:val="00A932DF"/>
    <w:rsid w:val="00A9526F"/>
    <w:rsid w:val="00AA393F"/>
    <w:rsid w:val="00AA775F"/>
    <w:rsid w:val="00AA7973"/>
    <w:rsid w:val="00AB6CA6"/>
    <w:rsid w:val="00AB7CC8"/>
    <w:rsid w:val="00AC00FE"/>
    <w:rsid w:val="00AC0491"/>
    <w:rsid w:val="00AD0243"/>
    <w:rsid w:val="00AD398D"/>
    <w:rsid w:val="00AD605D"/>
    <w:rsid w:val="00AE0C38"/>
    <w:rsid w:val="00AE2664"/>
    <w:rsid w:val="00AE4160"/>
    <w:rsid w:val="00B00BA0"/>
    <w:rsid w:val="00B02901"/>
    <w:rsid w:val="00B04EBB"/>
    <w:rsid w:val="00B077B0"/>
    <w:rsid w:val="00B11B16"/>
    <w:rsid w:val="00B201EC"/>
    <w:rsid w:val="00B25EBA"/>
    <w:rsid w:val="00B30A06"/>
    <w:rsid w:val="00B42211"/>
    <w:rsid w:val="00B51B35"/>
    <w:rsid w:val="00B52E3D"/>
    <w:rsid w:val="00B5506E"/>
    <w:rsid w:val="00B64FF4"/>
    <w:rsid w:val="00B652C1"/>
    <w:rsid w:val="00B719B5"/>
    <w:rsid w:val="00B71E37"/>
    <w:rsid w:val="00B72796"/>
    <w:rsid w:val="00B77939"/>
    <w:rsid w:val="00B94309"/>
    <w:rsid w:val="00B9718A"/>
    <w:rsid w:val="00BA1561"/>
    <w:rsid w:val="00BA1566"/>
    <w:rsid w:val="00BA2BCD"/>
    <w:rsid w:val="00BB457B"/>
    <w:rsid w:val="00BC1DA3"/>
    <w:rsid w:val="00BC5420"/>
    <w:rsid w:val="00BD5DD1"/>
    <w:rsid w:val="00BD66C4"/>
    <w:rsid w:val="00BE65E4"/>
    <w:rsid w:val="00BF1707"/>
    <w:rsid w:val="00BF31E7"/>
    <w:rsid w:val="00BF7190"/>
    <w:rsid w:val="00C0282A"/>
    <w:rsid w:val="00C078FA"/>
    <w:rsid w:val="00C1150C"/>
    <w:rsid w:val="00C12768"/>
    <w:rsid w:val="00C12816"/>
    <w:rsid w:val="00C17F28"/>
    <w:rsid w:val="00C228D8"/>
    <w:rsid w:val="00C24393"/>
    <w:rsid w:val="00C24C9B"/>
    <w:rsid w:val="00C3569B"/>
    <w:rsid w:val="00C364F6"/>
    <w:rsid w:val="00C40D84"/>
    <w:rsid w:val="00C459D4"/>
    <w:rsid w:val="00C46560"/>
    <w:rsid w:val="00C50FB0"/>
    <w:rsid w:val="00C51982"/>
    <w:rsid w:val="00C52A39"/>
    <w:rsid w:val="00C52FBF"/>
    <w:rsid w:val="00C537BD"/>
    <w:rsid w:val="00C646B2"/>
    <w:rsid w:val="00C66DAE"/>
    <w:rsid w:val="00C75329"/>
    <w:rsid w:val="00C7686C"/>
    <w:rsid w:val="00C8324F"/>
    <w:rsid w:val="00C83A9E"/>
    <w:rsid w:val="00C8601F"/>
    <w:rsid w:val="00C863A9"/>
    <w:rsid w:val="00C9014E"/>
    <w:rsid w:val="00C9091C"/>
    <w:rsid w:val="00CA6FE7"/>
    <w:rsid w:val="00CB0D98"/>
    <w:rsid w:val="00CB6801"/>
    <w:rsid w:val="00CC1587"/>
    <w:rsid w:val="00CC2F8A"/>
    <w:rsid w:val="00CD51C8"/>
    <w:rsid w:val="00CE2BA5"/>
    <w:rsid w:val="00CE4881"/>
    <w:rsid w:val="00CE7AE1"/>
    <w:rsid w:val="00CE7BD6"/>
    <w:rsid w:val="00CF2043"/>
    <w:rsid w:val="00CF2438"/>
    <w:rsid w:val="00CF24CE"/>
    <w:rsid w:val="00CF2799"/>
    <w:rsid w:val="00CF31E9"/>
    <w:rsid w:val="00D03435"/>
    <w:rsid w:val="00D060BF"/>
    <w:rsid w:val="00D06FE2"/>
    <w:rsid w:val="00D23BB6"/>
    <w:rsid w:val="00D24B10"/>
    <w:rsid w:val="00D35872"/>
    <w:rsid w:val="00D40623"/>
    <w:rsid w:val="00D40996"/>
    <w:rsid w:val="00D41499"/>
    <w:rsid w:val="00D444B1"/>
    <w:rsid w:val="00D53D74"/>
    <w:rsid w:val="00D6052D"/>
    <w:rsid w:val="00D60777"/>
    <w:rsid w:val="00D631AE"/>
    <w:rsid w:val="00D73831"/>
    <w:rsid w:val="00D76885"/>
    <w:rsid w:val="00D76D73"/>
    <w:rsid w:val="00D776EC"/>
    <w:rsid w:val="00D77961"/>
    <w:rsid w:val="00D77F5A"/>
    <w:rsid w:val="00D77FAD"/>
    <w:rsid w:val="00D8513F"/>
    <w:rsid w:val="00D95738"/>
    <w:rsid w:val="00D961E5"/>
    <w:rsid w:val="00DA3546"/>
    <w:rsid w:val="00DA4A5C"/>
    <w:rsid w:val="00DA5A16"/>
    <w:rsid w:val="00DB14E8"/>
    <w:rsid w:val="00DB2098"/>
    <w:rsid w:val="00DB2854"/>
    <w:rsid w:val="00DC261D"/>
    <w:rsid w:val="00DD0884"/>
    <w:rsid w:val="00DD0DAF"/>
    <w:rsid w:val="00DD1152"/>
    <w:rsid w:val="00DD3BC2"/>
    <w:rsid w:val="00DD563F"/>
    <w:rsid w:val="00DE0BA3"/>
    <w:rsid w:val="00DE2C2C"/>
    <w:rsid w:val="00DF0410"/>
    <w:rsid w:val="00DF2FD5"/>
    <w:rsid w:val="00DF3258"/>
    <w:rsid w:val="00DF42F2"/>
    <w:rsid w:val="00DF6A22"/>
    <w:rsid w:val="00E01B6A"/>
    <w:rsid w:val="00E02DDF"/>
    <w:rsid w:val="00E07D52"/>
    <w:rsid w:val="00E10D01"/>
    <w:rsid w:val="00E11600"/>
    <w:rsid w:val="00E130C0"/>
    <w:rsid w:val="00E2037E"/>
    <w:rsid w:val="00E221EB"/>
    <w:rsid w:val="00E274B6"/>
    <w:rsid w:val="00E33289"/>
    <w:rsid w:val="00E34734"/>
    <w:rsid w:val="00E34CF9"/>
    <w:rsid w:val="00E41D77"/>
    <w:rsid w:val="00E451F1"/>
    <w:rsid w:val="00E4694E"/>
    <w:rsid w:val="00E501D4"/>
    <w:rsid w:val="00E50C07"/>
    <w:rsid w:val="00E53A1B"/>
    <w:rsid w:val="00E5762A"/>
    <w:rsid w:val="00E60FC3"/>
    <w:rsid w:val="00E61894"/>
    <w:rsid w:val="00E667EE"/>
    <w:rsid w:val="00E75FD1"/>
    <w:rsid w:val="00E76C7B"/>
    <w:rsid w:val="00E812BE"/>
    <w:rsid w:val="00E94A09"/>
    <w:rsid w:val="00E9608F"/>
    <w:rsid w:val="00EA0656"/>
    <w:rsid w:val="00EA2E12"/>
    <w:rsid w:val="00EB19A3"/>
    <w:rsid w:val="00EC6FA2"/>
    <w:rsid w:val="00ED0F5B"/>
    <w:rsid w:val="00ED1746"/>
    <w:rsid w:val="00EE0D00"/>
    <w:rsid w:val="00EE141F"/>
    <w:rsid w:val="00EE14D8"/>
    <w:rsid w:val="00EE1A16"/>
    <w:rsid w:val="00EF1B71"/>
    <w:rsid w:val="00EF42FD"/>
    <w:rsid w:val="00F0149D"/>
    <w:rsid w:val="00F13454"/>
    <w:rsid w:val="00F146D7"/>
    <w:rsid w:val="00F162F1"/>
    <w:rsid w:val="00F22823"/>
    <w:rsid w:val="00F22CAF"/>
    <w:rsid w:val="00F3221B"/>
    <w:rsid w:val="00F34525"/>
    <w:rsid w:val="00F345B1"/>
    <w:rsid w:val="00F4505C"/>
    <w:rsid w:val="00F5007B"/>
    <w:rsid w:val="00F53DBE"/>
    <w:rsid w:val="00F60D42"/>
    <w:rsid w:val="00F6406B"/>
    <w:rsid w:val="00F64B38"/>
    <w:rsid w:val="00F7529E"/>
    <w:rsid w:val="00F75486"/>
    <w:rsid w:val="00F75959"/>
    <w:rsid w:val="00F8174F"/>
    <w:rsid w:val="00F85DB5"/>
    <w:rsid w:val="00F90FE0"/>
    <w:rsid w:val="00F912D5"/>
    <w:rsid w:val="00F91436"/>
    <w:rsid w:val="00F914B5"/>
    <w:rsid w:val="00FA2E08"/>
    <w:rsid w:val="00FA75A8"/>
    <w:rsid w:val="00FA7F77"/>
    <w:rsid w:val="00FB25D2"/>
    <w:rsid w:val="00FB55AF"/>
    <w:rsid w:val="00FB6A12"/>
    <w:rsid w:val="00FB78E6"/>
    <w:rsid w:val="00FC4F84"/>
    <w:rsid w:val="00FD11CF"/>
    <w:rsid w:val="00FD37FF"/>
    <w:rsid w:val="00FE29C6"/>
    <w:rsid w:val="00FE4A8C"/>
    <w:rsid w:val="00FE61FF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68E7"/>
  <w15:chartTrackingRefBased/>
  <w15:docId w15:val="{22C234FE-5AB4-41DC-A78B-B73F62E8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400"/>
    <w:pPr>
      <w:ind w:left="720"/>
      <w:contextualSpacing/>
    </w:pPr>
  </w:style>
  <w:style w:type="table" w:styleId="TableGrid">
    <w:name w:val="Table Grid"/>
    <w:basedOn w:val="TableNormal"/>
    <w:uiPriority w:val="39"/>
    <w:rsid w:val="00A0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48"/>
  </w:style>
  <w:style w:type="paragraph" w:styleId="Footer">
    <w:name w:val="footer"/>
    <w:basedOn w:val="Normal"/>
    <w:link w:val="FooterChar"/>
    <w:uiPriority w:val="99"/>
    <w:unhideWhenUsed/>
    <w:rsid w:val="00496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Bifulco, Lauren</dc:creator>
  <cp:keywords/>
  <dc:description/>
  <cp:lastModifiedBy>Bifulco, Lauren</cp:lastModifiedBy>
  <cp:revision>7</cp:revision>
  <dcterms:created xsi:type="dcterms:W3CDTF">2021-05-17T19:24:00Z</dcterms:created>
  <dcterms:modified xsi:type="dcterms:W3CDTF">2022-06-07T18:13:00Z</dcterms:modified>
</cp:coreProperties>
</file>