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0473" w14:textId="11078067" w:rsidR="00D832EE" w:rsidRPr="00120A35" w:rsidRDefault="00D832EE" w:rsidP="00D832EE">
      <w:pPr>
        <w:spacing w:line="480" w:lineRule="auto"/>
        <w:rPr>
          <w:rFonts w:ascii="Arial" w:eastAsiaTheme="majorEastAsia" w:hAnsi="Arial" w:cs="Arial"/>
          <w:bCs/>
          <w:sz w:val="24"/>
        </w:rPr>
      </w:pPr>
      <w:r w:rsidRPr="00120A35">
        <w:rPr>
          <w:rFonts w:ascii="Arial" w:eastAsiaTheme="majorEastAsia" w:hAnsi="Arial" w:cs="Arial"/>
          <w:b/>
          <w:sz w:val="24"/>
        </w:rPr>
        <w:t xml:space="preserve">Supplementary Table S1 </w:t>
      </w:r>
      <w:r w:rsidRPr="00120A35">
        <w:rPr>
          <w:rFonts w:ascii="Arial" w:eastAsiaTheme="majorEastAsia" w:hAnsi="Arial" w:cs="Arial"/>
          <w:bCs/>
          <w:sz w:val="24"/>
        </w:rPr>
        <w:t>Binary logistic regression analysis for odds of undergoing at least one disease-specific diagnostic procedure for POAG during the 1-year post-index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1480"/>
        <w:gridCol w:w="1484"/>
        <w:gridCol w:w="1147"/>
        <w:gridCol w:w="1134"/>
        <w:gridCol w:w="1134"/>
        <w:gridCol w:w="1417"/>
        <w:gridCol w:w="1619"/>
      </w:tblGrid>
      <w:tr w:rsidR="005171ED" w:rsidRPr="001E2328" w14:paraId="4B12CFC8" w14:textId="77777777" w:rsidTr="00BE607D">
        <w:trPr>
          <w:trHeight w:val="278"/>
        </w:trPr>
        <w:tc>
          <w:tcPr>
            <w:tcW w:w="3312" w:type="dxa"/>
            <w:vMerge w:val="restart"/>
            <w:noWrap/>
            <w:hideMark/>
          </w:tcPr>
          <w:p w14:paraId="7CBD6DF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</w:p>
          <w:p w14:paraId="0A30065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</w:p>
          <w:p w14:paraId="6F6F928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  <w:lang w:val="en-GB"/>
              </w:rPr>
            </w:pPr>
            <w:r w:rsidRPr="00120A35">
              <w:rPr>
                <w:rFonts w:ascii="Arial" w:eastAsiaTheme="majorEastAsia" w:hAnsi="Arial" w:cs="Arial"/>
                <w:b/>
                <w:sz w:val="24"/>
              </w:rPr>
              <w:t>Variable</w:t>
            </w:r>
          </w:p>
        </w:tc>
        <w:tc>
          <w:tcPr>
            <w:tcW w:w="1480" w:type="dxa"/>
            <w:vMerge w:val="restart"/>
            <w:noWrap/>
            <w:vAlign w:val="bottom"/>
            <w:hideMark/>
          </w:tcPr>
          <w:p w14:paraId="2654AF2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  <w:r w:rsidRPr="00120A35">
              <w:rPr>
                <w:rFonts w:ascii="Arial" w:eastAsiaTheme="majorEastAsia" w:hAnsi="Arial" w:cs="Arial"/>
                <w:b/>
                <w:sz w:val="24"/>
              </w:rPr>
              <w:t>Parameter Estimate</w:t>
            </w:r>
          </w:p>
        </w:tc>
        <w:tc>
          <w:tcPr>
            <w:tcW w:w="1484" w:type="dxa"/>
            <w:vMerge w:val="restart"/>
            <w:noWrap/>
            <w:vAlign w:val="bottom"/>
            <w:hideMark/>
          </w:tcPr>
          <w:p w14:paraId="19D0B69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  <w:r w:rsidRPr="00120A35">
              <w:rPr>
                <w:rFonts w:ascii="Arial" w:eastAsiaTheme="majorEastAsia" w:hAnsi="Arial" w:cs="Arial"/>
                <w:b/>
                <w:sz w:val="24"/>
              </w:rPr>
              <w:t>SE</w:t>
            </w:r>
          </w:p>
        </w:tc>
        <w:tc>
          <w:tcPr>
            <w:tcW w:w="1147" w:type="dxa"/>
            <w:vMerge w:val="restart"/>
            <w:vAlign w:val="bottom"/>
            <w:hideMark/>
          </w:tcPr>
          <w:p w14:paraId="76F9EB5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  <w:r w:rsidRPr="00120A35">
              <w:rPr>
                <w:rFonts w:ascii="Arial" w:eastAsiaTheme="majorEastAsia" w:hAnsi="Arial" w:cs="Arial"/>
                <w:b/>
                <w:sz w:val="24"/>
              </w:rPr>
              <w:t>OR</w:t>
            </w:r>
          </w:p>
        </w:tc>
        <w:tc>
          <w:tcPr>
            <w:tcW w:w="2268" w:type="dxa"/>
            <w:gridSpan w:val="2"/>
            <w:noWrap/>
            <w:vAlign w:val="bottom"/>
            <w:hideMark/>
          </w:tcPr>
          <w:p w14:paraId="6CC647B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  <w:r w:rsidRPr="00120A35">
              <w:rPr>
                <w:rFonts w:ascii="Arial" w:eastAsiaTheme="majorEastAsia" w:hAnsi="Arial" w:cs="Arial"/>
                <w:b/>
                <w:sz w:val="24"/>
              </w:rPr>
              <w:t>95% CI</w:t>
            </w:r>
          </w:p>
        </w:tc>
        <w:tc>
          <w:tcPr>
            <w:tcW w:w="1417" w:type="dxa"/>
            <w:vMerge w:val="restart"/>
            <w:vAlign w:val="bottom"/>
            <w:hideMark/>
          </w:tcPr>
          <w:p w14:paraId="0DB9181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  <w:r w:rsidRPr="00120A35">
              <w:rPr>
                <w:rFonts w:ascii="Arial" w:eastAsiaTheme="majorEastAsia" w:hAnsi="Arial" w:cs="Arial"/>
                <w:b/>
                <w:sz w:val="24"/>
              </w:rPr>
              <w:t xml:space="preserve">Wald </w:t>
            </w:r>
            <w:r w:rsidRPr="00120A35">
              <w:rPr>
                <w:rFonts w:ascii="Arial" w:eastAsiaTheme="majorEastAsia" w:hAnsi="Arial" w:cs="Arial"/>
                <w:b/>
                <w:sz w:val="24"/>
              </w:rPr>
              <w:br/>
              <w:t>Chi-square</w:t>
            </w:r>
          </w:p>
        </w:tc>
        <w:tc>
          <w:tcPr>
            <w:tcW w:w="1619" w:type="dxa"/>
            <w:vMerge w:val="restart"/>
            <w:vAlign w:val="bottom"/>
            <w:hideMark/>
          </w:tcPr>
          <w:p w14:paraId="10DEB6AD" w14:textId="5D9D6BD5" w:rsidR="005171ED" w:rsidRPr="00120A35" w:rsidRDefault="00A22E3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  <w:r w:rsidRPr="00A22E3D">
              <w:rPr>
                <w:rFonts w:ascii="Arial" w:eastAsiaTheme="majorEastAsia" w:hAnsi="Arial" w:cs="Arial"/>
                <w:b/>
                <w:iCs/>
                <w:sz w:val="24"/>
              </w:rPr>
              <w:t>P</w:t>
            </w:r>
            <w:r w:rsidR="005171ED" w:rsidRPr="00120A35">
              <w:rPr>
                <w:rFonts w:ascii="Arial" w:eastAsiaTheme="majorEastAsia" w:hAnsi="Arial" w:cs="Arial"/>
                <w:b/>
                <w:sz w:val="24"/>
              </w:rPr>
              <w:t>-value</w:t>
            </w:r>
          </w:p>
        </w:tc>
      </w:tr>
      <w:tr w:rsidR="005171ED" w:rsidRPr="001E2328" w14:paraId="5DB179C1" w14:textId="77777777" w:rsidTr="005171ED">
        <w:trPr>
          <w:trHeight w:val="521"/>
        </w:trPr>
        <w:tc>
          <w:tcPr>
            <w:tcW w:w="3312" w:type="dxa"/>
            <w:vMerge/>
            <w:hideMark/>
          </w:tcPr>
          <w:p w14:paraId="2BBA09B1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1B12A392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84" w:type="dxa"/>
            <w:vMerge/>
            <w:vAlign w:val="bottom"/>
            <w:hideMark/>
          </w:tcPr>
          <w:p w14:paraId="3519CA78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47" w:type="dxa"/>
            <w:vMerge/>
            <w:vAlign w:val="bottom"/>
            <w:hideMark/>
          </w:tcPr>
          <w:p w14:paraId="39791A7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</w:p>
        </w:tc>
        <w:tc>
          <w:tcPr>
            <w:tcW w:w="1134" w:type="dxa"/>
            <w:vAlign w:val="bottom"/>
            <w:hideMark/>
          </w:tcPr>
          <w:p w14:paraId="75F8010B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  <w:r w:rsidRPr="00120A35">
              <w:rPr>
                <w:rFonts w:ascii="Arial" w:eastAsiaTheme="majorEastAsia" w:hAnsi="Arial" w:cs="Arial"/>
                <w:b/>
                <w:sz w:val="24"/>
              </w:rPr>
              <w:t>Lower Limit</w:t>
            </w:r>
          </w:p>
        </w:tc>
        <w:tc>
          <w:tcPr>
            <w:tcW w:w="1134" w:type="dxa"/>
            <w:vAlign w:val="bottom"/>
            <w:hideMark/>
          </w:tcPr>
          <w:p w14:paraId="464CF25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b/>
                <w:sz w:val="24"/>
              </w:rPr>
            </w:pPr>
            <w:r w:rsidRPr="00120A35">
              <w:rPr>
                <w:rFonts w:ascii="Arial" w:eastAsiaTheme="majorEastAsia" w:hAnsi="Arial" w:cs="Arial"/>
                <w:b/>
                <w:sz w:val="24"/>
              </w:rPr>
              <w:t>Upper Limit</w:t>
            </w:r>
          </w:p>
        </w:tc>
        <w:tc>
          <w:tcPr>
            <w:tcW w:w="1417" w:type="dxa"/>
            <w:vMerge/>
            <w:vAlign w:val="center"/>
            <w:hideMark/>
          </w:tcPr>
          <w:p w14:paraId="10F9CA73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14:paraId="59D86542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</w:tr>
      <w:tr w:rsidR="005171ED" w:rsidRPr="001E2328" w14:paraId="1EB7E64C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7C98C6B6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 xml:space="preserve">Cohort </w:t>
            </w:r>
            <w:r w:rsidRPr="00120A35">
              <w:rPr>
                <w:rFonts w:ascii="Arial" w:eastAsiaTheme="majorEastAsia" w:hAnsi="Arial" w:cs="Arial"/>
                <w:sz w:val="24"/>
                <w:vertAlign w:val="superscript"/>
              </w:rPr>
              <w:t>a</w:t>
            </w:r>
            <w:r w:rsidRPr="00120A35">
              <w:rPr>
                <w:rFonts w:ascii="Arial" w:eastAsiaTheme="majorEastAsia" w:hAnsi="Arial" w:cs="Arial"/>
                <w:sz w:val="24"/>
              </w:rPr>
              <w:t xml:space="preserve"> (ref. CH1) </w:t>
            </w:r>
          </w:p>
        </w:tc>
        <w:tc>
          <w:tcPr>
            <w:tcW w:w="1480" w:type="dxa"/>
            <w:noWrap/>
            <w:vAlign w:val="center"/>
            <w:hideMark/>
          </w:tcPr>
          <w:p w14:paraId="0C0C4003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84" w:type="dxa"/>
            <w:noWrap/>
            <w:vAlign w:val="center"/>
            <w:hideMark/>
          </w:tcPr>
          <w:p w14:paraId="4D006B5C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47" w:type="dxa"/>
            <w:noWrap/>
            <w:vAlign w:val="center"/>
            <w:hideMark/>
          </w:tcPr>
          <w:p w14:paraId="24239213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3A79ABA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FE79169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1C239B2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14:paraId="132C1F42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</w:tr>
      <w:tr w:rsidR="005171ED" w:rsidRPr="001E2328" w14:paraId="3EA4A65D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100AA863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CH2</w:t>
            </w:r>
          </w:p>
        </w:tc>
        <w:tc>
          <w:tcPr>
            <w:tcW w:w="1480" w:type="dxa"/>
            <w:noWrap/>
            <w:hideMark/>
          </w:tcPr>
          <w:p w14:paraId="03EA88F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1.707</w:t>
            </w:r>
          </w:p>
        </w:tc>
        <w:tc>
          <w:tcPr>
            <w:tcW w:w="1484" w:type="dxa"/>
            <w:noWrap/>
            <w:hideMark/>
          </w:tcPr>
          <w:p w14:paraId="57959C5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0.039</w:t>
            </w:r>
          </w:p>
        </w:tc>
        <w:tc>
          <w:tcPr>
            <w:tcW w:w="1147" w:type="dxa"/>
            <w:noWrap/>
            <w:hideMark/>
          </w:tcPr>
          <w:p w14:paraId="219B6DF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5.510</w:t>
            </w:r>
          </w:p>
        </w:tc>
        <w:tc>
          <w:tcPr>
            <w:tcW w:w="1134" w:type="dxa"/>
            <w:noWrap/>
            <w:hideMark/>
          </w:tcPr>
          <w:p w14:paraId="62D5F3E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5.104</w:t>
            </w:r>
          </w:p>
        </w:tc>
        <w:tc>
          <w:tcPr>
            <w:tcW w:w="1134" w:type="dxa"/>
            <w:noWrap/>
            <w:hideMark/>
          </w:tcPr>
          <w:p w14:paraId="44FA7241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5.949</w:t>
            </w:r>
          </w:p>
        </w:tc>
        <w:tc>
          <w:tcPr>
            <w:tcW w:w="1417" w:type="dxa"/>
            <w:noWrap/>
            <w:hideMark/>
          </w:tcPr>
          <w:p w14:paraId="56FE0E3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1909.786</w:t>
            </w:r>
          </w:p>
        </w:tc>
        <w:tc>
          <w:tcPr>
            <w:tcW w:w="1619" w:type="dxa"/>
            <w:noWrap/>
            <w:hideMark/>
          </w:tcPr>
          <w:p w14:paraId="6B733AD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0DAEDACC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4D8F2569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CH3</w:t>
            </w:r>
          </w:p>
        </w:tc>
        <w:tc>
          <w:tcPr>
            <w:tcW w:w="1480" w:type="dxa"/>
            <w:noWrap/>
            <w:hideMark/>
          </w:tcPr>
          <w:p w14:paraId="079B0F01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2.546</w:t>
            </w:r>
          </w:p>
        </w:tc>
        <w:tc>
          <w:tcPr>
            <w:tcW w:w="1484" w:type="dxa"/>
            <w:noWrap/>
            <w:hideMark/>
          </w:tcPr>
          <w:p w14:paraId="629B5561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0.030</w:t>
            </w:r>
          </w:p>
        </w:tc>
        <w:tc>
          <w:tcPr>
            <w:tcW w:w="1147" w:type="dxa"/>
            <w:noWrap/>
            <w:hideMark/>
          </w:tcPr>
          <w:p w14:paraId="7C275708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12.757</w:t>
            </w:r>
          </w:p>
        </w:tc>
        <w:tc>
          <w:tcPr>
            <w:tcW w:w="1134" w:type="dxa"/>
            <w:noWrap/>
            <w:hideMark/>
          </w:tcPr>
          <w:p w14:paraId="0C42C439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12.023</w:t>
            </w:r>
          </w:p>
        </w:tc>
        <w:tc>
          <w:tcPr>
            <w:tcW w:w="1134" w:type="dxa"/>
            <w:noWrap/>
            <w:hideMark/>
          </w:tcPr>
          <w:p w14:paraId="786E6AF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13.535</w:t>
            </w:r>
          </w:p>
        </w:tc>
        <w:tc>
          <w:tcPr>
            <w:tcW w:w="1417" w:type="dxa"/>
            <w:noWrap/>
            <w:hideMark/>
          </w:tcPr>
          <w:p w14:paraId="3F0B5329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7106.141</w:t>
            </w:r>
          </w:p>
        </w:tc>
        <w:tc>
          <w:tcPr>
            <w:tcW w:w="1619" w:type="dxa"/>
            <w:noWrap/>
            <w:hideMark/>
          </w:tcPr>
          <w:p w14:paraId="3082316C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7AC0760D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080C806E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CH4</w:t>
            </w:r>
          </w:p>
        </w:tc>
        <w:tc>
          <w:tcPr>
            <w:tcW w:w="1480" w:type="dxa"/>
            <w:noWrap/>
            <w:hideMark/>
          </w:tcPr>
          <w:p w14:paraId="62A7B7E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–1.571</w:t>
            </w:r>
          </w:p>
        </w:tc>
        <w:tc>
          <w:tcPr>
            <w:tcW w:w="1484" w:type="dxa"/>
            <w:noWrap/>
            <w:hideMark/>
          </w:tcPr>
          <w:p w14:paraId="5746FEBF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0.031</w:t>
            </w:r>
          </w:p>
        </w:tc>
        <w:tc>
          <w:tcPr>
            <w:tcW w:w="1147" w:type="dxa"/>
            <w:noWrap/>
            <w:hideMark/>
          </w:tcPr>
          <w:p w14:paraId="59A7B97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0.208</w:t>
            </w:r>
          </w:p>
        </w:tc>
        <w:tc>
          <w:tcPr>
            <w:tcW w:w="1134" w:type="dxa"/>
            <w:noWrap/>
            <w:hideMark/>
          </w:tcPr>
          <w:p w14:paraId="12828FB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0.196</w:t>
            </w:r>
          </w:p>
        </w:tc>
        <w:tc>
          <w:tcPr>
            <w:tcW w:w="1134" w:type="dxa"/>
            <w:noWrap/>
            <w:hideMark/>
          </w:tcPr>
          <w:p w14:paraId="35CFA9D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0.221</w:t>
            </w:r>
          </w:p>
        </w:tc>
        <w:tc>
          <w:tcPr>
            <w:tcW w:w="1417" w:type="dxa"/>
            <w:noWrap/>
            <w:hideMark/>
          </w:tcPr>
          <w:p w14:paraId="7AB3281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2623.409</w:t>
            </w:r>
          </w:p>
        </w:tc>
        <w:tc>
          <w:tcPr>
            <w:tcW w:w="1619" w:type="dxa"/>
            <w:noWrap/>
            <w:hideMark/>
          </w:tcPr>
          <w:p w14:paraId="4616FBA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3569A35C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447DC8C2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hAnsi="Arial" w:cs="Arial"/>
                <w:sz w:val="24"/>
              </w:rPr>
              <w:t xml:space="preserve">Female (ref. Male) </w:t>
            </w:r>
          </w:p>
        </w:tc>
        <w:tc>
          <w:tcPr>
            <w:tcW w:w="1480" w:type="dxa"/>
            <w:noWrap/>
            <w:hideMark/>
          </w:tcPr>
          <w:p w14:paraId="288B940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–0.050</w:t>
            </w:r>
          </w:p>
        </w:tc>
        <w:tc>
          <w:tcPr>
            <w:tcW w:w="1484" w:type="dxa"/>
            <w:noWrap/>
            <w:hideMark/>
          </w:tcPr>
          <w:p w14:paraId="0DBA399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0.024</w:t>
            </w:r>
          </w:p>
        </w:tc>
        <w:tc>
          <w:tcPr>
            <w:tcW w:w="1147" w:type="dxa"/>
            <w:noWrap/>
            <w:hideMark/>
          </w:tcPr>
          <w:p w14:paraId="3C4125E9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0.952</w:t>
            </w:r>
          </w:p>
        </w:tc>
        <w:tc>
          <w:tcPr>
            <w:tcW w:w="1134" w:type="dxa"/>
            <w:noWrap/>
            <w:hideMark/>
          </w:tcPr>
          <w:p w14:paraId="2A58285F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0.908</w:t>
            </w:r>
          </w:p>
        </w:tc>
        <w:tc>
          <w:tcPr>
            <w:tcW w:w="1134" w:type="dxa"/>
            <w:noWrap/>
            <w:hideMark/>
          </w:tcPr>
          <w:p w14:paraId="13119E5B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0.997</w:t>
            </w:r>
          </w:p>
        </w:tc>
        <w:tc>
          <w:tcPr>
            <w:tcW w:w="1417" w:type="dxa"/>
            <w:noWrap/>
            <w:hideMark/>
          </w:tcPr>
          <w:p w14:paraId="25F4B45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4.360</w:t>
            </w:r>
          </w:p>
        </w:tc>
        <w:tc>
          <w:tcPr>
            <w:tcW w:w="1619" w:type="dxa"/>
            <w:noWrap/>
            <w:hideMark/>
          </w:tcPr>
          <w:p w14:paraId="37B8538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.0368</w:t>
            </w:r>
          </w:p>
        </w:tc>
      </w:tr>
      <w:tr w:rsidR="005171ED" w:rsidRPr="001E2328" w14:paraId="4566D138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30ACCC2D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hAnsi="Arial" w:cs="Arial"/>
                <w:sz w:val="24"/>
              </w:rPr>
              <w:t>Age ≥55 years (ref. &lt;55 years)</w:t>
            </w:r>
          </w:p>
        </w:tc>
        <w:tc>
          <w:tcPr>
            <w:tcW w:w="1480" w:type="dxa"/>
            <w:noWrap/>
            <w:hideMark/>
          </w:tcPr>
          <w:p w14:paraId="7021A65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0.366</w:t>
            </w:r>
          </w:p>
        </w:tc>
        <w:tc>
          <w:tcPr>
            <w:tcW w:w="1484" w:type="dxa"/>
            <w:noWrap/>
            <w:hideMark/>
          </w:tcPr>
          <w:p w14:paraId="55F69F09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0.038</w:t>
            </w:r>
          </w:p>
        </w:tc>
        <w:tc>
          <w:tcPr>
            <w:tcW w:w="1147" w:type="dxa"/>
            <w:noWrap/>
            <w:hideMark/>
          </w:tcPr>
          <w:p w14:paraId="713FF0DC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1.440</w:t>
            </w:r>
          </w:p>
        </w:tc>
        <w:tc>
          <w:tcPr>
            <w:tcW w:w="1134" w:type="dxa"/>
            <w:noWrap/>
            <w:hideMark/>
          </w:tcPr>
          <w:p w14:paraId="3D082AE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1.338</w:t>
            </w:r>
          </w:p>
        </w:tc>
        <w:tc>
          <w:tcPr>
            <w:tcW w:w="1134" w:type="dxa"/>
            <w:noWrap/>
            <w:hideMark/>
          </w:tcPr>
          <w:p w14:paraId="7D62808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1.554</w:t>
            </w:r>
          </w:p>
        </w:tc>
        <w:tc>
          <w:tcPr>
            <w:tcW w:w="1417" w:type="dxa"/>
            <w:noWrap/>
            <w:hideMark/>
          </w:tcPr>
          <w:p w14:paraId="46E8FBF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91.860</w:t>
            </w:r>
          </w:p>
        </w:tc>
        <w:tc>
          <w:tcPr>
            <w:tcW w:w="1619" w:type="dxa"/>
            <w:noWrap/>
            <w:hideMark/>
          </w:tcPr>
          <w:p w14:paraId="73169BE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607197E0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14751A1A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hAnsi="Arial" w:cs="Arial"/>
                <w:sz w:val="24"/>
              </w:rPr>
              <w:t>Region</w:t>
            </w:r>
            <w:r w:rsidRPr="00120A35">
              <w:rPr>
                <w:rFonts w:ascii="Arial" w:hAnsi="Arial" w:cs="Arial"/>
                <w:i/>
                <w:sz w:val="24"/>
              </w:rPr>
              <w:t xml:space="preserve"> </w:t>
            </w:r>
            <w:r w:rsidRPr="00120A35">
              <w:rPr>
                <w:rFonts w:ascii="Arial" w:hAnsi="Arial" w:cs="Arial"/>
                <w:sz w:val="24"/>
              </w:rPr>
              <w:t>(ref. South)</w:t>
            </w:r>
          </w:p>
        </w:tc>
        <w:tc>
          <w:tcPr>
            <w:tcW w:w="1480" w:type="dxa"/>
            <w:noWrap/>
            <w:vAlign w:val="center"/>
            <w:hideMark/>
          </w:tcPr>
          <w:p w14:paraId="6B77193B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84" w:type="dxa"/>
            <w:noWrap/>
            <w:vAlign w:val="center"/>
            <w:hideMark/>
          </w:tcPr>
          <w:p w14:paraId="530FD8B4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47" w:type="dxa"/>
            <w:noWrap/>
            <w:vAlign w:val="center"/>
            <w:hideMark/>
          </w:tcPr>
          <w:p w14:paraId="21F95D5D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67F88CE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5B046BE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6969CE6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14:paraId="7B0DEE08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</w:p>
        </w:tc>
      </w:tr>
      <w:tr w:rsidR="005171ED" w:rsidRPr="001E2328" w14:paraId="26670DFD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00DC46AB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Midwest</w:t>
            </w:r>
          </w:p>
        </w:tc>
        <w:tc>
          <w:tcPr>
            <w:tcW w:w="1480" w:type="dxa"/>
            <w:noWrap/>
            <w:hideMark/>
          </w:tcPr>
          <w:p w14:paraId="1D8FBCE1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0.697</w:t>
            </w:r>
          </w:p>
        </w:tc>
        <w:tc>
          <w:tcPr>
            <w:tcW w:w="1484" w:type="dxa"/>
            <w:noWrap/>
            <w:hideMark/>
          </w:tcPr>
          <w:p w14:paraId="2E4DC46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0.037</w:t>
            </w:r>
          </w:p>
        </w:tc>
        <w:tc>
          <w:tcPr>
            <w:tcW w:w="1147" w:type="dxa"/>
            <w:noWrap/>
            <w:hideMark/>
          </w:tcPr>
          <w:p w14:paraId="78747F6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2.007</w:t>
            </w:r>
          </w:p>
        </w:tc>
        <w:tc>
          <w:tcPr>
            <w:tcW w:w="1134" w:type="dxa"/>
            <w:noWrap/>
            <w:hideMark/>
          </w:tcPr>
          <w:p w14:paraId="28480AF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1.866</w:t>
            </w:r>
          </w:p>
        </w:tc>
        <w:tc>
          <w:tcPr>
            <w:tcW w:w="1134" w:type="dxa"/>
            <w:noWrap/>
            <w:hideMark/>
          </w:tcPr>
          <w:p w14:paraId="6ED969B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2.158</w:t>
            </w:r>
          </w:p>
        </w:tc>
        <w:tc>
          <w:tcPr>
            <w:tcW w:w="1417" w:type="dxa"/>
            <w:noWrap/>
            <w:hideMark/>
          </w:tcPr>
          <w:p w14:paraId="25B87B7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353.319</w:t>
            </w:r>
          </w:p>
        </w:tc>
        <w:tc>
          <w:tcPr>
            <w:tcW w:w="1619" w:type="dxa"/>
            <w:noWrap/>
            <w:hideMark/>
          </w:tcPr>
          <w:p w14:paraId="3165B89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59850FEA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5A905EED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Northeast</w:t>
            </w:r>
          </w:p>
        </w:tc>
        <w:tc>
          <w:tcPr>
            <w:tcW w:w="1480" w:type="dxa"/>
            <w:noWrap/>
            <w:hideMark/>
          </w:tcPr>
          <w:p w14:paraId="6F9696E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0.681</w:t>
            </w:r>
          </w:p>
        </w:tc>
        <w:tc>
          <w:tcPr>
            <w:tcW w:w="1484" w:type="dxa"/>
            <w:noWrap/>
            <w:hideMark/>
          </w:tcPr>
          <w:p w14:paraId="7F279F2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0.040</w:t>
            </w:r>
          </w:p>
        </w:tc>
        <w:tc>
          <w:tcPr>
            <w:tcW w:w="1147" w:type="dxa"/>
            <w:noWrap/>
            <w:hideMark/>
          </w:tcPr>
          <w:p w14:paraId="2E10FAB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1.975</w:t>
            </w:r>
          </w:p>
        </w:tc>
        <w:tc>
          <w:tcPr>
            <w:tcW w:w="1134" w:type="dxa"/>
            <w:noWrap/>
            <w:hideMark/>
          </w:tcPr>
          <w:p w14:paraId="5C6F7288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1.826</w:t>
            </w:r>
          </w:p>
        </w:tc>
        <w:tc>
          <w:tcPr>
            <w:tcW w:w="1134" w:type="dxa"/>
            <w:noWrap/>
            <w:hideMark/>
          </w:tcPr>
          <w:p w14:paraId="3A89B7C1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2.137</w:t>
            </w:r>
          </w:p>
        </w:tc>
        <w:tc>
          <w:tcPr>
            <w:tcW w:w="1417" w:type="dxa"/>
            <w:noWrap/>
            <w:hideMark/>
          </w:tcPr>
          <w:p w14:paraId="505B339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289.422</w:t>
            </w:r>
          </w:p>
        </w:tc>
        <w:tc>
          <w:tcPr>
            <w:tcW w:w="1619" w:type="dxa"/>
            <w:noWrap/>
            <w:hideMark/>
          </w:tcPr>
          <w:p w14:paraId="55D7F95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6C4D7208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60C05C46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West</w:t>
            </w:r>
          </w:p>
        </w:tc>
        <w:tc>
          <w:tcPr>
            <w:tcW w:w="1480" w:type="dxa"/>
            <w:noWrap/>
            <w:hideMark/>
          </w:tcPr>
          <w:p w14:paraId="4EA0C238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1.102</w:t>
            </w:r>
          </w:p>
        </w:tc>
        <w:tc>
          <w:tcPr>
            <w:tcW w:w="1484" w:type="dxa"/>
            <w:noWrap/>
            <w:hideMark/>
          </w:tcPr>
          <w:p w14:paraId="0847C18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0.046</w:t>
            </w:r>
          </w:p>
        </w:tc>
        <w:tc>
          <w:tcPr>
            <w:tcW w:w="1147" w:type="dxa"/>
            <w:noWrap/>
            <w:hideMark/>
          </w:tcPr>
          <w:p w14:paraId="43D9049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3.011</w:t>
            </w:r>
          </w:p>
        </w:tc>
        <w:tc>
          <w:tcPr>
            <w:tcW w:w="1134" w:type="dxa"/>
            <w:noWrap/>
            <w:hideMark/>
          </w:tcPr>
          <w:p w14:paraId="7791911B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2.751</w:t>
            </w:r>
          </w:p>
        </w:tc>
        <w:tc>
          <w:tcPr>
            <w:tcW w:w="1134" w:type="dxa"/>
            <w:noWrap/>
            <w:hideMark/>
          </w:tcPr>
          <w:p w14:paraId="2678B5D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3.295</w:t>
            </w:r>
          </w:p>
        </w:tc>
        <w:tc>
          <w:tcPr>
            <w:tcW w:w="1417" w:type="dxa"/>
            <w:noWrap/>
            <w:hideMark/>
          </w:tcPr>
          <w:p w14:paraId="7FE5BF4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572.945</w:t>
            </w:r>
          </w:p>
        </w:tc>
        <w:tc>
          <w:tcPr>
            <w:tcW w:w="1619" w:type="dxa"/>
            <w:noWrap/>
            <w:hideMark/>
          </w:tcPr>
          <w:p w14:paraId="2BE787B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75469AFD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721C89D9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lastRenderedPageBreak/>
              <w:t xml:space="preserve">Uninsured (ref. </w:t>
            </w:r>
            <w:proofErr w:type="gramStart"/>
            <w:r w:rsidRPr="00120A35">
              <w:rPr>
                <w:rFonts w:ascii="Arial" w:eastAsiaTheme="majorEastAsia" w:hAnsi="Arial" w:cs="Arial"/>
                <w:sz w:val="24"/>
              </w:rPr>
              <w:t>other</w:t>
            </w:r>
            <w:proofErr w:type="gramEnd"/>
            <w:r w:rsidRPr="00120A35">
              <w:rPr>
                <w:rFonts w:ascii="Arial" w:eastAsiaTheme="majorEastAsia" w:hAnsi="Arial" w:cs="Arial"/>
                <w:sz w:val="24"/>
              </w:rPr>
              <w:t xml:space="preserve"> payer type) </w:t>
            </w:r>
          </w:p>
        </w:tc>
        <w:tc>
          <w:tcPr>
            <w:tcW w:w="1480" w:type="dxa"/>
            <w:noWrap/>
            <w:hideMark/>
          </w:tcPr>
          <w:p w14:paraId="4BE14E3B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–1.097</w:t>
            </w:r>
          </w:p>
        </w:tc>
        <w:tc>
          <w:tcPr>
            <w:tcW w:w="1484" w:type="dxa"/>
            <w:noWrap/>
            <w:hideMark/>
          </w:tcPr>
          <w:p w14:paraId="1D8305C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0.214</w:t>
            </w:r>
          </w:p>
        </w:tc>
        <w:tc>
          <w:tcPr>
            <w:tcW w:w="1147" w:type="dxa"/>
            <w:noWrap/>
            <w:hideMark/>
          </w:tcPr>
          <w:p w14:paraId="46815CB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0.334</w:t>
            </w:r>
          </w:p>
        </w:tc>
        <w:tc>
          <w:tcPr>
            <w:tcW w:w="1134" w:type="dxa"/>
            <w:noWrap/>
            <w:hideMark/>
          </w:tcPr>
          <w:p w14:paraId="6BCDAB0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0.219</w:t>
            </w:r>
          </w:p>
        </w:tc>
        <w:tc>
          <w:tcPr>
            <w:tcW w:w="1134" w:type="dxa"/>
            <w:noWrap/>
            <w:hideMark/>
          </w:tcPr>
          <w:p w14:paraId="4C26CBE9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0.508</w:t>
            </w:r>
          </w:p>
        </w:tc>
        <w:tc>
          <w:tcPr>
            <w:tcW w:w="1417" w:type="dxa"/>
            <w:noWrap/>
            <w:hideMark/>
          </w:tcPr>
          <w:p w14:paraId="07699578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26.195</w:t>
            </w:r>
          </w:p>
        </w:tc>
        <w:tc>
          <w:tcPr>
            <w:tcW w:w="1619" w:type="dxa"/>
            <w:noWrap/>
            <w:hideMark/>
          </w:tcPr>
          <w:p w14:paraId="7897DEA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15A21724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30B4DDC3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Index specialty (office visit) (ref. Other)</w:t>
            </w:r>
          </w:p>
        </w:tc>
        <w:tc>
          <w:tcPr>
            <w:tcW w:w="1480" w:type="dxa"/>
            <w:noWrap/>
            <w:hideMark/>
          </w:tcPr>
          <w:p w14:paraId="25AC537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84" w:type="dxa"/>
            <w:noWrap/>
            <w:hideMark/>
          </w:tcPr>
          <w:p w14:paraId="5F09C21B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47" w:type="dxa"/>
            <w:noWrap/>
            <w:hideMark/>
          </w:tcPr>
          <w:p w14:paraId="14687E8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34" w:type="dxa"/>
            <w:noWrap/>
            <w:hideMark/>
          </w:tcPr>
          <w:p w14:paraId="07CA7FB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34" w:type="dxa"/>
            <w:noWrap/>
            <w:hideMark/>
          </w:tcPr>
          <w:p w14:paraId="7E919F29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17" w:type="dxa"/>
            <w:noWrap/>
            <w:hideMark/>
          </w:tcPr>
          <w:p w14:paraId="3393DD6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619" w:type="dxa"/>
            <w:noWrap/>
            <w:hideMark/>
          </w:tcPr>
          <w:p w14:paraId="4AA0CB3F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</w:tr>
      <w:tr w:rsidR="005171ED" w:rsidRPr="001E2328" w14:paraId="6F97C080" w14:textId="77777777" w:rsidTr="00BE607D">
        <w:trPr>
          <w:trHeight w:val="300"/>
        </w:trPr>
        <w:tc>
          <w:tcPr>
            <w:tcW w:w="3312" w:type="dxa"/>
            <w:noWrap/>
            <w:hideMark/>
          </w:tcPr>
          <w:p w14:paraId="065E7F19" w14:textId="77777777" w:rsidR="005171ED" w:rsidRPr="00120A35" w:rsidRDefault="005171ED" w:rsidP="00BE607D">
            <w:pPr>
              <w:spacing w:line="480" w:lineRule="auto"/>
              <w:ind w:firstLine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Ophthalmologist/Optometry</w:t>
            </w:r>
          </w:p>
        </w:tc>
        <w:tc>
          <w:tcPr>
            <w:tcW w:w="1480" w:type="dxa"/>
            <w:noWrap/>
            <w:hideMark/>
          </w:tcPr>
          <w:p w14:paraId="723E8C5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0.785</w:t>
            </w:r>
          </w:p>
        </w:tc>
        <w:tc>
          <w:tcPr>
            <w:tcW w:w="1484" w:type="dxa"/>
            <w:noWrap/>
            <w:hideMark/>
          </w:tcPr>
          <w:p w14:paraId="649AD08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0.039</w:t>
            </w:r>
          </w:p>
        </w:tc>
        <w:tc>
          <w:tcPr>
            <w:tcW w:w="1147" w:type="dxa"/>
            <w:noWrap/>
            <w:hideMark/>
          </w:tcPr>
          <w:p w14:paraId="223EACA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2.193</w:t>
            </w:r>
          </w:p>
        </w:tc>
        <w:tc>
          <w:tcPr>
            <w:tcW w:w="1134" w:type="dxa"/>
            <w:noWrap/>
            <w:hideMark/>
          </w:tcPr>
          <w:p w14:paraId="5973365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2.031</w:t>
            </w:r>
          </w:p>
        </w:tc>
        <w:tc>
          <w:tcPr>
            <w:tcW w:w="1134" w:type="dxa"/>
            <w:noWrap/>
            <w:hideMark/>
          </w:tcPr>
          <w:p w14:paraId="33F7E0F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2.368</w:t>
            </w:r>
          </w:p>
        </w:tc>
        <w:tc>
          <w:tcPr>
            <w:tcW w:w="1417" w:type="dxa"/>
            <w:noWrap/>
            <w:hideMark/>
          </w:tcPr>
          <w:p w14:paraId="477D991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402.432</w:t>
            </w:r>
          </w:p>
        </w:tc>
        <w:tc>
          <w:tcPr>
            <w:tcW w:w="1619" w:type="dxa"/>
            <w:noWrap/>
            <w:hideMark/>
          </w:tcPr>
          <w:p w14:paraId="3867579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564120F8" w14:textId="77777777" w:rsidTr="00BE607D">
        <w:trPr>
          <w:trHeight w:val="478"/>
        </w:trPr>
        <w:tc>
          <w:tcPr>
            <w:tcW w:w="3312" w:type="dxa"/>
            <w:hideMark/>
          </w:tcPr>
          <w:p w14:paraId="2BC0D262" w14:textId="77777777" w:rsidR="005171ED" w:rsidRPr="00120A35" w:rsidRDefault="005171ED" w:rsidP="00BE607D">
            <w:pPr>
              <w:spacing w:line="480" w:lineRule="auto"/>
              <w:ind w:firstLine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 xml:space="preserve">Primary care </w:t>
            </w:r>
            <w:proofErr w:type="spellStart"/>
            <w:r w:rsidRPr="00120A35">
              <w:rPr>
                <w:rFonts w:ascii="Arial" w:eastAsiaTheme="majorEastAsia" w:hAnsi="Arial" w:cs="Arial"/>
                <w:sz w:val="24"/>
              </w:rPr>
              <w:t>physician</w:t>
            </w:r>
            <w:r w:rsidRPr="00120A35">
              <w:rPr>
                <w:rFonts w:ascii="Arial" w:eastAsiaTheme="majorEastAsia" w:hAnsi="Arial" w:cs="Arial"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1480" w:type="dxa"/>
            <w:noWrap/>
            <w:hideMark/>
          </w:tcPr>
          <w:p w14:paraId="1F53B20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0.234</w:t>
            </w:r>
          </w:p>
        </w:tc>
        <w:tc>
          <w:tcPr>
            <w:tcW w:w="1484" w:type="dxa"/>
            <w:noWrap/>
            <w:hideMark/>
          </w:tcPr>
          <w:p w14:paraId="68E1616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0.065</w:t>
            </w:r>
          </w:p>
        </w:tc>
        <w:tc>
          <w:tcPr>
            <w:tcW w:w="1147" w:type="dxa"/>
            <w:noWrap/>
            <w:hideMark/>
          </w:tcPr>
          <w:p w14:paraId="2962825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1.264</w:t>
            </w:r>
          </w:p>
        </w:tc>
        <w:tc>
          <w:tcPr>
            <w:tcW w:w="1134" w:type="dxa"/>
            <w:noWrap/>
            <w:hideMark/>
          </w:tcPr>
          <w:p w14:paraId="432FEA6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1.113</w:t>
            </w:r>
          </w:p>
        </w:tc>
        <w:tc>
          <w:tcPr>
            <w:tcW w:w="1134" w:type="dxa"/>
            <w:noWrap/>
            <w:hideMark/>
          </w:tcPr>
          <w:p w14:paraId="203F2E6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1.436</w:t>
            </w:r>
          </w:p>
        </w:tc>
        <w:tc>
          <w:tcPr>
            <w:tcW w:w="1417" w:type="dxa"/>
            <w:noWrap/>
            <w:hideMark/>
          </w:tcPr>
          <w:p w14:paraId="32E32059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12.966</w:t>
            </w:r>
          </w:p>
        </w:tc>
        <w:tc>
          <w:tcPr>
            <w:tcW w:w="1619" w:type="dxa"/>
            <w:noWrap/>
            <w:hideMark/>
          </w:tcPr>
          <w:p w14:paraId="4E5CB96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.0003</w:t>
            </w:r>
          </w:p>
        </w:tc>
      </w:tr>
      <w:tr w:rsidR="005171ED" w:rsidRPr="001E2328" w14:paraId="1B779EE4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1B9ABCA9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 xml:space="preserve">CCI (ref. </w:t>
            </w:r>
            <w:proofErr w:type="gramStart"/>
            <w:r w:rsidRPr="00120A35">
              <w:rPr>
                <w:rFonts w:ascii="Arial" w:eastAsiaTheme="majorEastAsia" w:hAnsi="Arial" w:cs="Arial"/>
                <w:sz w:val="24"/>
              </w:rPr>
              <w:t>0)</w:t>
            </w:r>
            <w:r w:rsidRPr="00120A35">
              <w:rPr>
                <w:rFonts w:ascii="Arial" w:eastAsiaTheme="majorEastAsia" w:hAnsi="Arial" w:cs="Arial"/>
                <w:sz w:val="24"/>
                <w:vertAlign w:val="superscript"/>
              </w:rPr>
              <w:t>c</w:t>
            </w:r>
            <w:proofErr w:type="gramEnd"/>
          </w:p>
        </w:tc>
        <w:tc>
          <w:tcPr>
            <w:tcW w:w="1480" w:type="dxa"/>
            <w:noWrap/>
            <w:hideMark/>
          </w:tcPr>
          <w:p w14:paraId="1A446ED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84" w:type="dxa"/>
            <w:noWrap/>
            <w:hideMark/>
          </w:tcPr>
          <w:p w14:paraId="4E5C367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47" w:type="dxa"/>
            <w:noWrap/>
            <w:hideMark/>
          </w:tcPr>
          <w:p w14:paraId="42A18A2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34" w:type="dxa"/>
            <w:noWrap/>
            <w:hideMark/>
          </w:tcPr>
          <w:p w14:paraId="4A3EED9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134" w:type="dxa"/>
            <w:noWrap/>
            <w:hideMark/>
          </w:tcPr>
          <w:p w14:paraId="6B2D7C6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417" w:type="dxa"/>
            <w:noWrap/>
            <w:hideMark/>
          </w:tcPr>
          <w:p w14:paraId="4B09ED8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  <w:tc>
          <w:tcPr>
            <w:tcW w:w="1619" w:type="dxa"/>
            <w:noWrap/>
            <w:hideMark/>
          </w:tcPr>
          <w:p w14:paraId="56EB49B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</w:p>
        </w:tc>
      </w:tr>
      <w:tr w:rsidR="005171ED" w:rsidRPr="001E2328" w14:paraId="2436A5F3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57174726" w14:textId="77777777" w:rsidR="005171ED" w:rsidRPr="00120A35" w:rsidRDefault="005171ED" w:rsidP="00BE607D">
            <w:pPr>
              <w:spacing w:line="480" w:lineRule="auto"/>
              <w:ind w:firstLine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</w:t>
            </w:r>
          </w:p>
        </w:tc>
        <w:tc>
          <w:tcPr>
            <w:tcW w:w="1480" w:type="dxa"/>
            <w:noWrap/>
            <w:hideMark/>
          </w:tcPr>
          <w:p w14:paraId="33117118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0.340</w:t>
            </w:r>
          </w:p>
        </w:tc>
        <w:tc>
          <w:tcPr>
            <w:tcW w:w="1484" w:type="dxa"/>
            <w:noWrap/>
            <w:hideMark/>
          </w:tcPr>
          <w:p w14:paraId="3F2C7BF6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0.035</w:t>
            </w:r>
          </w:p>
        </w:tc>
        <w:tc>
          <w:tcPr>
            <w:tcW w:w="1147" w:type="dxa"/>
            <w:noWrap/>
            <w:hideMark/>
          </w:tcPr>
          <w:p w14:paraId="289C68D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1.405</w:t>
            </w:r>
          </w:p>
        </w:tc>
        <w:tc>
          <w:tcPr>
            <w:tcW w:w="1134" w:type="dxa"/>
            <w:noWrap/>
            <w:hideMark/>
          </w:tcPr>
          <w:p w14:paraId="136E6C6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1.313</w:t>
            </w:r>
          </w:p>
        </w:tc>
        <w:tc>
          <w:tcPr>
            <w:tcW w:w="1134" w:type="dxa"/>
            <w:noWrap/>
            <w:hideMark/>
          </w:tcPr>
          <w:p w14:paraId="0E4167A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1.504</w:t>
            </w:r>
          </w:p>
        </w:tc>
        <w:tc>
          <w:tcPr>
            <w:tcW w:w="1417" w:type="dxa"/>
            <w:noWrap/>
            <w:hideMark/>
          </w:tcPr>
          <w:p w14:paraId="7E3299BB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95.848</w:t>
            </w:r>
          </w:p>
        </w:tc>
        <w:tc>
          <w:tcPr>
            <w:tcW w:w="1619" w:type="dxa"/>
            <w:noWrap/>
            <w:hideMark/>
          </w:tcPr>
          <w:p w14:paraId="764084E1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143C34E7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5F8918A4" w14:textId="77777777" w:rsidR="005171ED" w:rsidRPr="00120A35" w:rsidRDefault="005171ED" w:rsidP="00BE607D">
            <w:pPr>
              <w:spacing w:line="480" w:lineRule="auto"/>
              <w:ind w:firstLine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2+</w:t>
            </w:r>
          </w:p>
        </w:tc>
        <w:tc>
          <w:tcPr>
            <w:tcW w:w="1480" w:type="dxa"/>
            <w:noWrap/>
            <w:hideMark/>
          </w:tcPr>
          <w:p w14:paraId="298342B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0.292</w:t>
            </w:r>
          </w:p>
        </w:tc>
        <w:tc>
          <w:tcPr>
            <w:tcW w:w="1484" w:type="dxa"/>
            <w:noWrap/>
            <w:hideMark/>
          </w:tcPr>
          <w:p w14:paraId="2BA338F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0.028</w:t>
            </w:r>
          </w:p>
        </w:tc>
        <w:tc>
          <w:tcPr>
            <w:tcW w:w="1147" w:type="dxa"/>
            <w:noWrap/>
            <w:hideMark/>
          </w:tcPr>
          <w:p w14:paraId="2FCDA82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1.339</w:t>
            </w:r>
          </w:p>
        </w:tc>
        <w:tc>
          <w:tcPr>
            <w:tcW w:w="1134" w:type="dxa"/>
            <w:noWrap/>
            <w:hideMark/>
          </w:tcPr>
          <w:p w14:paraId="7FB80DF8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1.269</w:t>
            </w:r>
          </w:p>
        </w:tc>
        <w:tc>
          <w:tcPr>
            <w:tcW w:w="1134" w:type="dxa"/>
            <w:noWrap/>
            <w:hideMark/>
          </w:tcPr>
          <w:p w14:paraId="52FCD95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1.414</w:t>
            </w:r>
          </w:p>
        </w:tc>
        <w:tc>
          <w:tcPr>
            <w:tcW w:w="1417" w:type="dxa"/>
            <w:noWrap/>
            <w:hideMark/>
          </w:tcPr>
          <w:p w14:paraId="492A5DA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110.951</w:t>
            </w:r>
          </w:p>
        </w:tc>
        <w:tc>
          <w:tcPr>
            <w:tcW w:w="1619" w:type="dxa"/>
            <w:noWrap/>
            <w:hideMark/>
          </w:tcPr>
          <w:p w14:paraId="7956DBD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2231FE6B" w14:textId="77777777" w:rsidTr="00BE607D">
        <w:trPr>
          <w:trHeight w:val="278"/>
        </w:trPr>
        <w:tc>
          <w:tcPr>
            <w:tcW w:w="12727" w:type="dxa"/>
            <w:gridSpan w:val="8"/>
            <w:noWrap/>
            <w:vAlign w:val="center"/>
            <w:hideMark/>
          </w:tcPr>
          <w:p w14:paraId="64C63026" w14:textId="77777777" w:rsidR="005171ED" w:rsidRPr="00120A35" w:rsidRDefault="005171ED" w:rsidP="00BE607D">
            <w:pPr>
              <w:spacing w:line="480" w:lineRule="auto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 xml:space="preserve">Pre-index comorbidities (ref. </w:t>
            </w:r>
            <w:proofErr w:type="gramStart"/>
            <w:r w:rsidRPr="00120A35">
              <w:rPr>
                <w:rFonts w:ascii="Arial" w:eastAsiaTheme="majorEastAsia" w:hAnsi="Arial" w:cs="Arial"/>
                <w:sz w:val="24"/>
              </w:rPr>
              <w:t>none)</w:t>
            </w:r>
            <w:r w:rsidRPr="00120A35">
              <w:rPr>
                <w:rFonts w:ascii="Arial" w:eastAsiaTheme="majorEastAsia" w:hAnsi="Arial" w:cs="Arial"/>
                <w:sz w:val="24"/>
                <w:vertAlign w:val="superscript"/>
              </w:rPr>
              <w:t>d</w:t>
            </w:r>
            <w:proofErr w:type="gramEnd"/>
          </w:p>
        </w:tc>
      </w:tr>
      <w:tr w:rsidR="005171ED" w:rsidRPr="001E2328" w14:paraId="3261E6F1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72FA15D3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Depression</w:t>
            </w:r>
          </w:p>
        </w:tc>
        <w:tc>
          <w:tcPr>
            <w:tcW w:w="1480" w:type="dxa"/>
            <w:noWrap/>
            <w:hideMark/>
          </w:tcPr>
          <w:p w14:paraId="7F24406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–0.478</w:t>
            </w:r>
          </w:p>
        </w:tc>
        <w:tc>
          <w:tcPr>
            <w:tcW w:w="1484" w:type="dxa"/>
            <w:noWrap/>
            <w:hideMark/>
          </w:tcPr>
          <w:p w14:paraId="2CC6A57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0.050</w:t>
            </w:r>
          </w:p>
        </w:tc>
        <w:tc>
          <w:tcPr>
            <w:tcW w:w="1147" w:type="dxa"/>
            <w:noWrap/>
            <w:hideMark/>
          </w:tcPr>
          <w:p w14:paraId="5BC703DF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0.620</w:t>
            </w:r>
          </w:p>
        </w:tc>
        <w:tc>
          <w:tcPr>
            <w:tcW w:w="1134" w:type="dxa"/>
            <w:noWrap/>
            <w:hideMark/>
          </w:tcPr>
          <w:p w14:paraId="7CEC77F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0.562</w:t>
            </w:r>
          </w:p>
        </w:tc>
        <w:tc>
          <w:tcPr>
            <w:tcW w:w="1134" w:type="dxa"/>
            <w:noWrap/>
            <w:hideMark/>
          </w:tcPr>
          <w:p w14:paraId="16C27B5F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0.684</w:t>
            </w:r>
          </w:p>
        </w:tc>
        <w:tc>
          <w:tcPr>
            <w:tcW w:w="1417" w:type="dxa"/>
            <w:noWrap/>
            <w:hideMark/>
          </w:tcPr>
          <w:p w14:paraId="3E03BA1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90.573</w:t>
            </w:r>
          </w:p>
        </w:tc>
        <w:tc>
          <w:tcPr>
            <w:tcW w:w="1619" w:type="dxa"/>
            <w:noWrap/>
            <w:hideMark/>
          </w:tcPr>
          <w:p w14:paraId="3007B2C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2A785221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70E567F1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Dyslipidemia</w:t>
            </w:r>
          </w:p>
        </w:tc>
        <w:tc>
          <w:tcPr>
            <w:tcW w:w="1480" w:type="dxa"/>
            <w:noWrap/>
            <w:hideMark/>
          </w:tcPr>
          <w:p w14:paraId="2BD171D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–0.348</w:t>
            </w:r>
          </w:p>
        </w:tc>
        <w:tc>
          <w:tcPr>
            <w:tcW w:w="1484" w:type="dxa"/>
            <w:noWrap/>
            <w:hideMark/>
          </w:tcPr>
          <w:p w14:paraId="1D088D7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0.036</w:t>
            </w:r>
          </w:p>
        </w:tc>
        <w:tc>
          <w:tcPr>
            <w:tcW w:w="1147" w:type="dxa"/>
            <w:noWrap/>
            <w:hideMark/>
          </w:tcPr>
          <w:p w14:paraId="6C26B6BC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0.706</w:t>
            </w:r>
          </w:p>
        </w:tc>
        <w:tc>
          <w:tcPr>
            <w:tcW w:w="1134" w:type="dxa"/>
            <w:noWrap/>
            <w:hideMark/>
          </w:tcPr>
          <w:p w14:paraId="243D3B3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0.659</w:t>
            </w:r>
          </w:p>
        </w:tc>
        <w:tc>
          <w:tcPr>
            <w:tcW w:w="1134" w:type="dxa"/>
            <w:noWrap/>
            <w:hideMark/>
          </w:tcPr>
          <w:p w14:paraId="5C157CA1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0.758</w:t>
            </w:r>
          </w:p>
        </w:tc>
        <w:tc>
          <w:tcPr>
            <w:tcW w:w="1417" w:type="dxa"/>
            <w:noWrap/>
            <w:hideMark/>
          </w:tcPr>
          <w:p w14:paraId="3F5B098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95.189</w:t>
            </w:r>
          </w:p>
        </w:tc>
        <w:tc>
          <w:tcPr>
            <w:tcW w:w="1619" w:type="dxa"/>
            <w:noWrap/>
            <w:hideMark/>
          </w:tcPr>
          <w:p w14:paraId="228A30A1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30552223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64F373F5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CAD/MI</w:t>
            </w:r>
          </w:p>
        </w:tc>
        <w:tc>
          <w:tcPr>
            <w:tcW w:w="1480" w:type="dxa"/>
            <w:noWrap/>
            <w:hideMark/>
          </w:tcPr>
          <w:p w14:paraId="6AB4722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–0.559</w:t>
            </w:r>
          </w:p>
        </w:tc>
        <w:tc>
          <w:tcPr>
            <w:tcW w:w="1484" w:type="dxa"/>
            <w:noWrap/>
            <w:hideMark/>
          </w:tcPr>
          <w:p w14:paraId="278BBDC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0.048</w:t>
            </w:r>
          </w:p>
        </w:tc>
        <w:tc>
          <w:tcPr>
            <w:tcW w:w="1147" w:type="dxa"/>
            <w:noWrap/>
            <w:hideMark/>
          </w:tcPr>
          <w:p w14:paraId="36FB2D1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0.572</w:t>
            </w:r>
          </w:p>
        </w:tc>
        <w:tc>
          <w:tcPr>
            <w:tcW w:w="1134" w:type="dxa"/>
            <w:noWrap/>
            <w:hideMark/>
          </w:tcPr>
          <w:p w14:paraId="5CFDA9F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0.521</w:t>
            </w:r>
          </w:p>
        </w:tc>
        <w:tc>
          <w:tcPr>
            <w:tcW w:w="1134" w:type="dxa"/>
            <w:noWrap/>
            <w:hideMark/>
          </w:tcPr>
          <w:p w14:paraId="0A6F3890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0.628</w:t>
            </w:r>
          </w:p>
        </w:tc>
        <w:tc>
          <w:tcPr>
            <w:tcW w:w="1417" w:type="dxa"/>
            <w:noWrap/>
            <w:hideMark/>
          </w:tcPr>
          <w:p w14:paraId="67D9A42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135.30</w:t>
            </w:r>
          </w:p>
        </w:tc>
        <w:tc>
          <w:tcPr>
            <w:tcW w:w="1619" w:type="dxa"/>
            <w:noWrap/>
            <w:hideMark/>
          </w:tcPr>
          <w:p w14:paraId="237A928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178A7F39" w14:textId="77777777" w:rsidTr="00BE607D">
        <w:trPr>
          <w:trHeight w:val="278"/>
        </w:trPr>
        <w:tc>
          <w:tcPr>
            <w:tcW w:w="3312" w:type="dxa"/>
            <w:noWrap/>
            <w:hideMark/>
          </w:tcPr>
          <w:p w14:paraId="4D0B564E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Smoking</w:t>
            </w:r>
          </w:p>
        </w:tc>
        <w:tc>
          <w:tcPr>
            <w:tcW w:w="1480" w:type="dxa"/>
            <w:noWrap/>
            <w:hideMark/>
          </w:tcPr>
          <w:p w14:paraId="46FAD403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–0.553</w:t>
            </w:r>
          </w:p>
        </w:tc>
        <w:tc>
          <w:tcPr>
            <w:tcW w:w="1484" w:type="dxa"/>
            <w:noWrap/>
            <w:hideMark/>
          </w:tcPr>
          <w:p w14:paraId="1FA46397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0.050</w:t>
            </w:r>
          </w:p>
        </w:tc>
        <w:tc>
          <w:tcPr>
            <w:tcW w:w="1147" w:type="dxa"/>
            <w:noWrap/>
            <w:hideMark/>
          </w:tcPr>
          <w:p w14:paraId="008D4BEF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0.575</w:t>
            </w:r>
          </w:p>
        </w:tc>
        <w:tc>
          <w:tcPr>
            <w:tcW w:w="1134" w:type="dxa"/>
            <w:noWrap/>
            <w:hideMark/>
          </w:tcPr>
          <w:p w14:paraId="47A6CC8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0.521</w:t>
            </w:r>
          </w:p>
        </w:tc>
        <w:tc>
          <w:tcPr>
            <w:tcW w:w="1134" w:type="dxa"/>
            <w:noWrap/>
            <w:hideMark/>
          </w:tcPr>
          <w:p w14:paraId="6500C2BD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0.635</w:t>
            </w:r>
          </w:p>
        </w:tc>
        <w:tc>
          <w:tcPr>
            <w:tcW w:w="1417" w:type="dxa"/>
            <w:noWrap/>
            <w:hideMark/>
          </w:tcPr>
          <w:p w14:paraId="693BA958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121.932</w:t>
            </w:r>
          </w:p>
        </w:tc>
        <w:tc>
          <w:tcPr>
            <w:tcW w:w="1619" w:type="dxa"/>
            <w:noWrap/>
            <w:hideMark/>
          </w:tcPr>
          <w:p w14:paraId="30DC8942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  <w:tr w:rsidR="005171ED" w:rsidRPr="001E2328" w14:paraId="6A780406" w14:textId="77777777" w:rsidTr="00BE607D">
        <w:trPr>
          <w:trHeight w:val="289"/>
        </w:trPr>
        <w:tc>
          <w:tcPr>
            <w:tcW w:w="3312" w:type="dxa"/>
            <w:noWrap/>
            <w:hideMark/>
          </w:tcPr>
          <w:p w14:paraId="373F63CE" w14:textId="77777777" w:rsidR="005171ED" w:rsidRPr="00120A35" w:rsidRDefault="005171ED" w:rsidP="00BE607D">
            <w:pPr>
              <w:spacing w:line="480" w:lineRule="auto"/>
              <w:ind w:left="174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Thyroid disease</w:t>
            </w:r>
          </w:p>
        </w:tc>
        <w:tc>
          <w:tcPr>
            <w:tcW w:w="1480" w:type="dxa"/>
            <w:noWrap/>
            <w:hideMark/>
          </w:tcPr>
          <w:p w14:paraId="15E4B539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–0.390</w:t>
            </w:r>
          </w:p>
        </w:tc>
        <w:tc>
          <w:tcPr>
            <w:tcW w:w="1484" w:type="dxa"/>
            <w:noWrap/>
            <w:hideMark/>
          </w:tcPr>
          <w:p w14:paraId="020907F4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0.043</w:t>
            </w:r>
          </w:p>
        </w:tc>
        <w:tc>
          <w:tcPr>
            <w:tcW w:w="1147" w:type="dxa"/>
            <w:noWrap/>
            <w:hideMark/>
          </w:tcPr>
          <w:p w14:paraId="2F82D09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0.677</w:t>
            </w:r>
          </w:p>
        </w:tc>
        <w:tc>
          <w:tcPr>
            <w:tcW w:w="1134" w:type="dxa"/>
            <w:noWrap/>
            <w:hideMark/>
          </w:tcPr>
          <w:p w14:paraId="488A00FC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0.622</w:t>
            </w:r>
          </w:p>
        </w:tc>
        <w:tc>
          <w:tcPr>
            <w:tcW w:w="1134" w:type="dxa"/>
            <w:noWrap/>
            <w:hideMark/>
          </w:tcPr>
          <w:p w14:paraId="7154AE3E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0.737</w:t>
            </w:r>
          </w:p>
        </w:tc>
        <w:tc>
          <w:tcPr>
            <w:tcW w:w="1417" w:type="dxa"/>
            <w:noWrap/>
            <w:hideMark/>
          </w:tcPr>
          <w:p w14:paraId="58AD738A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80.659</w:t>
            </w:r>
          </w:p>
        </w:tc>
        <w:tc>
          <w:tcPr>
            <w:tcW w:w="1619" w:type="dxa"/>
            <w:noWrap/>
            <w:hideMark/>
          </w:tcPr>
          <w:p w14:paraId="11364815" w14:textId="77777777" w:rsidR="005171ED" w:rsidRPr="00120A35" w:rsidRDefault="005171ED" w:rsidP="00BE607D">
            <w:pPr>
              <w:spacing w:line="480" w:lineRule="auto"/>
              <w:jc w:val="center"/>
              <w:rPr>
                <w:rFonts w:ascii="Arial" w:eastAsiaTheme="majorEastAsia" w:hAnsi="Arial" w:cs="Arial"/>
                <w:sz w:val="24"/>
              </w:rPr>
            </w:pPr>
            <w:r w:rsidRPr="00120A35">
              <w:rPr>
                <w:rFonts w:ascii="Arial" w:eastAsiaTheme="majorEastAsia" w:hAnsi="Arial" w:cs="Arial"/>
                <w:sz w:val="24"/>
              </w:rPr>
              <w:t>&lt;.0001</w:t>
            </w:r>
          </w:p>
        </w:tc>
      </w:tr>
    </w:tbl>
    <w:p w14:paraId="4E65D2BF" w14:textId="3352C04E" w:rsidR="00D832EE" w:rsidRDefault="00D832EE" w:rsidP="00D832EE">
      <w:pPr>
        <w:rPr>
          <w:rFonts w:ascii="Times New Roman" w:eastAsiaTheme="majorEastAsia" w:hAnsi="Times New Roman"/>
          <w:bCs/>
          <w:sz w:val="24"/>
        </w:rPr>
      </w:pPr>
    </w:p>
    <w:p w14:paraId="08A83ECA" w14:textId="77777777" w:rsidR="00D832EE" w:rsidRPr="001E2328" w:rsidRDefault="00D832EE" w:rsidP="00D832EE">
      <w:pPr>
        <w:rPr>
          <w:rFonts w:ascii="Times New Roman" w:hAnsi="Times New Roman"/>
          <w:sz w:val="24"/>
        </w:rPr>
      </w:pPr>
    </w:p>
    <w:p w14:paraId="01787C5F" w14:textId="77777777" w:rsidR="006B229F" w:rsidRPr="00036711" w:rsidRDefault="006B229F" w:rsidP="007777C4">
      <w:pPr>
        <w:spacing w:line="480" w:lineRule="auto"/>
        <w:jc w:val="both"/>
        <w:rPr>
          <w:rFonts w:ascii="Arial" w:eastAsiaTheme="majorEastAsia" w:hAnsi="Arial" w:cs="Arial"/>
          <w:sz w:val="24"/>
          <w:vertAlign w:val="superscript"/>
        </w:rPr>
      </w:pPr>
      <w:r w:rsidRPr="00036711">
        <w:rPr>
          <w:rFonts w:ascii="Arial" w:hAnsi="Arial" w:cs="Arial"/>
          <w:b/>
          <w:bCs/>
          <w:sz w:val="24"/>
          <w:lang w:val="en-GB" w:eastAsia="en-GB"/>
        </w:rPr>
        <w:t>Notes:</w:t>
      </w:r>
      <w:r w:rsidRPr="00036711">
        <w:rPr>
          <w:rFonts w:ascii="Arial" w:hAnsi="Arial" w:cs="Arial"/>
          <w:sz w:val="24"/>
          <w:lang w:val="en-GB" w:eastAsia="en-GB"/>
        </w:rPr>
        <w:t xml:space="preserve"> </w:t>
      </w:r>
      <w:r w:rsidRPr="00036711">
        <w:rPr>
          <w:rFonts w:ascii="Arial" w:hAnsi="Arial" w:cs="Arial"/>
          <w:sz w:val="24"/>
          <w:vertAlign w:val="superscript"/>
          <w:lang w:val="en-GB" w:eastAsia="en-GB"/>
        </w:rPr>
        <w:t>a</w:t>
      </w:r>
      <w:r w:rsidRPr="00036711">
        <w:rPr>
          <w:rFonts w:ascii="Arial" w:hAnsi="Arial" w:cs="Arial"/>
          <w:sz w:val="24"/>
          <w:lang w:val="en-GB" w:eastAsia="en-GB"/>
        </w:rPr>
        <w:t xml:space="preserve">CH1: patients </w:t>
      </w:r>
      <w:r w:rsidRPr="00036711">
        <w:rPr>
          <w:rFonts w:ascii="Arial" w:hAnsi="Arial" w:cs="Arial"/>
          <w:sz w:val="24"/>
        </w:rPr>
        <w:t>treated with ≥1 topical antiglaucoma medication only</w:t>
      </w:r>
      <w:r w:rsidRPr="00036711">
        <w:rPr>
          <w:rFonts w:ascii="Arial" w:hAnsi="Arial" w:cs="Arial"/>
          <w:sz w:val="24"/>
          <w:lang w:val="en-GB" w:eastAsia="en-GB"/>
        </w:rPr>
        <w:t xml:space="preserve">; CH2: </w:t>
      </w:r>
      <w:r w:rsidRPr="00036711">
        <w:rPr>
          <w:rFonts w:ascii="Arial" w:hAnsi="Arial" w:cs="Arial"/>
          <w:sz w:val="24"/>
        </w:rPr>
        <w:t>patients who underwent ≥1 glaucoma-related procedure only</w:t>
      </w:r>
      <w:r w:rsidRPr="00036711">
        <w:rPr>
          <w:rFonts w:ascii="Arial" w:hAnsi="Arial" w:cs="Arial"/>
          <w:sz w:val="24"/>
          <w:lang w:val="en-GB" w:eastAsia="en-GB"/>
        </w:rPr>
        <w:t xml:space="preserve">; CH3: patients </w:t>
      </w:r>
      <w:r w:rsidRPr="00036711">
        <w:rPr>
          <w:rFonts w:ascii="Arial" w:hAnsi="Arial" w:cs="Arial"/>
          <w:sz w:val="24"/>
        </w:rPr>
        <w:t>treated with ≥1 antiglaucoma medication and underwent ≥1 glaucoma-related procedure</w:t>
      </w:r>
      <w:r w:rsidRPr="00036711">
        <w:rPr>
          <w:rFonts w:ascii="Arial" w:hAnsi="Arial" w:cs="Arial"/>
          <w:sz w:val="24"/>
          <w:lang w:val="en-GB" w:eastAsia="en-GB"/>
        </w:rPr>
        <w:t xml:space="preserve">; CH4: </w:t>
      </w:r>
      <w:r w:rsidRPr="00036711">
        <w:rPr>
          <w:rFonts w:ascii="Arial" w:hAnsi="Arial" w:cs="Arial"/>
          <w:sz w:val="24"/>
        </w:rPr>
        <w:t>patients who did not receive any antiglaucoma medications or undergo any glaucoma-related procedures</w:t>
      </w:r>
      <w:r w:rsidRPr="00036711">
        <w:rPr>
          <w:rFonts w:ascii="Arial" w:hAnsi="Arial" w:cs="Arial"/>
          <w:sz w:val="24"/>
          <w:lang w:val="en-GB" w:eastAsia="en-GB"/>
        </w:rPr>
        <w:t xml:space="preserve">. </w:t>
      </w:r>
    </w:p>
    <w:p w14:paraId="0647EDAE" w14:textId="77777777" w:rsidR="006B229F" w:rsidRPr="00036711" w:rsidRDefault="006B229F" w:rsidP="007777C4">
      <w:pPr>
        <w:spacing w:line="480" w:lineRule="auto"/>
        <w:jc w:val="both"/>
        <w:rPr>
          <w:rFonts w:ascii="Arial" w:eastAsiaTheme="majorEastAsia" w:hAnsi="Arial" w:cs="Arial"/>
          <w:sz w:val="24"/>
        </w:rPr>
      </w:pPr>
      <w:r w:rsidRPr="00036711">
        <w:rPr>
          <w:rFonts w:ascii="Arial" w:eastAsiaTheme="majorEastAsia" w:hAnsi="Arial" w:cs="Arial"/>
          <w:sz w:val="24"/>
          <w:vertAlign w:val="superscript"/>
        </w:rPr>
        <w:t xml:space="preserve">b </w:t>
      </w:r>
      <w:r w:rsidRPr="00036711">
        <w:rPr>
          <w:rFonts w:ascii="Arial" w:eastAsiaTheme="majorEastAsia" w:hAnsi="Arial" w:cs="Arial"/>
          <w:sz w:val="24"/>
        </w:rPr>
        <w:t>Includes general practitioner/family medicine/internal medicine, geriatrician; nurse practitioner/physician assistants.</w:t>
      </w:r>
    </w:p>
    <w:p w14:paraId="1075E34A" w14:textId="77777777" w:rsidR="006B229F" w:rsidRPr="00036711" w:rsidRDefault="006B229F" w:rsidP="007777C4">
      <w:pPr>
        <w:spacing w:line="480" w:lineRule="auto"/>
        <w:jc w:val="both"/>
        <w:rPr>
          <w:rFonts w:ascii="Arial" w:eastAsiaTheme="majorEastAsia" w:hAnsi="Arial" w:cs="Arial"/>
          <w:sz w:val="24"/>
        </w:rPr>
      </w:pPr>
      <w:r w:rsidRPr="00036711">
        <w:rPr>
          <w:rFonts w:ascii="Arial" w:eastAsiaTheme="majorEastAsia" w:hAnsi="Arial" w:cs="Arial"/>
          <w:sz w:val="24"/>
          <w:vertAlign w:val="superscript"/>
        </w:rPr>
        <w:t>c</w:t>
      </w:r>
      <w:r w:rsidRPr="00036711">
        <w:rPr>
          <w:rFonts w:ascii="Arial" w:eastAsiaTheme="majorEastAsia" w:hAnsi="Arial" w:cs="Arial"/>
          <w:sz w:val="24"/>
        </w:rPr>
        <w:t xml:space="preserve"> Excludes diabetes due to collinearity with CCI score category, hypertension due to collinearity with dyslipidemia.</w:t>
      </w:r>
    </w:p>
    <w:p w14:paraId="159D39E7" w14:textId="77777777" w:rsidR="006B229F" w:rsidRPr="00036711" w:rsidRDefault="006B229F" w:rsidP="007777C4">
      <w:pPr>
        <w:spacing w:line="480" w:lineRule="auto"/>
        <w:jc w:val="both"/>
        <w:rPr>
          <w:rFonts w:ascii="Arial" w:hAnsi="Arial" w:cs="Arial"/>
          <w:sz w:val="24"/>
        </w:rPr>
      </w:pPr>
      <w:r w:rsidRPr="00036711">
        <w:rPr>
          <w:rFonts w:ascii="Arial" w:hAnsi="Arial" w:cs="Arial"/>
          <w:bCs/>
          <w:sz w:val="24"/>
          <w:vertAlign w:val="superscript"/>
        </w:rPr>
        <w:t>d</w:t>
      </w:r>
      <w:r w:rsidRPr="00036711">
        <w:rPr>
          <w:rFonts w:ascii="Arial" w:hAnsi="Arial" w:cs="Arial"/>
          <w:sz w:val="24"/>
        </w:rPr>
        <w:t xml:space="preserve"> Assessed in 6-month p</w:t>
      </w:r>
      <w:r w:rsidRPr="00036711">
        <w:rPr>
          <w:rFonts w:ascii="Arial" w:hAnsi="Arial" w:cs="Arial"/>
          <w:bCs/>
          <w:sz w:val="24"/>
        </w:rPr>
        <w:t>re-index period.</w:t>
      </w:r>
    </w:p>
    <w:p w14:paraId="79E59ED7" w14:textId="030611CA" w:rsidR="00345D8E" w:rsidRPr="00036711" w:rsidRDefault="006B229F" w:rsidP="007777C4">
      <w:pPr>
        <w:spacing w:line="480" w:lineRule="auto"/>
        <w:rPr>
          <w:rFonts w:ascii="Arial" w:hAnsi="Arial" w:cs="Arial"/>
          <w:sz w:val="24"/>
          <w:lang w:val="en-GB" w:eastAsia="en-GB"/>
        </w:rPr>
      </w:pPr>
      <w:r w:rsidRPr="00036711">
        <w:rPr>
          <w:rFonts w:ascii="Arial" w:eastAsiaTheme="majorEastAsia" w:hAnsi="Arial" w:cs="Arial"/>
          <w:b/>
          <w:bCs/>
          <w:sz w:val="24"/>
        </w:rPr>
        <w:t>Abbreviation:</w:t>
      </w:r>
      <w:r w:rsidRPr="00036711">
        <w:rPr>
          <w:rFonts w:ascii="Arial" w:eastAsiaTheme="majorEastAsia" w:hAnsi="Arial" w:cs="Arial"/>
          <w:sz w:val="24"/>
        </w:rPr>
        <w:t xml:space="preserve"> CAD, carotid artery disease; CCI, </w:t>
      </w:r>
      <w:proofErr w:type="spellStart"/>
      <w:r w:rsidRPr="00036711">
        <w:rPr>
          <w:rFonts w:ascii="Arial" w:eastAsiaTheme="majorEastAsia" w:hAnsi="Arial" w:cs="Arial"/>
          <w:sz w:val="24"/>
        </w:rPr>
        <w:t>Charlson</w:t>
      </w:r>
      <w:proofErr w:type="spellEnd"/>
      <w:r w:rsidRPr="00036711">
        <w:rPr>
          <w:rFonts w:ascii="Arial" w:eastAsiaTheme="majorEastAsia" w:hAnsi="Arial" w:cs="Arial"/>
          <w:sz w:val="24"/>
        </w:rPr>
        <w:t xml:space="preserve"> comorbidity index; CH, cohort; </w:t>
      </w:r>
      <w:r w:rsidRPr="00036711">
        <w:rPr>
          <w:rFonts w:ascii="Arial" w:hAnsi="Arial" w:cs="Arial"/>
          <w:sz w:val="24"/>
          <w:lang w:val="en-GB" w:eastAsia="en-GB"/>
        </w:rPr>
        <w:t xml:space="preserve">CI, confidence interval; </w:t>
      </w:r>
      <w:proofErr w:type="gramStart"/>
      <w:r w:rsidRPr="00036711">
        <w:rPr>
          <w:rFonts w:ascii="Arial" w:hAnsi="Arial" w:cs="Arial"/>
          <w:sz w:val="24"/>
          <w:lang w:val="en-GB" w:eastAsia="en-GB"/>
        </w:rPr>
        <w:t>OR,</w:t>
      </w:r>
      <w:proofErr w:type="gramEnd"/>
      <w:r w:rsidRPr="00036711">
        <w:rPr>
          <w:rFonts w:ascii="Arial" w:hAnsi="Arial" w:cs="Arial"/>
          <w:sz w:val="24"/>
          <w:lang w:val="en-GB" w:eastAsia="en-GB"/>
        </w:rPr>
        <w:t xml:space="preserve"> odds ratio; ref., referent; SE, standard error.</w:t>
      </w:r>
    </w:p>
    <w:p w14:paraId="1AE52D34" w14:textId="6503EDEC" w:rsidR="00D832EE" w:rsidRDefault="00D832EE" w:rsidP="006B229F">
      <w:pPr>
        <w:rPr>
          <w:rFonts w:ascii="Times New Roman" w:hAnsi="Times New Roman"/>
          <w:sz w:val="24"/>
          <w:lang w:val="en-GB" w:eastAsia="en-GB"/>
        </w:rPr>
      </w:pPr>
    </w:p>
    <w:p w14:paraId="62CB52E5" w14:textId="2D380511" w:rsidR="00D832EE" w:rsidRDefault="00D832EE" w:rsidP="006B229F">
      <w:pPr>
        <w:rPr>
          <w:rFonts w:ascii="Times New Roman" w:hAnsi="Times New Roman"/>
          <w:sz w:val="24"/>
          <w:lang w:val="en-GB" w:eastAsia="en-GB"/>
        </w:rPr>
      </w:pPr>
    </w:p>
    <w:p w14:paraId="45B0F9AF" w14:textId="77777777" w:rsidR="00D832EE" w:rsidRPr="001E2328" w:rsidRDefault="00D832EE">
      <w:pPr>
        <w:rPr>
          <w:rFonts w:ascii="Times New Roman" w:hAnsi="Times New Roman"/>
          <w:sz w:val="24"/>
        </w:rPr>
      </w:pPr>
    </w:p>
    <w:sectPr w:rsidR="00D832EE" w:rsidRPr="001E2328" w:rsidSect="007709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E64B" w14:textId="77777777" w:rsidR="00E0672C" w:rsidRDefault="00E0672C" w:rsidP="00DA0793">
      <w:pPr>
        <w:spacing w:line="240" w:lineRule="auto"/>
      </w:pPr>
      <w:r>
        <w:separator/>
      </w:r>
    </w:p>
  </w:endnote>
  <w:endnote w:type="continuationSeparator" w:id="0">
    <w:p w14:paraId="58832667" w14:textId="77777777" w:rsidR="00E0672C" w:rsidRDefault="00E0672C" w:rsidP="00DA0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8415" w14:textId="77777777" w:rsidR="00E0672C" w:rsidRDefault="00E0672C" w:rsidP="00DA0793">
      <w:pPr>
        <w:spacing w:line="240" w:lineRule="auto"/>
      </w:pPr>
      <w:r>
        <w:separator/>
      </w:r>
    </w:p>
  </w:footnote>
  <w:footnote w:type="continuationSeparator" w:id="0">
    <w:p w14:paraId="04FB641B" w14:textId="77777777" w:rsidR="00E0672C" w:rsidRDefault="00E0672C" w:rsidP="00DA07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97"/>
    <w:rsid w:val="00034C9B"/>
    <w:rsid w:val="00036711"/>
    <w:rsid w:val="000E747C"/>
    <w:rsid w:val="00120A35"/>
    <w:rsid w:val="00131BF8"/>
    <w:rsid w:val="001E016B"/>
    <w:rsid w:val="001E2328"/>
    <w:rsid w:val="002726CF"/>
    <w:rsid w:val="003F6F51"/>
    <w:rsid w:val="0043080C"/>
    <w:rsid w:val="005171ED"/>
    <w:rsid w:val="0065092C"/>
    <w:rsid w:val="00697F74"/>
    <w:rsid w:val="006B229F"/>
    <w:rsid w:val="00770997"/>
    <w:rsid w:val="007777C4"/>
    <w:rsid w:val="009217B6"/>
    <w:rsid w:val="00955A7B"/>
    <w:rsid w:val="00966FB6"/>
    <w:rsid w:val="00A22E3D"/>
    <w:rsid w:val="00C521DD"/>
    <w:rsid w:val="00C615C4"/>
    <w:rsid w:val="00D00F2E"/>
    <w:rsid w:val="00D31848"/>
    <w:rsid w:val="00D702F0"/>
    <w:rsid w:val="00D832EE"/>
    <w:rsid w:val="00D963A9"/>
    <w:rsid w:val="00DA0793"/>
    <w:rsid w:val="00DF6E91"/>
    <w:rsid w:val="00E0672C"/>
    <w:rsid w:val="00E40615"/>
    <w:rsid w:val="00F650CA"/>
    <w:rsid w:val="00F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11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97"/>
    <w:pPr>
      <w:spacing w:after="0" w:line="360" w:lineRule="auto"/>
    </w:pPr>
    <w:rPr>
      <w:rFonts w:eastAsia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79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93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079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93"/>
    <w:rPr>
      <w:rFonts w:eastAsia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2022-08-16T00:37:00Z</dcterms:created>
  <dcterms:modified xsi:type="dcterms:W3CDTF">2022-08-16T00:37:00Z</dcterms:modified>
</cp:coreProperties>
</file>