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35DE" w14:textId="77777777" w:rsidR="00A81A2E" w:rsidRPr="003828BB" w:rsidRDefault="00B56A21" w:rsidP="009F0E0D">
      <w:pPr>
        <w:pStyle w:val="BATitle"/>
        <w:spacing w:line="240" w:lineRule="auto"/>
        <w:rPr>
          <w:b/>
          <w:sz w:val="24"/>
          <w:szCs w:val="24"/>
        </w:rPr>
      </w:pPr>
      <w:r w:rsidRPr="003828BB">
        <w:rPr>
          <w:b/>
          <w:sz w:val="24"/>
          <w:szCs w:val="24"/>
        </w:rPr>
        <w:t>SUPPLEMENTARY INFORMATION</w:t>
      </w:r>
    </w:p>
    <w:p w14:paraId="7D78E780" w14:textId="77777777" w:rsidR="0012232D" w:rsidRPr="003828BB" w:rsidRDefault="0012232D" w:rsidP="009F0E0D">
      <w:pPr>
        <w:pStyle w:val="Heading1"/>
        <w:tabs>
          <w:tab w:val="right" w:pos="9070"/>
        </w:tabs>
        <w:rPr>
          <w:rFonts w:ascii="Times New Roman" w:hAnsi="Times New Roman" w:cs="Times New Roman"/>
          <w:lang w:val="en-US"/>
        </w:rPr>
      </w:pPr>
    </w:p>
    <w:p w14:paraId="163CD527" w14:textId="7D533DDB" w:rsidR="00C05034" w:rsidRPr="003828BB" w:rsidRDefault="00B56A21" w:rsidP="009F0E0D">
      <w:pPr>
        <w:pStyle w:val="Heading1"/>
        <w:tabs>
          <w:tab w:val="right" w:pos="9070"/>
        </w:tabs>
        <w:rPr>
          <w:rFonts w:ascii="Times New Roman" w:hAnsi="Times New Roman" w:cs="Times New Roman"/>
          <w:lang w:val="en-US"/>
        </w:rPr>
      </w:pPr>
      <w:r w:rsidRPr="003828BB">
        <w:rPr>
          <w:rFonts w:ascii="Times New Roman" w:hAnsi="Times New Roman" w:cs="Times New Roman"/>
          <w:lang w:val="en-US"/>
        </w:rPr>
        <w:t xml:space="preserve">TITLE </w:t>
      </w:r>
    </w:p>
    <w:p w14:paraId="44A538BB" w14:textId="77777777" w:rsidR="0012232D" w:rsidRPr="003828BB" w:rsidRDefault="0012232D" w:rsidP="0012232D">
      <w:r w:rsidRPr="003828BB">
        <w:t xml:space="preserve">Preparation of zein-based nanoparticles: nanoprecipitation </w:t>
      </w:r>
      <w:r w:rsidRPr="003828BB">
        <w:rPr>
          <w:i/>
        </w:rPr>
        <w:t>versus</w:t>
      </w:r>
      <w:r w:rsidRPr="003828BB">
        <w:t xml:space="preserve"> microfluidic-assisted manufacture, effects of PEGylation on nanoparticle characteristics and cellular uptake by melanoma cells</w:t>
      </w:r>
    </w:p>
    <w:p w14:paraId="06B6F8DF" w14:textId="77777777" w:rsidR="0012232D" w:rsidRPr="003828BB" w:rsidRDefault="0012232D" w:rsidP="009F0E0D">
      <w:pPr>
        <w:spacing w:after="0"/>
        <w:rPr>
          <w:rFonts w:ascii="Times New Roman" w:hAnsi="Times New Roman"/>
          <w:b/>
          <w:szCs w:val="24"/>
        </w:rPr>
      </w:pPr>
    </w:p>
    <w:p w14:paraId="223EF8C2" w14:textId="09B1D7F8" w:rsidR="00B56A21" w:rsidRPr="003828BB" w:rsidRDefault="00B56A21" w:rsidP="009F0E0D">
      <w:pPr>
        <w:spacing w:after="0"/>
        <w:rPr>
          <w:rFonts w:ascii="Times New Roman" w:hAnsi="Times New Roman"/>
          <w:b/>
          <w:szCs w:val="24"/>
        </w:rPr>
      </w:pPr>
      <w:r w:rsidRPr="003828BB">
        <w:rPr>
          <w:rFonts w:ascii="Times New Roman" w:hAnsi="Times New Roman"/>
          <w:b/>
          <w:szCs w:val="24"/>
        </w:rPr>
        <w:t>AUTHORS NAMES AND AFFILIATIONS</w:t>
      </w:r>
    </w:p>
    <w:p w14:paraId="74576986" w14:textId="7F9BAEF5" w:rsidR="009D4844" w:rsidRPr="003828BB" w:rsidRDefault="00B56A21" w:rsidP="009D4844">
      <w:pPr>
        <w:pStyle w:val="BBAuthorName"/>
        <w:spacing w:after="200" w:line="240" w:lineRule="auto"/>
        <w:jc w:val="left"/>
        <w:rPr>
          <w:rFonts w:ascii="Times New Roman" w:hAnsi="Times New Roman"/>
          <w:i w:val="0"/>
          <w:szCs w:val="24"/>
        </w:rPr>
      </w:pPr>
      <w:r w:rsidRPr="003828BB">
        <w:rPr>
          <w:rFonts w:ascii="Times New Roman" w:hAnsi="Times New Roman"/>
          <w:i w:val="0"/>
          <w:szCs w:val="24"/>
        </w:rPr>
        <w:t>Jitkasem Meewan</w:t>
      </w:r>
      <w:r w:rsidR="00A274AD" w:rsidRPr="003828BB">
        <w:rPr>
          <w:rFonts w:ascii="Times New Roman" w:hAnsi="Times New Roman"/>
          <w:i w:val="0"/>
          <w:szCs w:val="24"/>
          <w:vertAlign w:val="superscript"/>
        </w:rPr>
        <w:t>1</w:t>
      </w:r>
      <w:r w:rsidRPr="003828BB">
        <w:rPr>
          <w:rFonts w:ascii="Times New Roman" w:hAnsi="Times New Roman"/>
          <w:i w:val="0"/>
          <w:szCs w:val="24"/>
        </w:rPr>
        <w:t>, Sukrut Somani</w:t>
      </w:r>
      <w:r w:rsidR="00A274AD" w:rsidRPr="003828BB">
        <w:rPr>
          <w:rFonts w:ascii="Times New Roman" w:hAnsi="Times New Roman"/>
          <w:i w:val="0"/>
          <w:szCs w:val="24"/>
          <w:vertAlign w:val="superscript"/>
        </w:rPr>
        <w:t>1</w:t>
      </w:r>
      <w:r w:rsidRPr="003828BB">
        <w:rPr>
          <w:rFonts w:ascii="Times New Roman" w:hAnsi="Times New Roman"/>
          <w:i w:val="0"/>
          <w:szCs w:val="24"/>
        </w:rPr>
        <w:t xml:space="preserve">, </w:t>
      </w:r>
      <w:r w:rsidR="004A73E9" w:rsidRPr="003828BB">
        <w:rPr>
          <w:rFonts w:ascii="Times New Roman" w:hAnsi="Times New Roman"/>
          <w:i w:val="0"/>
          <w:szCs w:val="24"/>
        </w:rPr>
        <w:t>Jamal Almowalad</w:t>
      </w:r>
      <w:r w:rsidR="00A274AD" w:rsidRPr="003828BB">
        <w:rPr>
          <w:rFonts w:ascii="Times New Roman" w:hAnsi="Times New Roman"/>
          <w:i w:val="0"/>
          <w:szCs w:val="24"/>
          <w:vertAlign w:val="superscript"/>
        </w:rPr>
        <w:t>1</w:t>
      </w:r>
      <w:r w:rsidR="004A73E9" w:rsidRPr="003828BB">
        <w:rPr>
          <w:rFonts w:ascii="Times New Roman" w:hAnsi="Times New Roman"/>
          <w:i w:val="0"/>
          <w:szCs w:val="24"/>
        </w:rPr>
        <w:t xml:space="preserve">, </w:t>
      </w:r>
      <w:r w:rsidRPr="003828BB">
        <w:rPr>
          <w:rFonts w:ascii="Times New Roman" w:hAnsi="Times New Roman"/>
          <w:i w:val="0"/>
          <w:szCs w:val="24"/>
        </w:rPr>
        <w:t>Partha Laskar</w:t>
      </w:r>
      <w:r w:rsidR="00B17484" w:rsidRPr="003828BB">
        <w:rPr>
          <w:rFonts w:ascii="Times New Roman" w:hAnsi="Times New Roman"/>
          <w:i w:val="0"/>
          <w:szCs w:val="24"/>
          <w:vertAlign w:val="superscript"/>
        </w:rPr>
        <w:t>1</w:t>
      </w:r>
      <w:r w:rsidRPr="003828BB">
        <w:rPr>
          <w:rFonts w:ascii="Times New Roman" w:hAnsi="Times New Roman"/>
          <w:i w:val="0"/>
          <w:szCs w:val="24"/>
        </w:rPr>
        <w:t>, Margaret Mullin</w:t>
      </w:r>
      <w:r w:rsidR="00B17484" w:rsidRPr="003828BB">
        <w:rPr>
          <w:rFonts w:ascii="Times New Roman" w:hAnsi="Times New Roman"/>
          <w:i w:val="0"/>
          <w:szCs w:val="24"/>
          <w:vertAlign w:val="superscript"/>
        </w:rPr>
        <w:t>2</w:t>
      </w:r>
      <w:r w:rsidRPr="003828BB">
        <w:rPr>
          <w:rFonts w:ascii="Times New Roman" w:hAnsi="Times New Roman"/>
          <w:i w:val="0"/>
          <w:szCs w:val="24"/>
        </w:rPr>
        <w:t xml:space="preserve">, </w:t>
      </w:r>
      <w:r w:rsidR="004A73E9" w:rsidRPr="003828BB">
        <w:rPr>
          <w:rFonts w:ascii="Times New Roman" w:hAnsi="Times New Roman"/>
          <w:i w:val="0"/>
          <w:szCs w:val="24"/>
        </w:rPr>
        <w:t>Graeme MacKenzie</w:t>
      </w:r>
      <w:r w:rsidR="00A274AD" w:rsidRPr="003828BB">
        <w:rPr>
          <w:rFonts w:ascii="Times New Roman" w:hAnsi="Times New Roman"/>
          <w:i w:val="0"/>
          <w:szCs w:val="24"/>
          <w:vertAlign w:val="superscript"/>
        </w:rPr>
        <w:t>1</w:t>
      </w:r>
      <w:r w:rsidRPr="003828BB">
        <w:rPr>
          <w:rFonts w:ascii="Times New Roman" w:hAnsi="Times New Roman"/>
          <w:i w:val="0"/>
          <w:szCs w:val="24"/>
        </w:rPr>
        <w:t xml:space="preserve">, </w:t>
      </w:r>
      <w:r w:rsidR="00585C3B" w:rsidRPr="003828BB">
        <w:rPr>
          <w:rFonts w:cs="Arial"/>
          <w:i w:val="0"/>
          <w:iCs/>
          <w:lang w:val="en-GB"/>
        </w:rPr>
        <w:t>Swapnil Khadke</w:t>
      </w:r>
      <w:r w:rsidR="00A274AD" w:rsidRPr="003828BB">
        <w:rPr>
          <w:rFonts w:cs="Arial"/>
          <w:i w:val="0"/>
          <w:iCs/>
          <w:vertAlign w:val="superscript"/>
          <w:lang w:val="en-GB"/>
        </w:rPr>
        <w:t>1</w:t>
      </w:r>
      <w:r w:rsidR="00585C3B" w:rsidRPr="003828BB">
        <w:rPr>
          <w:rFonts w:cs="Arial"/>
          <w:i w:val="0"/>
          <w:iCs/>
          <w:lang w:val="en-GB"/>
        </w:rPr>
        <w:t>, Yvonne Perrie</w:t>
      </w:r>
      <w:r w:rsidR="00A274AD" w:rsidRPr="003828BB">
        <w:rPr>
          <w:rFonts w:cs="Arial"/>
          <w:i w:val="0"/>
          <w:iCs/>
          <w:vertAlign w:val="superscript"/>
          <w:lang w:val="en-GB"/>
        </w:rPr>
        <w:t>1</w:t>
      </w:r>
      <w:r w:rsidR="00585C3B" w:rsidRPr="003828BB">
        <w:rPr>
          <w:rFonts w:cs="Arial"/>
          <w:i w:val="0"/>
          <w:iCs/>
          <w:lang w:val="en-GB"/>
        </w:rPr>
        <w:t>,</w:t>
      </w:r>
      <w:r w:rsidR="00585C3B" w:rsidRPr="003828BB">
        <w:rPr>
          <w:rFonts w:cs="Arial"/>
          <w:lang w:val="en-GB"/>
        </w:rPr>
        <w:t xml:space="preserve"> </w:t>
      </w:r>
      <w:r w:rsidRPr="003828BB">
        <w:rPr>
          <w:rFonts w:ascii="Times New Roman" w:hAnsi="Times New Roman"/>
          <w:i w:val="0"/>
          <w:szCs w:val="24"/>
        </w:rPr>
        <w:t>Christine Dufès</w:t>
      </w:r>
      <w:r w:rsidR="00A274AD" w:rsidRPr="003828BB">
        <w:rPr>
          <w:rFonts w:ascii="Times New Roman" w:hAnsi="Times New Roman"/>
          <w:i w:val="0"/>
          <w:szCs w:val="24"/>
          <w:vertAlign w:val="superscript"/>
        </w:rPr>
        <w:t>1</w:t>
      </w:r>
      <w:r w:rsidRPr="003828BB">
        <w:rPr>
          <w:rFonts w:ascii="Times New Roman" w:hAnsi="Times New Roman"/>
          <w:i w:val="0"/>
          <w:szCs w:val="24"/>
        </w:rPr>
        <w:t>,*</w:t>
      </w:r>
    </w:p>
    <w:p w14:paraId="125B8323" w14:textId="77777777" w:rsidR="00A274AD" w:rsidRPr="003828BB" w:rsidRDefault="00A274AD" w:rsidP="00A274AD">
      <w:pPr>
        <w:rPr>
          <w:rFonts w:ascii="Times New Roman" w:hAnsi="Times New Roman"/>
          <w:szCs w:val="24"/>
        </w:rPr>
      </w:pPr>
      <w:r w:rsidRPr="003828BB">
        <w:rPr>
          <w:rFonts w:ascii="Times New Roman" w:hAnsi="Times New Roman"/>
          <w:szCs w:val="24"/>
          <w:vertAlign w:val="superscript"/>
        </w:rPr>
        <w:t>1</w:t>
      </w:r>
      <w:r w:rsidRPr="003828BB">
        <w:rPr>
          <w:rFonts w:ascii="Times New Roman" w:hAnsi="Times New Roman"/>
          <w:szCs w:val="24"/>
        </w:rPr>
        <w:t xml:space="preserve"> Strathclyde Institute of Pharmacy and Biomedical Sciences, University of Strathclyde, Glasgow G4 0RE, United Kingdom</w:t>
      </w:r>
    </w:p>
    <w:p w14:paraId="083FDD87" w14:textId="0186309D" w:rsidR="00A274AD" w:rsidRPr="003828BB" w:rsidRDefault="00B17484" w:rsidP="00A274AD">
      <w:pPr>
        <w:rPr>
          <w:rFonts w:ascii="Times New Roman" w:hAnsi="Times New Roman"/>
          <w:iCs/>
          <w:szCs w:val="24"/>
        </w:rPr>
      </w:pPr>
      <w:r w:rsidRPr="003828BB">
        <w:rPr>
          <w:rFonts w:ascii="Times New Roman" w:hAnsi="Times New Roman"/>
          <w:iCs/>
          <w:szCs w:val="24"/>
          <w:vertAlign w:val="superscript"/>
        </w:rPr>
        <w:t>2</w:t>
      </w:r>
      <w:r w:rsidR="00A274AD" w:rsidRPr="003828BB">
        <w:rPr>
          <w:rFonts w:ascii="Times New Roman" w:hAnsi="Times New Roman"/>
          <w:iCs/>
          <w:szCs w:val="24"/>
        </w:rPr>
        <w:t xml:space="preserve"> Glasgow Imaging Facility, College of Medical, Veterinary and Life Sciences, University of Glasgow, Glasgow G12 8QQ, United Kingdom</w:t>
      </w:r>
    </w:p>
    <w:p w14:paraId="4B1DA00F" w14:textId="77777777" w:rsidR="004A73E9" w:rsidRPr="003828BB" w:rsidRDefault="004A73E9" w:rsidP="009F0E0D">
      <w:pPr>
        <w:rPr>
          <w:rFonts w:ascii="Times New Roman" w:hAnsi="Times New Roman"/>
          <w:b/>
          <w:szCs w:val="24"/>
        </w:rPr>
      </w:pPr>
    </w:p>
    <w:p w14:paraId="4A922C7A" w14:textId="77777777" w:rsidR="004A73E9" w:rsidRPr="003828BB" w:rsidRDefault="004A73E9" w:rsidP="009F0E0D">
      <w:pPr>
        <w:rPr>
          <w:rFonts w:ascii="Times New Roman" w:hAnsi="Times New Roman"/>
          <w:szCs w:val="24"/>
        </w:rPr>
      </w:pPr>
      <w:r w:rsidRPr="003828BB">
        <w:rPr>
          <w:rFonts w:ascii="Times New Roman" w:hAnsi="Times New Roman"/>
          <w:b/>
          <w:szCs w:val="24"/>
        </w:rPr>
        <w:t xml:space="preserve">* Corresponding author: </w:t>
      </w:r>
      <w:r w:rsidRPr="003828BB">
        <w:rPr>
          <w:rFonts w:ascii="Times New Roman" w:hAnsi="Times New Roman"/>
          <w:szCs w:val="24"/>
        </w:rPr>
        <w:t>Christine Dufès</w:t>
      </w:r>
    </w:p>
    <w:p w14:paraId="64C113AB" w14:textId="77777777" w:rsidR="004A73E9" w:rsidRPr="003828BB" w:rsidRDefault="004A73E9" w:rsidP="009F0E0D">
      <w:pPr>
        <w:rPr>
          <w:rFonts w:ascii="Times New Roman" w:hAnsi="Times New Roman"/>
          <w:szCs w:val="24"/>
        </w:rPr>
      </w:pPr>
      <w:r w:rsidRPr="003828BB">
        <w:rPr>
          <w:rFonts w:ascii="Times New Roman" w:hAnsi="Times New Roman"/>
          <w:szCs w:val="24"/>
        </w:rPr>
        <w:t>Strathclyde Institute of Pharmacy and Biomedical Sciences, University of Strathclyde, 161 Cathedral Street, Glasgow G4 0RE, United Kingdom</w:t>
      </w:r>
    </w:p>
    <w:p w14:paraId="5E1C6EAC" w14:textId="77777777" w:rsidR="004A73E9" w:rsidRPr="003828BB" w:rsidRDefault="004A73E9" w:rsidP="009F0E0D">
      <w:pPr>
        <w:rPr>
          <w:rFonts w:ascii="Times New Roman" w:hAnsi="Times New Roman"/>
          <w:szCs w:val="24"/>
        </w:rPr>
      </w:pPr>
      <w:r w:rsidRPr="003828BB">
        <w:rPr>
          <w:rFonts w:ascii="Times New Roman" w:hAnsi="Times New Roman"/>
          <w:szCs w:val="24"/>
        </w:rPr>
        <w:t>Phone: 44 -141 548 3796</w:t>
      </w:r>
    </w:p>
    <w:p w14:paraId="03CE9760" w14:textId="77777777" w:rsidR="004A73E9" w:rsidRPr="003828BB" w:rsidRDefault="004A73E9" w:rsidP="009F0E0D">
      <w:pPr>
        <w:rPr>
          <w:rFonts w:ascii="Times New Roman" w:hAnsi="Times New Roman"/>
          <w:szCs w:val="24"/>
        </w:rPr>
      </w:pPr>
      <w:r w:rsidRPr="003828BB">
        <w:rPr>
          <w:rFonts w:ascii="Times New Roman" w:hAnsi="Times New Roman"/>
          <w:szCs w:val="24"/>
        </w:rPr>
        <w:t>Fax: 44 -141 552 2562</w:t>
      </w:r>
    </w:p>
    <w:p w14:paraId="2791FE04" w14:textId="4D1056CD" w:rsidR="004A73E9" w:rsidRPr="003828BB" w:rsidRDefault="004A73E9" w:rsidP="009F0E0D">
      <w:pPr>
        <w:rPr>
          <w:rStyle w:val="Hyperlink"/>
          <w:rFonts w:ascii="Times New Roman" w:hAnsi="Times New Roman"/>
          <w:color w:val="auto"/>
          <w:szCs w:val="24"/>
        </w:rPr>
      </w:pPr>
      <w:r w:rsidRPr="003828BB">
        <w:rPr>
          <w:rFonts w:ascii="Times New Roman" w:hAnsi="Times New Roman"/>
          <w:szCs w:val="24"/>
        </w:rPr>
        <w:t xml:space="preserve">E-mail: </w:t>
      </w:r>
      <w:hyperlink r:id="rId7" w:history="1">
        <w:r w:rsidRPr="003828BB">
          <w:rPr>
            <w:rStyle w:val="Hyperlink"/>
            <w:rFonts w:ascii="Times New Roman" w:hAnsi="Times New Roman"/>
            <w:color w:val="auto"/>
            <w:szCs w:val="24"/>
          </w:rPr>
          <w:t>C.Dufes@strath.ac.uk</w:t>
        </w:r>
      </w:hyperlink>
    </w:p>
    <w:p w14:paraId="06DEE239" w14:textId="2F995FD4" w:rsidR="006C6257" w:rsidRPr="003828BB" w:rsidRDefault="006C6257">
      <w:pPr>
        <w:spacing w:after="0"/>
        <w:jc w:val="left"/>
        <w:rPr>
          <w:rStyle w:val="Hyperlink"/>
          <w:rFonts w:ascii="Times New Roman" w:hAnsi="Times New Roman"/>
          <w:color w:val="auto"/>
          <w:szCs w:val="24"/>
        </w:rPr>
      </w:pPr>
      <w:r w:rsidRPr="003828BB">
        <w:rPr>
          <w:rStyle w:val="Hyperlink"/>
          <w:rFonts w:ascii="Times New Roman" w:hAnsi="Times New Roman"/>
          <w:color w:val="auto"/>
          <w:szCs w:val="24"/>
        </w:rPr>
        <w:br w:type="page"/>
      </w:r>
    </w:p>
    <w:p w14:paraId="10E5749B" w14:textId="4EFA159E" w:rsidR="00501B30" w:rsidRPr="003828BB" w:rsidRDefault="00501B30" w:rsidP="000776F9">
      <w:pPr>
        <w:spacing w:after="0"/>
        <w:jc w:val="thaiDistribute"/>
        <w:rPr>
          <w:b/>
          <w:bCs/>
        </w:rPr>
      </w:pPr>
      <w:r w:rsidRPr="003828BB">
        <w:rPr>
          <w:rFonts w:cs="Arial"/>
          <w:b/>
          <w:bCs/>
          <w:lang w:val="en-GB"/>
        </w:rPr>
        <w:lastRenderedPageBreak/>
        <w:t xml:space="preserve">Optimization </w:t>
      </w:r>
      <w:r w:rsidRPr="003828BB">
        <w:rPr>
          <w:b/>
          <w:bCs/>
        </w:rPr>
        <w:t xml:space="preserve">of </w:t>
      </w:r>
      <w:r w:rsidR="00E02AA5" w:rsidRPr="003828BB">
        <w:rPr>
          <w:b/>
          <w:bCs/>
        </w:rPr>
        <w:t>production parameters using microfluidic system</w:t>
      </w:r>
    </w:p>
    <w:p w14:paraId="33234D3E" w14:textId="77777777" w:rsidR="000776F9" w:rsidRPr="003828BB" w:rsidRDefault="000776F9" w:rsidP="000776F9">
      <w:pPr>
        <w:spacing w:after="0"/>
        <w:jc w:val="thaiDistribute"/>
        <w:rPr>
          <w:rFonts w:ascii="Times New Roman" w:hAnsi="Times New Roman"/>
          <w:b/>
          <w:bCs/>
          <w:szCs w:val="24"/>
          <w:lang w:val="en-GB"/>
        </w:rPr>
      </w:pPr>
    </w:p>
    <w:p w14:paraId="18270D81" w14:textId="6E3DE906" w:rsidR="0058705B" w:rsidRPr="003828BB" w:rsidRDefault="00604738" w:rsidP="00BF1391">
      <w:pPr>
        <w:spacing w:after="0"/>
        <w:rPr>
          <w:rFonts w:ascii="Times New Roman" w:hAnsi="Times New Roman" w:cs="Arial"/>
          <w:szCs w:val="24"/>
          <w:lang w:bidi="th-TH"/>
        </w:rPr>
      </w:pPr>
      <w:r w:rsidRPr="003828BB">
        <w:rPr>
          <w:rFonts w:ascii="Times New Roman" w:hAnsi="Times New Roman" w:cs="Arial"/>
          <w:szCs w:val="24"/>
          <w:lang w:bidi="th-TH"/>
        </w:rPr>
        <w:t xml:space="preserve">Zein (5-30 mg) was dissolved in 1 mL of 80% </w:t>
      </w:r>
      <w:r w:rsidR="00924780" w:rsidRPr="003828BB">
        <w:rPr>
          <w:rFonts w:ascii="Times New Roman" w:hAnsi="Times New Roman" w:cs="Arial"/>
          <w:szCs w:val="24"/>
          <w:lang w:val="en-GB" w:bidi="th-TH"/>
        </w:rPr>
        <w:t>(</w:t>
      </w:r>
      <w:r w:rsidRPr="003828BB">
        <w:rPr>
          <w:rFonts w:ascii="Times New Roman" w:hAnsi="Times New Roman" w:cs="Arial"/>
          <w:szCs w:val="24"/>
          <w:lang w:bidi="th-TH"/>
        </w:rPr>
        <w:t>v/v</w:t>
      </w:r>
      <w:r w:rsidR="00924780" w:rsidRPr="003828BB">
        <w:rPr>
          <w:rFonts w:ascii="Times New Roman" w:hAnsi="Times New Roman" w:cs="Arial"/>
          <w:szCs w:val="24"/>
          <w:lang w:val="en-GB" w:bidi="th-TH"/>
        </w:rPr>
        <w:t>)</w:t>
      </w:r>
      <w:r w:rsidRPr="003828BB">
        <w:rPr>
          <w:rFonts w:ascii="Times New Roman" w:hAnsi="Times New Roman" w:cs="Arial"/>
          <w:szCs w:val="24"/>
          <w:lang w:bidi="th-TH"/>
        </w:rPr>
        <w:t xml:space="preserve"> ethanol (forming 0.5-3% w/v solution) and stirred at 700 </w:t>
      </w:r>
      <w:r w:rsidR="00D25320" w:rsidRPr="003828BB">
        <w:rPr>
          <w:rFonts w:ascii="Times New Roman" w:hAnsi="Times New Roman" w:cs="Arial"/>
          <w:szCs w:val="24"/>
          <w:lang w:val="en-GB" w:bidi="th-TH"/>
        </w:rPr>
        <w:t>rpm</w:t>
      </w:r>
      <w:r w:rsidRPr="003828BB">
        <w:rPr>
          <w:rFonts w:ascii="Times New Roman" w:hAnsi="Times New Roman" w:cs="Arial"/>
          <w:szCs w:val="24"/>
          <w:lang w:bidi="th-TH"/>
        </w:rPr>
        <w:t xml:space="preserve"> overnight at 25ºC. The zein solution was filtered through a 13</w:t>
      </w:r>
      <w:r w:rsidR="00924780" w:rsidRPr="003828BB">
        <w:rPr>
          <w:rFonts w:ascii="Times New Roman" w:hAnsi="Times New Roman" w:cs="Arial"/>
          <w:szCs w:val="24"/>
          <w:lang w:val="en-GB" w:bidi="th-TH"/>
        </w:rPr>
        <w:t>-</w:t>
      </w:r>
      <w:r w:rsidRPr="003828BB">
        <w:rPr>
          <w:rFonts w:ascii="Times New Roman" w:hAnsi="Times New Roman" w:cs="Arial"/>
          <w:szCs w:val="24"/>
          <w:lang w:bidi="th-TH"/>
        </w:rPr>
        <w:t xml:space="preserve">mm syringe filter (0.8 µm). Subsequently, </w:t>
      </w:r>
      <w:r w:rsidR="006C6257" w:rsidRPr="003828BB">
        <w:rPr>
          <w:rFonts w:ascii="Times New Roman" w:hAnsi="Times New Roman" w:cs="Arial"/>
          <w:szCs w:val="24"/>
          <w:lang w:bidi="th-TH"/>
        </w:rPr>
        <w:t>CR6 (</w:t>
      </w:r>
      <w:r w:rsidRPr="003828BB">
        <w:rPr>
          <w:rFonts w:ascii="Times New Roman" w:hAnsi="Times New Roman" w:cs="Arial"/>
          <w:szCs w:val="24"/>
          <w:lang w:bidi="th-TH"/>
        </w:rPr>
        <w:t xml:space="preserve">0.02-0.1% w/w of </w:t>
      </w:r>
      <w:r w:rsidR="006C6257" w:rsidRPr="003828BB">
        <w:rPr>
          <w:rFonts w:ascii="Times New Roman" w:hAnsi="Times New Roman" w:cs="Arial"/>
          <w:szCs w:val="24"/>
          <w:lang w:bidi="th-TH"/>
        </w:rPr>
        <w:t xml:space="preserve">zein) </w:t>
      </w:r>
      <w:r w:rsidRPr="003828BB">
        <w:rPr>
          <w:rFonts w:ascii="Times New Roman" w:hAnsi="Times New Roman" w:cs="Arial"/>
          <w:szCs w:val="24"/>
          <w:lang w:bidi="th-TH"/>
        </w:rPr>
        <w:t xml:space="preserve">was added to the filtered zein solution and the mixture was stirred at 400 </w:t>
      </w:r>
      <w:r w:rsidR="00D25320" w:rsidRPr="003828BB">
        <w:rPr>
          <w:rFonts w:ascii="Times New Roman" w:hAnsi="Times New Roman" w:cs="Arial"/>
          <w:szCs w:val="24"/>
          <w:lang w:val="en-GB" w:bidi="th-TH"/>
        </w:rPr>
        <w:t>rpm</w:t>
      </w:r>
      <w:r w:rsidRPr="003828BB">
        <w:rPr>
          <w:rFonts w:ascii="Times New Roman" w:hAnsi="Times New Roman" w:cs="Arial"/>
          <w:szCs w:val="24"/>
          <w:lang w:bidi="th-TH"/>
        </w:rPr>
        <w:t xml:space="preserve"> for 1 h at 37ºC. </w:t>
      </w:r>
      <w:r w:rsidR="006C6257" w:rsidRPr="003828BB">
        <w:rPr>
          <w:rFonts w:ascii="Times New Roman" w:hAnsi="Times New Roman" w:cs="Arial"/>
          <w:szCs w:val="24"/>
          <w:lang w:bidi="th-TH"/>
        </w:rPr>
        <w:t xml:space="preserve">The samples were run at various total flow rates (TFR) and flow rate ratios (FRR) between the water and the zein phase. </w:t>
      </w:r>
      <w:r w:rsidRPr="003828BB">
        <w:rPr>
          <w:rFonts w:ascii="Times New Roman" w:hAnsi="Times New Roman" w:cs="Arial"/>
          <w:szCs w:val="24"/>
          <w:lang w:bidi="th-TH"/>
        </w:rPr>
        <w:t xml:space="preserve">The mixing process took place in a microfluidic cartridge at room temperature and </w:t>
      </w:r>
      <w:r w:rsidR="006C6257" w:rsidRPr="003828BB">
        <w:rPr>
          <w:rFonts w:ascii="Times New Roman" w:hAnsi="Times New Roman" w:cs="Arial"/>
          <w:szCs w:val="24"/>
          <w:lang w:bidi="th-TH"/>
        </w:rPr>
        <w:t xml:space="preserve">the nanoparticles </w:t>
      </w:r>
      <w:r w:rsidRPr="003828BB">
        <w:rPr>
          <w:rFonts w:ascii="Times New Roman" w:hAnsi="Times New Roman" w:cs="Arial"/>
          <w:szCs w:val="24"/>
          <w:lang w:bidi="th-TH"/>
        </w:rPr>
        <w:t xml:space="preserve">were collected at the microfluidics chip’s outlet channel. The collected samples were placed in </w:t>
      </w:r>
      <w:r w:rsidR="00924780" w:rsidRPr="003828BB">
        <w:rPr>
          <w:rFonts w:ascii="Times New Roman" w:hAnsi="Times New Roman" w:cs="Arial"/>
          <w:szCs w:val="24"/>
          <w:lang w:val="en-GB" w:bidi="th-TH"/>
        </w:rPr>
        <w:t xml:space="preserve">a </w:t>
      </w:r>
      <w:r w:rsidRPr="003828BB">
        <w:rPr>
          <w:rFonts w:ascii="Times New Roman" w:hAnsi="Times New Roman" w:cs="Arial"/>
          <w:szCs w:val="24"/>
          <w:lang w:bidi="th-TH"/>
        </w:rPr>
        <w:t xml:space="preserve">50ºC room to anneal for 1.5 h to enable CR6 loading into the nanoparticles. Samples (1 mL) were then transferred to 1.5 mL Eppendorf tubes and purified by one cycle of centrifugation (1000 g, </w:t>
      </w:r>
      <w:r w:rsidR="006C2428" w:rsidRPr="003828BB">
        <w:rPr>
          <w:rFonts w:ascii="Times New Roman" w:hAnsi="Times New Roman" w:cs="Arial"/>
          <w:szCs w:val="24"/>
          <w:lang w:bidi="th-TH"/>
        </w:rPr>
        <w:t xml:space="preserve">for </w:t>
      </w:r>
      <w:r w:rsidRPr="003828BB">
        <w:rPr>
          <w:rFonts w:ascii="Times New Roman" w:hAnsi="Times New Roman" w:cs="Arial"/>
          <w:szCs w:val="24"/>
          <w:lang w:bidi="th-TH"/>
        </w:rPr>
        <w:t xml:space="preserve">10 min, </w:t>
      </w:r>
      <w:r w:rsidR="006C2428" w:rsidRPr="003828BB">
        <w:rPr>
          <w:rFonts w:ascii="Times New Roman" w:hAnsi="Times New Roman" w:cs="Arial"/>
          <w:szCs w:val="24"/>
          <w:lang w:bidi="th-TH"/>
        </w:rPr>
        <w:t xml:space="preserve">at </w:t>
      </w:r>
      <w:r w:rsidRPr="003828BB">
        <w:rPr>
          <w:rFonts w:ascii="Times New Roman" w:hAnsi="Times New Roman" w:cs="Arial"/>
          <w:szCs w:val="24"/>
          <w:lang w:bidi="th-TH"/>
        </w:rPr>
        <w:t>25ºC) to remove ethanol and free CR6. Pellets were resuspended in 1 mL Milli-Q</w:t>
      </w:r>
      <w:r w:rsidRPr="003828BB">
        <w:rPr>
          <w:rFonts w:ascii="Times New Roman" w:hAnsi="Times New Roman" w:cs="Arial"/>
          <w:szCs w:val="24"/>
          <w:vertAlign w:val="superscript"/>
          <w:lang w:bidi="th-TH"/>
        </w:rPr>
        <w:t>®</w:t>
      </w:r>
      <w:r w:rsidRPr="003828BB">
        <w:rPr>
          <w:rFonts w:ascii="Times New Roman" w:hAnsi="Times New Roman" w:cs="Arial"/>
          <w:szCs w:val="24"/>
          <w:lang w:bidi="th-TH"/>
        </w:rPr>
        <w:t xml:space="preserve"> water and were left to settle at room temperature for 1 h before analysis.</w:t>
      </w:r>
    </w:p>
    <w:p w14:paraId="3AC4430E" w14:textId="53DEF40D" w:rsidR="00924780" w:rsidRPr="003828BB" w:rsidRDefault="00924780" w:rsidP="0006102A">
      <w:pPr>
        <w:spacing w:after="0"/>
        <w:ind w:firstLine="204"/>
        <w:rPr>
          <w:rFonts w:ascii="Times New Roman" w:hAnsi="Times New Roman" w:cs="Arial"/>
          <w:szCs w:val="24"/>
          <w:lang w:bidi="th-TH"/>
        </w:rPr>
      </w:pPr>
    </w:p>
    <w:p w14:paraId="62462B48" w14:textId="4405D6A5" w:rsidR="00604738" w:rsidRPr="003828BB" w:rsidRDefault="00924780" w:rsidP="009F0E0D">
      <w:pPr>
        <w:jc w:val="thaiDistribute"/>
        <w:rPr>
          <w:rFonts w:ascii="Times New Roman" w:hAnsi="Times New Roman"/>
          <w:szCs w:val="24"/>
        </w:rPr>
      </w:pPr>
      <w:r w:rsidRPr="003828BB">
        <w:rPr>
          <w:rFonts w:ascii="Times New Roman" w:hAnsi="Times New Roman"/>
          <w:b/>
          <w:bCs/>
          <w:szCs w:val="24"/>
          <w:lang w:val="en-GB"/>
        </w:rPr>
        <w:t xml:space="preserve">Supplementary Table S1. </w:t>
      </w:r>
      <w:r w:rsidRPr="003828BB">
        <w:rPr>
          <w:rFonts w:ascii="Times New Roman" w:hAnsi="Times New Roman"/>
          <w:szCs w:val="24"/>
          <w:lang w:val="en-GB"/>
        </w:rPr>
        <w:t>Characteristics of zein nanoparticles synthesized in the microfluidic Y</w:t>
      </w:r>
      <w:r w:rsidR="00631551" w:rsidRPr="003828BB">
        <w:rPr>
          <w:rFonts w:ascii="Times New Roman" w:hAnsi="Times New Roman" w:cs="Angsana New"/>
          <w:szCs w:val="30"/>
          <w:lang w:val="en-GB" w:bidi="th-TH"/>
        </w:rPr>
        <w:t>-</w:t>
      </w:r>
      <w:r w:rsidRPr="003828BB">
        <w:rPr>
          <w:rFonts w:ascii="Times New Roman" w:hAnsi="Times New Roman"/>
          <w:szCs w:val="24"/>
          <w:lang w:val="en-GB"/>
        </w:rPr>
        <w:t xml:space="preserve"> junction and the effect of various experimental parameters used in this work. Results represent mean ± standard deviation of triplicate readings.</w:t>
      </w:r>
      <w:r w:rsidRPr="003828BB">
        <w:rPr>
          <w:rFonts w:ascii="Times New Roman" w:hAnsi="Times New Roman"/>
          <w:szCs w:val="24"/>
        </w:rPr>
        <w:t xml:space="preserve"> 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1960"/>
        <w:gridCol w:w="860"/>
        <w:gridCol w:w="1660"/>
        <w:gridCol w:w="1520"/>
        <w:gridCol w:w="1660"/>
        <w:gridCol w:w="1400"/>
      </w:tblGrid>
      <w:tr w:rsidR="003828BB" w:rsidRPr="003828BB" w14:paraId="4E3B32C6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4048B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F13CD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76801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DC19D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94FF1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CBB53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</w:tr>
      <w:tr w:rsidR="003828BB" w:rsidRPr="003828BB" w14:paraId="0A25AC3C" w14:textId="77777777" w:rsidTr="005807FD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A4AE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Parameters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7D61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Average size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C7BB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PDI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3471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Zeta potential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8EEC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EE (%)</w:t>
            </w:r>
          </w:p>
        </w:tc>
      </w:tr>
      <w:tr w:rsidR="003828BB" w:rsidRPr="003828BB" w14:paraId="33BAD0AF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D2B9F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8F6AF2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06AD3E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 xml:space="preserve"> (nm)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0E981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AECBB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 xml:space="preserve"> (mV)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886DE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 </w:t>
            </w:r>
          </w:p>
        </w:tc>
      </w:tr>
      <w:tr w:rsidR="003828BB" w:rsidRPr="003828BB" w14:paraId="6C511A2B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A1D8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Zein (% w/v)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8DE4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6D65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140.2 ± 2.5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A869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0.07 ± 0.01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B37C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25.7 ± 1.6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9941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14.5 ± 0.2</w:t>
            </w:r>
          </w:p>
        </w:tc>
      </w:tr>
      <w:tr w:rsidR="003828BB" w:rsidRPr="003828BB" w14:paraId="23D00ABD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CF5D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2AC8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0835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153.1 ± 3.0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B304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0.07 ± 0.01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9185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31.0 ± 0.1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78E6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11.2 ± 0.4</w:t>
            </w:r>
          </w:p>
        </w:tc>
      </w:tr>
      <w:tr w:rsidR="003828BB" w:rsidRPr="003828BB" w14:paraId="5A05C335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BFCF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6F85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1CF4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158.1 ± 1.6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9C19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0.06 ± 0.02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54A8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30.7 ± 0.9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883F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12.7 ± 0.6</w:t>
            </w:r>
          </w:p>
        </w:tc>
      </w:tr>
      <w:tr w:rsidR="003828BB" w:rsidRPr="003828BB" w14:paraId="2707D7C0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EBECB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A32DB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DF5D7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171.6 ± 4.0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D23BB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0.04 ± 0.03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829E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34.5 ± 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FBE63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10.4 ± 0.5</w:t>
            </w:r>
          </w:p>
        </w:tc>
      </w:tr>
      <w:tr w:rsidR="003828BB" w:rsidRPr="003828BB" w14:paraId="253E104E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96EC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 xml:space="preserve">CR6 loading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C215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A4A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157.5 ± 1.2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77D9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0.06 ± 0.01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A51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25.7 ± 0.3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198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10.8 ± 0.2</w:t>
            </w:r>
          </w:p>
        </w:tc>
      </w:tr>
      <w:tr w:rsidR="003828BB" w:rsidRPr="003828BB" w14:paraId="42D43536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51C8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(% w/w)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5082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3F73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151.2 ± 0.5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0FC4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0.05 ± 0.02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CF1C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27.3 ± 0.8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3739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10.1 ± 0.1</w:t>
            </w:r>
          </w:p>
        </w:tc>
      </w:tr>
      <w:tr w:rsidR="003828BB" w:rsidRPr="003828BB" w14:paraId="673F9256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A3899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A3992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76C6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152.1 ± 0.8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C5083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0.08 ± 0.03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8F79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25.5 ± 0.9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205A6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10.3 ± 0.2</w:t>
            </w:r>
          </w:p>
        </w:tc>
      </w:tr>
      <w:tr w:rsidR="003828BB" w:rsidRPr="003828BB" w14:paraId="67A18E54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CFB4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Flow Rate Ratio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D36E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1:1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EECA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Aggregation</w:t>
            </w:r>
          </w:p>
        </w:tc>
      </w:tr>
      <w:tr w:rsidR="003828BB" w:rsidRPr="003828BB" w14:paraId="7B219CE5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0947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 xml:space="preserve"> (FRR)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BDB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3:1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DB1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151.2 ± 0.5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AB48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0.05 ± 0.02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EB61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27.3 ± 0.8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DCC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10.1 ± 0.1</w:t>
            </w:r>
          </w:p>
        </w:tc>
      </w:tr>
      <w:tr w:rsidR="003828BB" w:rsidRPr="003828BB" w14:paraId="4BD545AD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CF3A7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C2E4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5:1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72C43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92.6 ± 0.6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9C61A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0.16 ± 0.01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1C364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20.0 ± 1.5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1953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5.5 ± 0.1</w:t>
            </w:r>
          </w:p>
        </w:tc>
      </w:tr>
      <w:tr w:rsidR="003828BB" w:rsidRPr="003828BB" w14:paraId="4358B52A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E59F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 xml:space="preserve">Total Flow Rate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F48E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C5BA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211.6 ± 4.2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37C0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0.13 ± 0.04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B005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34.6 ± 0.4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7F8A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7.8 ± 0.3</w:t>
            </w:r>
          </w:p>
        </w:tc>
      </w:tr>
      <w:tr w:rsidR="003828BB" w:rsidRPr="003828BB" w14:paraId="7ACCF3D6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D28B" w14:textId="42057718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(TFR)</w:t>
            </w:r>
            <w:r w:rsidR="00E54EDD" w:rsidRPr="003828BB">
              <w:rPr>
                <w:rFonts w:ascii="Arial" w:hAnsi="Arial" w:cs="Arial"/>
                <w:sz w:val="20"/>
                <w:lang w:val="en-GB" w:eastAsia="en-GB"/>
              </w:rPr>
              <w:t xml:space="preserve"> (mL/min)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E082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B60A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165.1 ± 5.3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7D2C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0.09 ± 0.04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A4CD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32.2 ± 0.5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1F91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6.8 ± 0.1</w:t>
            </w:r>
          </w:p>
        </w:tc>
      </w:tr>
      <w:tr w:rsidR="005807FD" w:rsidRPr="003828BB" w14:paraId="21DFEF4E" w14:textId="77777777" w:rsidTr="005807FD">
        <w:trPr>
          <w:trHeight w:val="301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343D1" w14:textId="77777777" w:rsidR="005807FD" w:rsidRPr="003828BB" w:rsidRDefault="005807FD" w:rsidP="005807F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D7222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04795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158.1 ± 1.6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7190A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0.06 ± 0.02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85C69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30.7 ± 0.9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E28CC" w14:textId="77777777" w:rsidR="005807FD" w:rsidRPr="003828BB" w:rsidRDefault="005807FD" w:rsidP="005807F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12.7 ± 0.6</w:t>
            </w:r>
          </w:p>
        </w:tc>
      </w:tr>
    </w:tbl>
    <w:p w14:paraId="2F085CDF" w14:textId="680A6132" w:rsidR="005807FD" w:rsidRPr="003828BB" w:rsidRDefault="005807FD" w:rsidP="009F0E0D">
      <w:pPr>
        <w:jc w:val="thaiDistribute"/>
        <w:rPr>
          <w:rFonts w:ascii="Times New Roman" w:hAnsi="Times New Roman"/>
          <w:szCs w:val="24"/>
        </w:rPr>
      </w:pPr>
    </w:p>
    <w:p w14:paraId="2FBC055C" w14:textId="77777777" w:rsidR="00501B30" w:rsidRPr="003828BB" w:rsidRDefault="00501B30" w:rsidP="0058705B">
      <w:pPr>
        <w:rPr>
          <w:rFonts w:ascii="Times New Roman" w:hAnsi="Times New Roman"/>
          <w:b/>
          <w:bCs/>
          <w:szCs w:val="24"/>
          <w:lang w:val="en-GB"/>
        </w:rPr>
      </w:pPr>
    </w:p>
    <w:p w14:paraId="5B37E306" w14:textId="77A7308C" w:rsidR="005807FD" w:rsidRPr="003828BB" w:rsidRDefault="005807FD">
      <w:pPr>
        <w:spacing w:after="0"/>
        <w:jc w:val="left"/>
        <w:rPr>
          <w:rFonts w:ascii="Times New Roman" w:hAnsi="Times New Roman"/>
          <w:b/>
          <w:bCs/>
          <w:szCs w:val="24"/>
          <w:lang w:val="en-GB"/>
        </w:rPr>
      </w:pPr>
      <w:r w:rsidRPr="003828BB">
        <w:rPr>
          <w:rFonts w:ascii="Times New Roman" w:hAnsi="Times New Roman"/>
          <w:b/>
          <w:bCs/>
          <w:szCs w:val="24"/>
          <w:lang w:val="en-GB"/>
        </w:rPr>
        <w:br w:type="page"/>
      </w:r>
    </w:p>
    <w:p w14:paraId="35FEE28E" w14:textId="3CF9A161" w:rsidR="00D25320" w:rsidRPr="003828BB" w:rsidRDefault="00501B30" w:rsidP="000776F9">
      <w:pPr>
        <w:spacing w:after="0"/>
        <w:jc w:val="thaiDistribute"/>
        <w:rPr>
          <w:b/>
          <w:bCs/>
        </w:rPr>
      </w:pPr>
      <w:r w:rsidRPr="003828BB">
        <w:rPr>
          <w:rFonts w:cs="Arial"/>
          <w:b/>
          <w:bCs/>
          <w:lang w:val="en-GB"/>
        </w:rPr>
        <w:lastRenderedPageBreak/>
        <w:t xml:space="preserve">Optimization </w:t>
      </w:r>
      <w:r w:rsidRPr="003828BB">
        <w:rPr>
          <w:b/>
          <w:bCs/>
        </w:rPr>
        <w:t xml:space="preserve">of </w:t>
      </w:r>
      <w:r w:rsidR="00E02AA5" w:rsidRPr="003828BB">
        <w:rPr>
          <w:b/>
          <w:bCs/>
        </w:rPr>
        <w:t>production parameters using nanoprecipitation</w:t>
      </w:r>
      <w:r w:rsidR="00676A5F" w:rsidRPr="003828BB">
        <w:rPr>
          <w:b/>
          <w:bCs/>
        </w:rPr>
        <w:t xml:space="preserve"> method</w:t>
      </w:r>
    </w:p>
    <w:p w14:paraId="46901C14" w14:textId="77777777" w:rsidR="000776F9" w:rsidRPr="003828BB" w:rsidRDefault="000776F9" w:rsidP="000776F9">
      <w:pPr>
        <w:spacing w:after="0"/>
        <w:jc w:val="thaiDistribute"/>
        <w:rPr>
          <w:rFonts w:ascii="Times New Roman" w:hAnsi="Times New Roman"/>
          <w:b/>
          <w:bCs/>
          <w:szCs w:val="24"/>
          <w:lang w:val="en-GB"/>
        </w:rPr>
      </w:pPr>
    </w:p>
    <w:p w14:paraId="4197F384" w14:textId="1EBDC9A5" w:rsidR="00BF1391" w:rsidRPr="003828BB" w:rsidRDefault="0058705B" w:rsidP="00BF1391">
      <w:pPr>
        <w:spacing w:after="0"/>
        <w:rPr>
          <w:rFonts w:ascii="Times New Roman" w:hAnsi="Times New Roman" w:cs="Arial"/>
          <w:szCs w:val="24"/>
          <w:cs/>
          <w:lang w:bidi="th-TH"/>
        </w:rPr>
      </w:pPr>
      <w:r w:rsidRPr="003828BB">
        <w:rPr>
          <w:rFonts w:ascii="Times New Roman" w:hAnsi="Times New Roman" w:cs="Arial"/>
          <w:szCs w:val="24"/>
          <w:lang w:bidi="th-TH"/>
        </w:rPr>
        <w:t>Z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ein </w:t>
      </w:r>
      <w:r w:rsidRPr="003828BB">
        <w:rPr>
          <w:rFonts w:ascii="Times New Roman" w:hAnsi="Times New Roman" w:cs="Arial"/>
          <w:szCs w:val="24"/>
          <w:lang w:bidi="th-TH"/>
        </w:rPr>
        <w:t xml:space="preserve">solution (0.5% w/v in 80% ethanol) 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was stirred at 700 </w:t>
      </w:r>
      <w:r w:rsidR="00D25320" w:rsidRPr="003828BB">
        <w:rPr>
          <w:rFonts w:ascii="Times New Roman" w:hAnsi="Times New Roman" w:cs="Arial"/>
          <w:szCs w:val="24"/>
          <w:lang w:val="en-GB" w:bidi="th-TH"/>
        </w:rPr>
        <w:t>rpm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 overnight at 25ºC</w:t>
      </w:r>
      <w:r w:rsidRPr="003828BB">
        <w:rPr>
          <w:rFonts w:ascii="Times New Roman" w:hAnsi="Times New Roman" w:cs="Arial"/>
          <w:szCs w:val="24"/>
          <w:lang w:bidi="th-TH"/>
        </w:rPr>
        <w:t xml:space="preserve"> before being </w:t>
      </w:r>
      <w:r w:rsidR="00A3724F" w:rsidRPr="003828BB">
        <w:rPr>
          <w:rFonts w:ascii="Times New Roman" w:hAnsi="Times New Roman" w:cs="Arial"/>
          <w:szCs w:val="24"/>
          <w:lang w:bidi="th-TH"/>
        </w:rPr>
        <w:t>filtered through a 13</w:t>
      </w:r>
      <w:r w:rsidR="00924780" w:rsidRPr="003828BB">
        <w:rPr>
          <w:rFonts w:ascii="Times New Roman" w:hAnsi="Times New Roman" w:cs="Arial"/>
          <w:szCs w:val="24"/>
          <w:lang w:val="en-GB" w:bidi="th-TH"/>
        </w:rPr>
        <w:t>-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mm syringe filter (0.8 µm). </w:t>
      </w:r>
      <w:r w:rsidRPr="003828BB">
        <w:rPr>
          <w:rFonts w:ascii="Times New Roman" w:hAnsi="Times New Roman" w:cs="Arial"/>
          <w:szCs w:val="24"/>
          <w:lang w:bidi="th-TH"/>
        </w:rPr>
        <w:t>Next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, CR6 </w:t>
      </w:r>
      <w:r w:rsidRPr="003828BB">
        <w:rPr>
          <w:rFonts w:ascii="Times New Roman" w:hAnsi="Times New Roman" w:cs="Arial"/>
          <w:szCs w:val="24"/>
          <w:lang w:bidi="th-TH"/>
        </w:rPr>
        <w:t>(0.1% w/w</w:t>
      </w:r>
      <w:r w:rsidR="006C6257" w:rsidRPr="003828BB">
        <w:rPr>
          <w:rFonts w:ascii="Times New Roman" w:hAnsi="Times New Roman" w:cs="Arial"/>
          <w:szCs w:val="24"/>
          <w:lang w:bidi="th-TH"/>
        </w:rPr>
        <w:t xml:space="preserve"> of zein</w:t>
      </w:r>
      <w:r w:rsidR="00924780" w:rsidRPr="003828BB">
        <w:rPr>
          <w:rFonts w:ascii="Times New Roman" w:hAnsi="Times New Roman" w:cs="Arial"/>
          <w:szCs w:val="24"/>
          <w:lang w:val="en-GB" w:bidi="th-TH"/>
        </w:rPr>
        <w:t>)</w:t>
      </w:r>
      <w:r w:rsidRPr="003828BB">
        <w:rPr>
          <w:rFonts w:ascii="Times New Roman" w:hAnsi="Times New Roman" w:cs="Arial"/>
          <w:szCs w:val="24"/>
          <w:lang w:bidi="th-TH"/>
        </w:rPr>
        <w:t xml:space="preserve"> 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was added and the solution was stirred at 400 </w:t>
      </w:r>
      <w:r w:rsidR="00D25320" w:rsidRPr="003828BB">
        <w:rPr>
          <w:rFonts w:ascii="Times New Roman" w:hAnsi="Times New Roman" w:cs="Arial"/>
          <w:szCs w:val="24"/>
          <w:lang w:val="en-GB" w:bidi="th-TH"/>
        </w:rPr>
        <w:t>rpm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 for 1 h at 37ºC. Two nanoprec</w:t>
      </w:r>
      <w:r w:rsidR="00BF1391" w:rsidRPr="003828BB">
        <w:rPr>
          <w:rFonts w:ascii="Times New Roman" w:hAnsi="Times New Roman" w:cs="Arial"/>
          <w:szCs w:val="24"/>
          <w:lang w:bidi="th-TH"/>
        </w:rPr>
        <w:t>ipitation methods were examined: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 Method 1: </w:t>
      </w:r>
      <w:r w:rsidR="00D25320" w:rsidRPr="003828BB">
        <w:rPr>
          <w:rFonts w:ascii="Times New Roman" w:hAnsi="Times New Roman" w:cs="Arial"/>
          <w:szCs w:val="24"/>
          <w:lang w:val="en-GB" w:bidi="th-TH"/>
        </w:rPr>
        <w:t>nanoparticles</w:t>
      </w:r>
      <w:r w:rsidR="00A3724F" w:rsidRPr="003828BB">
        <w:rPr>
          <w:rFonts w:ascii="Times New Roman" w:hAnsi="Times New Roman" w:cs="Arial"/>
          <w:szCs w:val="24"/>
          <w:lang w:bidi="th-TH"/>
        </w:rPr>
        <w:t xml:space="preserve"> were formed by the dropwise addition of organic phase (zein and CR6 solution) to aqueous phase (Milli-Q</w:t>
      </w:r>
      <w:r w:rsidR="00A3724F" w:rsidRPr="003828BB">
        <w:rPr>
          <w:rFonts w:ascii="Times New Roman" w:hAnsi="Times New Roman" w:cs="Arial"/>
          <w:szCs w:val="24"/>
          <w:vertAlign w:val="superscript"/>
          <w:lang w:bidi="th-TH"/>
        </w:rPr>
        <w:t>®</w:t>
      </w:r>
      <w:r w:rsidR="00BF1391" w:rsidRPr="003828BB">
        <w:rPr>
          <w:rFonts w:ascii="Times New Roman" w:hAnsi="Times New Roman" w:cs="Arial"/>
          <w:szCs w:val="24"/>
          <w:lang w:bidi="th-TH"/>
        </w:rPr>
        <w:t xml:space="preserve"> water)</w:t>
      </w:r>
    </w:p>
    <w:p w14:paraId="5252A7F2" w14:textId="77777777" w:rsidR="00BF1391" w:rsidRPr="003828BB" w:rsidRDefault="00A3724F" w:rsidP="00BF1391">
      <w:pPr>
        <w:spacing w:after="0"/>
        <w:rPr>
          <w:rFonts w:ascii="Times New Roman" w:hAnsi="Times New Roman" w:cs="Arial"/>
          <w:szCs w:val="24"/>
          <w:lang w:bidi="th-TH"/>
        </w:rPr>
      </w:pPr>
      <w:r w:rsidRPr="003828BB">
        <w:rPr>
          <w:rFonts w:ascii="Times New Roman" w:hAnsi="Times New Roman" w:cs="Arial"/>
          <w:szCs w:val="24"/>
          <w:lang w:bidi="th-TH"/>
        </w:rPr>
        <w:t xml:space="preserve">Method 2: </w:t>
      </w:r>
      <w:r w:rsidR="00D25320" w:rsidRPr="003828BB">
        <w:rPr>
          <w:rFonts w:ascii="Times New Roman" w:hAnsi="Times New Roman" w:cs="Arial"/>
          <w:szCs w:val="24"/>
          <w:lang w:val="en-GB" w:bidi="th-TH"/>
        </w:rPr>
        <w:t>nanoparticles</w:t>
      </w:r>
      <w:r w:rsidRPr="003828BB">
        <w:rPr>
          <w:rFonts w:ascii="Times New Roman" w:hAnsi="Times New Roman" w:cs="Arial"/>
          <w:szCs w:val="24"/>
          <w:lang w:bidi="th-TH"/>
        </w:rPr>
        <w:t xml:space="preserve"> were formed by the dropwise addition of aqueous phase (Milli-Q</w:t>
      </w:r>
      <w:r w:rsidRPr="003828BB">
        <w:rPr>
          <w:rFonts w:ascii="Times New Roman" w:hAnsi="Times New Roman" w:cs="Arial"/>
          <w:szCs w:val="24"/>
          <w:vertAlign w:val="superscript"/>
          <w:lang w:bidi="th-TH"/>
        </w:rPr>
        <w:t>®</w:t>
      </w:r>
      <w:r w:rsidRPr="003828BB">
        <w:rPr>
          <w:rFonts w:ascii="Times New Roman" w:hAnsi="Times New Roman" w:cs="Arial"/>
          <w:szCs w:val="24"/>
          <w:lang w:bidi="th-TH"/>
        </w:rPr>
        <w:t xml:space="preserve"> water) to organic phase (zein and CR6 solution).</w:t>
      </w:r>
    </w:p>
    <w:p w14:paraId="44F28890" w14:textId="69C72AEE" w:rsidR="00A3724F" w:rsidRPr="003828BB" w:rsidRDefault="00A3724F" w:rsidP="00BF1391">
      <w:pPr>
        <w:spacing w:after="0"/>
        <w:rPr>
          <w:rFonts w:ascii="Times New Roman" w:hAnsi="Times New Roman" w:cs="Arial"/>
          <w:szCs w:val="24"/>
          <w:lang w:bidi="th-TH"/>
        </w:rPr>
      </w:pPr>
      <w:r w:rsidRPr="003828BB">
        <w:rPr>
          <w:rFonts w:ascii="Times New Roman" w:hAnsi="Times New Roman" w:cs="Arial"/>
          <w:szCs w:val="24"/>
          <w:lang w:bidi="th-TH"/>
        </w:rPr>
        <w:t xml:space="preserve">The addition of one phase to another was carried out under stirring at 700 </w:t>
      </w:r>
      <w:r w:rsidR="00D25320" w:rsidRPr="003828BB">
        <w:rPr>
          <w:rFonts w:ascii="Times New Roman" w:hAnsi="Times New Roman" w:cs="Arial"/>
          <w:szCs w:val="24"/>
          <w:lang w:val="en-GB" w:bidi="th-TH"/>
        </w:rPr>
        <w:t>rpm</w:t>
      </w:r>
      <w:r w:rsidRPr="003828BB">
        <w:rPr>
          <w:rFonts w:ascii="Times New Roman" w:hAnsi="Times New Roman" w:cs="Arial"/>
          <w:szCs w:val="24"/>
          <w:lang w:bidi="th-TH"/>
        </w:rPr>
        <w:t xml:space="preserve">. Volume ratio of aqueous to organic phase was varied from 1:1 to 5:1. The </w:t>
      </w:r>
      <w:r w:rsidR="00D25320" w:rsidRPr="003828BB">
        <w:rPr>
          <w:rFonts w:ascii="Times New Roman" w:hAnsi="Times New Roman" w:cs="Arial"/>
          <w:szCs w:val="24"/>
          <w:lang w:val="en-GB" w:bidi="th-TH"/>
        </w:rPr>
        <w:t>nanoparticles</w:t>
      </w:r>
      <w:r w:rsidRPr="003828BB">
        <w:rPr>
          <w:rFonts w:ascii="Times New Roman" w:hAnsi="Times New Roman" w:cs="Arial"/>
          <w:szCs w:val="24"/>
          <w:lang w:bidi="th-TH"/>
        </w:rPr>
        <w:t xml:space="preserve"> were placed at 50°C to anneal for 1.5 h and were then pelleted by one cycle of centrifugation at 1000 g for 10 min at 25ºC. Pellets were resuspended in 1 mL Milli-Q</w:t>
      </w:r>
      <w:r w:rsidRPr="003828BB">
        <w:rPr>
          <w:rFonts w:ascii="Times New Roman" w:hAnsi="Times New Roman" w:cs="Arial"/>
          <w:szCs w:val="24"/>
          <w:vertAlign w:val="superscript"/>
          <w:lang w:bidi="th-TH"/>
        </w:rPr>
        <w:t>®</w:t>
      </w:r>
      <w:r w:rsidRPr="003828BB">
        <w:rPr>
          <w:rFonts w:ascii="Times New Roman" w:hAnsi="Times New Roman" w:cs="Arial"/>
          <w:szCs w:val="24"/>
          <w:lang w:bidi="th-TH"/>
        </w:rPr>
        <w:t xml:space="preserve"> water and were left to settle at room temperature for 1 h before analysis.</w:t>
      </w:r>
    </w:p>
    <w:p w14:paraId="1F1D297A" w14:textId="0F115A75" w:rsidR="00924780" w:rsidRPr="003828BB" w:rsidRDefault="00924780" w:rsidP="0006102A">
      <w:pPr>
        <w:spacing w:after="0"/>
        <w:ind w:firstLine="204"/>
        <w:rPr>
          <w:rFonts w:ascii="Times New Roman" w:hAnsi="Times New Roman" w:cs="Arial"/>
          <w:szCs w:val="24"/>
          <w:lang w:bidi="th-TH"/>
        </w:rPr>
      </w:pPr>
    </w:p>
    <w:p w14:paraId="45D92C48" w14:textId="4F1C2042" w:rsidR="00501B30" w:rsidRPr="003828BB" w:rsidRDefault="00924780" w:rsidP="00604738">
      <w:pPr>
        <w:rPr>
          <w:rFonts w:ascii="Times New Roman" w:hAnsi="Times New Roman"/>
          <w:szCs w:val="24"/>
          <w:lang w:val="en-GB"/>
        </w:rPr>
      </w:pPr>
      <w:r w:rsidRPr="003828BB">
        <w:rPr>
          <w:rFonts w:ascii="Times New Roman" w:hAnsi="Times New Roman"/>
          <w:b/>
          <w:bCs/>
          <w:szCs w:val="24"/>
          <w:lang w:val="en-GB"/>
        </w:rPr>
        <w:t xml:space="preserve">Supplementary Table S2. </w:t>
      </w:r>
      <w:r w:rsidRPr="003828BB">
        <w:rPr>
          <w:rFonts w:ascii="Times New Roman" w:hAnsi="Times New Roman"/>
          <w:szCs w:val="24"/>
          <w:lang w:val="en-GB"/>
        </w:rPr>
        <w:t>Characteristics of</w:t>
      </w:r>
      <w:r w:rsidRPr="003828BB">
        <w:rPr>
          <w:rFonts w:ascii="Times New Roman" w:hAnsi="Times New Roman"/>
          <w:b/>
          <w:bCs/>
          <w:szCs w:val="24"/>
          <w:lang w:val="en-GB"/>
        </w:rPr>
        <w:t xml:space="preserve"> </w:t>
      </w:r>
      <w:r w:rsidRPr="003828BB">
        <w:rPr>
          <w:rFonts w:ascii="Times New Roman" w:hAnsi="Times New Roman"/>
          <w:szCs w:val="24"/>
          <w:lang w:val="en-GB"/>
        </w:rPr>
        <w:t>zein nanoparticles prepared by nanoprecipitation method optimized by variation of the following parameters:</w:t>
      </w:r>
      <w:r w:rsidR="00E02AA5" w:rsidRPr="003828BB">
        <w:rPr>
          <w:rFonts w:ascii="Times New Roman" w:hAnsi="Times New Roman"/>
          <w:szCs w:val="24"/>
          <w:lang w:val="en-GB"/>
        </w:rPr>
        <w:t xml:space="preserve"> </w:t>
      </w:r>
      <w:r w:rsidRPr="003828BB">
        <w:rPr>
          <w:rFonts w:ascii="Times New Roman" w:hAnsi="Times New Roman"/>
          <w:szCs w:val="24"/>
          <w:lang w:val="en-GB"/>
        </w:rPr>
        <w:t xml:space="preserve">preparation method and volume ratio of aqueous to organic phase. Results represent mean ± standard deviation of triplicate readings. 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1280"/>
        <w:gridCol w:w="1660"/>
        <w:gridCol w:w="1700"/>
        <w:gridCol w:w="1540"/>
        <w:gridCol w:w="1580"/>
        <w:gridCol w:w="1520"/>
      </w:tblGrid>
      <w:tr w:rsidR="003828BB" w:rsidRPr="003828BB" w14:paraId="5909FF0D" w14:textId="77777777" w:rsidTr="0012232D">
        <w:trPr>
          <w:trHeight w:val="301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F31ABFA" w14:textId="77777777" w:rsidR="0012232D" w:rsidRPr="003828BB" w:rsidRDefault="0012232D" w:rsidP="0012232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F6E63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25A9A43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828B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DCF56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828B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C01E74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828BB">
              <w:rPr>
                <w:rFonts w:ascii="Arial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D2965" w14:textId="77777777" w:rsidR="0012232D" w:rsidRPr="003828BB" w:rsidRDefault="0012232D" w:rsidP="0012232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</w:tr>
      <w:tr w:rsidR="003828BB" w:rsidRPr="003828BB" w14:paraId="4D19A0A2" w14:textId="77777777" w:rsidTr="0012232D">
        <w:trPr>
          <w:trHeight w:val="5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7D1F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 xml:space="preserve">Method 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EF0194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Volume ratio of aqueous to organic phase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5339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Average size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7DF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PDI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02F1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Zeta potential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9B95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EE (%)</w:t>
            </w:r>
          </w:p>
        </w:tc>
      </w:tr>
      <w:tr w:rsidR="003828BB" w:rsidRPr="003828BB" w14:paraId="565E5FFB" w14:textId="77777777" w:rsidTr="0012232D">
        <w:trPr>
          <w:trHeight w:val="401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44A34" w14:textId="77777777" w:rsidR="0012232D" w:rsidRPr="003828BB" w:rsidRDefault="0012232D" w:rsidP="0012232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0FA78C" w14:textId="77777777" w:rsidR="0012232D" w:rsidRPr="003828BB" w:rsidRDefault="0012232D" w:rsidP="0012232D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9B8D0A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 xml:space="preserve"> (nm)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7E70AF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597F4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 xml:space="preserve"> (mV)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35630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 </w:t>
            </w:r>
          </w:p>
        </w:tc>
      </w:tr>
      <w:tr w:rsidR="003828BB" w:rsidRPr="003828BB" w14:paraId="6256C4EE" w14:textId="77777777" w:rsidTr="0012232D">
        <w:trPr>
          <w:trHeight w:val="2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F347" w14:textId="77777777" w:rsidR="0012232D" w:rsidRPr="003828BB" w:rsidRDefault="0012232D" w:rsidP="0012232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Method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D57D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1:1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0F6D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675.8 ± 36.3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9B77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0.22 ± 0.08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2064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41.4 ± 0.4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44EF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4.9 ± 0.2</w:t>
            </w:r>
          </w:p>
        </w:tc>
      </w:tr>
      <w:tr w:rsidR="003828BB" w:rsidRPr="003828BB" w14:paraId="70FD4F3E" w14:textId="77777777" w:rsidTr="0012232D">
        <w:trPr>
          <w:trHeight w:val="32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BED2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4865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2:1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C16D1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165.9 ± 1.8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3EBF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0.07 ± 0.03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7F1B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34.2 ± 1.4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1BD06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4.1 ± 0.1</w:t>
            </w:r>
          </w:p>
        </w:tc>
      </w:tr>
      <w:tr w:rsidR="003828BB" w:rsidRPr="003828BB" w14:paraId="555E7E28" w14:textId="77777777" w:rsidTr="0012232D">
        <w:trPr>
          <w:trHeight w:val="2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E2FA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688F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3:1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52AB0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104.8 ± 1.7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7BA0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0.09 ± 0.02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A9338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34.0 ± 2.2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ED357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3.6 ± 0.1</w:t>
            </w:r>
          </w:p>
        </w:tc>
      </w:tr>
      <w:tr w:rsidR="003828BB" w:rsidRPr="003828BB" w14:paraId="6C5FEF71" w14:textId="77777777" w:rsidTr="0012232D">
        <w:trPr>
          <w:trHeight w:val="32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9E4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9451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4:1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9E93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70.2 ± 0.6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3B40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0.24 ± 0.02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6FBE2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32.8 ± 2.7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140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2.2 ± 0.0</w:t>
            </w:r>
          </w:p>
        </w:tc>
      </w:tr>
      <w:tr w:rsidR="003828BB" w:rsidRPr="003828BB" w14:paraId="21DD6935" w14:textId="77777777" w:rsidTr="0012232D">
        <w:trPr>
          <w:trHeight w:val="329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1AF26" w14:textId="77777777" w:rsidR="0012232D" w:rsidRPr="003828BB" w:rsidRDefault="0012232D" w:rsidP="0012232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90A44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5:1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EB94CA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60.5 ± 0.7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7EB2A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0.25 ± 0.02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C585A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35.6 ± 3.1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A5E20A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2.0 ± 0.0</w:t>
            </w:r>
          </w:p>
        </w:tc>
      </w:tr>
      <w:tr w:rsidR="003828BB" w:rsidRPr="003828BB" w14:paraId="57220201" w14:textId="77777777" w:rsidTr="0012232D">
        <w:trPr>
          <w:trHeight w:val="2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EC59" w14:textId="77777777" w:rsidR="0012232D" w:rsidRPr="003828BB" w:rsidRDefault="0012232D" w:rsidP="0012232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Method 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E0DB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1:1</w:t>
            </w:r>
          </w:p>
        </w:tc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1930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Aggregation</w:t>
            </w:r>
          </w:p>
        </w:tc>
      </w:tr>
      <w:tr w:rsidR="003828BB" w:rsidRPr="003828BB" w14:paraId="5CB95896" w14:textId="77777777" w:rsidTr="0012232D">
        <w:trPr>
          <w:trHeight w:val="2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C9B6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33CA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2:1</w:t>
            </w:r>
          </w:p>
        </w:tc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C311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Aggregation</w:t>
            </w:r>
          </w:p>
        </w:tc>
      </w:tr>
      <w:tr w:rsidR="003828BB" w:rsidRPr="003828BB" w14:paraId="2693BE98" w14:textId="77777777" w:rsidTr="0012232D">
        <w:trPr>
          <w:trHeight w:val="2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649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80A7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3:1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C4131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538.7 ± 13.2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A2F4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0.03 ± 0.03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66A5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30.5 ± 0.5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BB962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56.1 ± 1.9</w:t>
            </w:r>
          </w:p>
        </w:tc>
      </w:tr>
      <w:tr w:rsidR="003828BB" w:rsidRPr="003828BB" w14:paraId="03730587" w14:textId="77777777" w:rsidTr="0012232D">
        <w:trPr>
          <w:trHeight w:val="2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8678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5460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4:1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DC36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388.1 ± 4.4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EEB1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0.24 ± 0.02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8C56E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31.1 ± 0.8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AF196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64.0 ± 1.0</w:t>
            </w:r>
          </w:p>
        </w:tc>
      </w:tr>
      <w:tr w:rsidR="0012232D" w:rsidRPr="003828BB" w14:paraId="5BF408EF" w14:textId="77777777" w:rsidTr="0012232D">
        <w:trPr>
          <w:trHeight w:val="263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7AD3C" w14:textId="77777777" w:rsidR="0012232D" w:rsidRPr="003828BB" w:rsidRDefault="0012232D" w:rsidP="0012232D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DC28C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5:1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0D3020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343.9 ± 13.6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C2F76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0.27 ± 0.01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B5BB2D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27.8 ± 0.3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A8A2E" w14:textId="77777777" w:rsidR="0012232D" w:rsidRPr="003828BB" w:rsidRDefault="0012232D" w:rsidP="0012232D">
            <w:pPr>
              <w:spacing w:after="0"/>
              <w:jc w:val="center"/>
              <w:rPr>
                <w:rFonts w:ascii="Arial" w:hAnsi="Arial" w:cs="Arial"/>
                <w:sz w:val="20"/>
                <w:lang w:val="en-GB" w:eastAsia="en-GB"/>
              </w:rPr>
            </w:pPr>
            <w:r w:rsidRPr="003828BB">
              <w:rPr>
                <w:rFonts w:ascii="Arial" w:hAnsi="Arial" w:cs="Arial"/>
                <w:sz w:val="20"/>
                <w:lang w:val="en-GB" w:eastAsia="en-GB"/>
              </w:rPr>
              <w:t>55.6 ± 0.4</w:t>
            </w:r>
          </w:p>
        </w:tc>
      </w:tr>
    </w:tbl>
    <w:p w14:paraId="050E665D" w14:textId="2B2616D4" w:rsidR="0012232D" w:rsidRPr="003828BB" w:rsidRDefault="0012232D" w:rsidP="00604738">
      <w:pPr>
        <w:rPr>
          <w:rFonts w:ascii="Times New Roman" w:hAnsi="Times New Roman"/>
          <w:szCs w:val="24"/>
          <w:lang w:val="en-GB"/>
        </w:rPr>
      </w:pPr>
    </w:p>
    <w:p w14:paraId="6F469343" w14:textId="77777777" w:rsidR="0012232D" w:rsidRPr="003828BB" w:rsidRDefault="0012232D" w:rsidP="00604738">
      <w:pPr>
        <w:rPr>
          <w:rFonts w:ascii="Times New Roman" w:hAnsi="Times New Roman"/>
          <w:szCs w:val="24"/>
          <w:lang w:val="en-GB"/>
        </w:rPr>
      </w:pPr>
    </w:p>
    <w:p w14:paraId="69927622" w14:textId="14B91868" w:rsidR="003A7E7E" w:rsidRPr="003828BB" w:rsidRDefault="003A7E7E" w:rsidP="009F0E0D">
      <w:pPr>
        <w:rPr>
          <w:rFonts w:ascii="Times New Roman" w:hAnsi="Times New Roman"/>
          <w:b/>
          <w:bCs/>
          <w:szCs w:val="24"/>
          <w:lang w:val="en-GB"/>
        </w:rPr>
      </w:pPr>
    </w:p>
    <w:p w14:paraId="493F8A46" w14:textId="799410DC" w:rsidR="00F42E98" w:rsidRPr="003828BB" w:rsidRDefault="00F42E98" w:rsidP="009F0E0D">
      <w:pPr>
        <w:spacing w:after="0"/>
        <w:jc w:val="left"/>
        <w:rPr>
          <w:rFonts w:ascii="Times New Roman" w:hAnsi="Times New Roman"/>
          <w:b/>
          <w:szCs w:val="24"/>
        </w:rPr>
      </w:pPr>
    </w:p>
    <w:sectPr w:rsidR="00F42E98" w:rsidRPr="003828BB" w:rsidSect="000B5610">
      <w:footerReference w:type="even" r:id="rId8"/>
      <w:footerReference w:type="default" r:id="rId9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4A48" w14:textId="77777777" w:rsidR="002B44A4" w:rsidRDefault="002B44A4">
      <w:r>
        <w:separator/>
      </w:r>
    </w:p>
  </w:endnote>
  <w:endnote w:type="continuationSeparator" w:id="0">
    <w:p w14:paraId="62475C78" w14:textId="77777777" w:rsidR="002B44A4" w:rsidRDefault="002B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6919" w14:textId="77777777" w:rsidR="003B4AF3" w:rsidRDefault="003B4A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7AA531" w14:textId="77777777" w:rsidR="003B4AF3" w:rsidRDefault="003B4A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6741" w14:textId="393739A2" w:rsidR="003B4AF3" w:rsidRDefault="003B4A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2428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17EE5E" w14:textId="77777777" w:rsidR="003B4AF3" w:rsidRDefault="003B4A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D056" w14:textId="77777777" w:rsidR="002B44A4" w:rsidRDefault="002B44A4">
      <w:r>
        <w:separator/>
      </w:r>
    </w:p>
  </w:footnote>
  <w:footnote w:type="continuationSeparator" w:id="0">
    <w:p w14:paraId="6F6C55CD" w14:textId="77777777" w:rsidR="002B44A4" w:rsidRDefault="002B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84732971">
    <w:abstractNumId w:val="8"/>
  </w:num>
  <w:num w:numId="2" w16cid:durableId="2125691139">
    <w:abstractNumId w:val="6"/>
  </w:num>
  <w:num w:numId="3" w16cid:durableId="986208153">
    <w:abstractNumId w:val="9"/>
  </w:num>
  <w:num w:numId="4" w16cid:durableId="387192269">
    <w:abstractNumId w:val="7"/>
  </w:num>
  <w:num w:numId="5" w16cid:durableId="1719471395">
    <w:abstractNumId w:val="5"/>
  </w:num>
  <w:num w:numId="6" w16cid:durableId="177163358">
    <w:abstractNumId w:val="4"/>
  </w:num>
  <w:num w:numId="7" w16cid:durableId="2103336375">
    <w:abstractNumId w:val="3"/>
  </w:num>
  <w:num w:numId="8" w16cid:durableId="1445535902">
    <w:abstractNumId w:val="1"/>
  </w:num>
  <w:num w:numId="9" w16cid:durableId="662126403">
    <w:abstractNumId w:val="0"/>
  </w:num>
  <w:num w:numId="10" w16cid:durableId="706176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16"/>
    <w:rsid w:val="000002F2"/>
    <w:rsid w:val="00020E58"/>
    <w:rsid w:val="000314D8"/>
    <w:rsid w:val="000338DE"/>
    <w:rsid w:val="000420C1"/>
    <w:rsid w:val="0005660F"/>
    <w:rsid w:val="0006102A"/>
    <w:rsid w:val="000702AD"/>
    <w:rsid w:val="000776F9"/>
    <w:rsid w:val="000825BE"/>
    <w:rsid w:val="000A1E97"/>
    <w:rsid w:val="000B2EEB"/>
    <w:rsid w:val="000B5610"/>
    <w:rsid w:val="000C05CC"/>
    <w:rsid w:val="000C6B12"/>
    <w:rsid w:val="000C718B"/>
    <w:rsid w:val="000D0C4D"/>
    <w:rsid w:val="000E5514"/>
    <w:rsid w:val="00100677"/>
    <w:rsid w:val="0012232D"/>
    <w:rsid w:val="00123A0C"/>
    <w:rsid w:val="00187F17"/>
    <w:rsid w:val="00195287"/>
    <w:rsid w:val="00195ACA"/>
    <w:rsid w:val="00197AA1"/>
    <w:rsid w:val="001A7A90"/>
    <w:rsid w:val="001E53E8"/>
    <w:rsid w:val="001E659B"/>
    <w:rsid w:val="002008E1"/>
    <w:rsid w:val="00212B1D"/>
    <w:rsid w:val="002200C8"/>
    <w:rsid w:val="0023144D"/>
    <w:rsid w:val="00266240"/>
    <w:rsid w:val="00271A02"/>
    <w:rsid w:val="002821CD"/>
    <w:rsid w:val="00285B95"/>
    <w:rsid w:val="00290A8E"/>
    <w:rsid w:val="002A0334"/>
    <w:rsid w:val="002A64BD"/>
    <w:rsid w:val="002A7493"/>
    <w:rsid w:val="002B44A4"/>
    <w:rsid w:val="002C25E4"/>
    <w:rsid w:val="002C3431"/>
    <w:rsid w:val="002C735B"/>
    <w:rsid w:val="002E6FAA"/>
    <w:rsid w:val="002F1430"/>
    <w:rsid w:val="002F7D2C"/>
    <w:rsid w:val="00304240"/>
    <w:rsid w:val="0031373B"/>
    <w:rsid w:val="003159BC"/>
    <w:rsid w:val="00324128"/>
    <w:rsid w:val="003559CE"/>
    <w:rsid w:val="00361E35"/>
    <w:rsid w:val="003664E9"/>
    <w:rsid w:val="003679A1"/>
    <w:rsid w:val="0037415E"/>
    <w:rsid w:val="003828BB"/>
    <w:rsid w:val="003950E4"/>
    <w:rsid w:val="003A42F0"/>
    <w:rsid w:val="003A7E7E"/>
    <w:rsid w:val="003B4AF3"/>
    <w:rsid w:val="003C6CE5"/>
    <w:rsid w:val="003D7F4B"/>
    <w:rsid w:val="003E1F76"/>
    <w:rsid w:val="003F7638"/>
    <w:rsid w:val="00421E03"/>
    <w:rsid w:val="00475FD2"/>
    <w:rsid w:val="004A73E9"/>
    <w:rsid w:val="004B6AB6"/>
    <w:rsid w:val="004D6A16"/>
    <w:rsid w:val="004E283C"/>
    <w:rsid w:val="004E7185"/>
    <w:rsid w:val="00501B30"/>
    <w:rsid w:val="00501EF6"/>
    <w:rsid w:val="00547D4C"/>
    <w:rsid w:val="005553EF"/>
    <w:rsid w:val="005628B7"/>
    <w:rsid w:val="00567E81"/>
    <w:rsid w:val="005807FD"/>
    <w:rsid w:val="00581F7C"/>
    <w:rsid w:val="00585C3B"/>
    <w:rsid w:val="0058705B"/>
    <w:rsid w:val="00591A57"/>
    <w:rsid w:val="00594F9F"/>
    <w:rsid w:val="005973AD"/>
    <w:rsid w:val="005D0C10"/>
    <w:rsid w:val="005E0706"/>
    <w:rsid w:val="00604738"/>
    <w:rsid w:val="006145E5"/>
    <w:rsid w:val="00631551"/>
    <w:rsid w:val="006332F9"/>
    <w:rsid w:val="00642C92"/>
    <w:rsid w:val="006455A5"/>
    <w:rsid w:val="006756CD"/>
    <w:rsid w:val="00676A5F"/>
    <w:rsid w:val="00683131"/>
    <w:rsid w:val="006A1345"/>
    <w:rsid w:val="006A3E34"/>
    <w:rsid w:val="006B2581"/>
    <w:rsid w:val="006C1545"/>
    <w:rsid w:val="006C2428"/>
    <w:rsid w:val="006C59E2"/>
    <w:rsid w:val="006C6257"/>
    <w:rsid w:val="006D7576"/>
    <w:rsid w:val="006F2A97"/>
    <w:rsid w:val="007000D9"/>
    <w:rsid w:val="007302A4"/>
    <w:rsid w:val="00731B4A"/>
    <w:rsid w:val="00747701"/>
    <w:rsid w:val="007577DA"/>
    <w:rsid w:val="007629D3"/>
    <w:rsid w:val="00780894"/>
    <w:rsid w:val="00794616"/>
    <w:rsid w:val="007A11AD"/>
    <w:rsid w:val="007B6AEB"/>
    <w:rsid w:val="007D693C"/>
    <w:rsid w:val="008047DE"/>
    <w:rsid w:val="00845831"/>
    <w:rsid w:val="008633FA"/>
    <w:rsid w:val="008655C0"/>
    <w:rsid w:val="00870251"/>
    <w:rsid w:val="00891E85"/>
    <w:rsid w:val="008B436D"/>
    <w:rsid w:val="008C76E6"/>
    <w:rsid w:val="008D30F9"/>
    <w:rsid w:val="008D53B2"/>
    <w:rsid w:val="008D7DFC"/>
    <w:rsid w:val="008E44B9"/>
    <w:rsid w:val="008F4FEC"/>
    <w:rsid w:val="008F6267"/>
    <w:rsid w:val="00912169"/>
    <w:rsid w:val="00917715"/>
    <w:rsid w:val="0092037A"/>
    <w:rsid w:val="009246AD"/>
    <w:rsid w:val="00924780"/>
    <w:rsid w:val="009324D1"/>
    <w:rsid w:val="0093432B"/>
    <w:rsid w:val="00985F16"/>
    <w:rsid w:val="00987C98"/>
    <w:rsid w:val="009B2CB7"/>
    <w:rsid w:val="009B7CC2"/>
    <w:rsid w:val="009D4844"/>
    <w:rsid w:val="009F0E0D"/>
    <w:rsid w:val="009F2E7E"/>
    <w:rsid w:val="009F6D13"/>
    <w:rsid w:val="00A02D62"/>
    <w:rsid w:val="00A20A85"/>
    <w:rsid w:val="00A20EB5"/>
    <w:rsid w:val="00A274AD"/>
    <w:rsid w:val="00A36944"/>
    <w:rsid w:val="00A3724F"/>
    <w:rsid w:val="00A764EF"/>
    <w:rsid w:val="00A81A2E"/>
    <w:rsid w:val="00A87203"/>
    <w:rsid w:val="00AA20BD"/>
    <w:rsid w:val="00AB34C5"/>
    <w:rsid w:val="00AB697D"/>
    <w:rsid w:val="00AE49CE"/>
    <w:rsid w:val="00AF2318"/>
    <w:rsid w:val="00AF4F6D"/>
    <w:rsid w:val="00AF7F6A"/>
    <w:rsid w:val="00B01C4B"/>
    <w:rsid w:val="00B05A88"/>
    <w:rsid w:val="00B15494"/>
    <w:rsid w:val="00B17484"/>
    <w:rsid w:val="00B20067"/>
    <w:rsid w:val="00B23CB2"/>
    <w:rsid w:val="00B44641"/>
    <w:rsid w:val="00B56A21"/>
    <w:rsid w:val="00B67839"/>
    <w:rsid w:val="00B70D11"/>
    <w:rsid w:val="00B7618D"/>
    <w:rsid w:val="00BA65F9"/>
    <w:rsid w:val="00BB4A9C"/>
    <w:rsid w:val="00BB65B9"/>
    <w:rsid w:val="00BD2C44"/>
    <w:rsid w:val="00BF1391"/>
    <w:rsid w:val="00C05034"/>
    <w:rsid w:val="00C10EE0"/>
    <w:rsid w:val="00C116FF"/>
    <w:rsid w:val="00C12556"/>
    <w:rsid w:val="00C25648"/>
    <w:rsid w:val="00C51D34"/>
    <w:rsid w:val="00C6170A"/>
    <w:rsid w:val="00C730BC"/>
    <w:rsid w:val="00C75F86"/>
    <w:rsid w:val="00C83ABB"/>
    <w:rsid w:val="00C921B9"/>
    <w:rsid w:val="00C97FEB"/>
    <w:rsid w:val="00CA29FD"/>
    <w:rsid w:val="00CA452C"/>
    <w:rsid w:val="00CB13DC"/>
    <w:rsid w:val="00D17DB1"/>
    <w:rsid w:val="00D25320"/>
    <w:rsid w:val="00D318E5"/>
    <w:rsid w:val="00D32E24"/>
    <w:rsid w:val="00D54615"/>
    <w:rsid w:val="00D61851"/>
    <w:rsid w:val="00D81F28"/>
    <w:rsid w:val="00DA305C"/>
    <w:rsid w:val="00DB1DEE"/>
    <w:rsid w:val="00DD6DBB"/>
    <w:rsid w:val="00DE0A2B"/>
    <w:rsid w:val="00DF62A2"/>
    <w:rsid w:val="00E02AA5"/>
    <w:rsid w:val="00E043E8"/>
    <w:rsid w:val="00E074F2"/>
    <w:rsid w:val="00E24598"/>
    <w:rsid w:val="00E54EDD"/>
    <w:rsid w:val="00E640FB"/>
    <w:rsid w:val="00E67A2C"/>
    <w:rsid w:val="00E769A5"/>
    <w:rsid w:val="00E91482"/>
    <w:rsid w:val="00E96302"/>
    <w:rsid w:val="00ED0BDE"/>
    <w:rsid w:val="00F03BE0"/>
    <w:rsid w:val="00F134F5"/>
    <w:rsid w:val="00F25C40"/>
    <w:rsid w:val="00F2714A"/>
    <w:rsid w:val="00F34554"/>
    <w:rsid w:val="00F42E98"/>
    <w:rsid w:val="00F47B85"/>
    <w:rsid w:val="00F54BDD"/>
    <w:rsid w:val="00F5645C"/>
    <w:rsid w:val="00FA1F14"/>
    <w:rsid w:val="00FA35EA"/>
    <w:rsid w:val="00FD0AF2"/>
    <w:rsid w:val="00FE6219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6584A"/>
  <w15:docId w15:val="{20308E68-D88B-46CE-989B-EFBE6DC9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B56A21"/>
    <w:pPr>
      <w:keepNext/>
      <w:spacing w:after="0"/>
      <w:outlineLvl w:val="0"/>
    </w:pPr>
    <w:rPr>
      <w:rFonts w:ascii="Arial" w:hAnsi="Arial" w:cs="Arial"/>
      <w:b/>
      <w:bCs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Head1">
    <w:name w:val="Head 1"/>
    <w:basedOn w:val="Normal"/>
    <w:autoRedefine/>
    <w:rsid w:val="005973AD"/>
    <w:pPr>
      <w:spacing w:after="0" w:line="360" w:lineRule="auto"/>
      <w:jc w:val="left"/>
    </w:pPr>
    <w:rPr>
      <w:rFonts w:ascii="Times New Roman" w:eastAsia="MS Mincho" w:hAnsi="Times New Roman"/>
      <w:b/>
      <w:szCs w:val="24"/>
      <w:lang w:eastAsia="ja-JP"/>
    </w:rPr>
  </w:style>
  <w:style w:type="paragraph" w:customStyle="1" w:styleId="msonormal0">
    <w:name w:val="msonormal"/>
    <w:basedOn w:val="Normal"/>
    <w:rsid w:val="00987C98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GB" w:eastAsia="en-GB"/>
    </w:rPr>
  </w:style>
  <w:style w:type="paragraph" w:customStyle="1" w:styleId="xl65">
    <w:name w:val="xl65"/>
    <w:basedOn w:val="Normal"/>
    <w:rsid w:val="00987C9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66">
    <w:name w:val="xl66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GB" w:eastAsia="en-GB"/>
    </w:rPr>
  </w:style>
  <w:style w:type="paragraph" w:customStyle="1" w:styleId="xl67">
    <w:name w:val="xl67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68">
    <w:name w:val="xl68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69">
    <w:name w:val="xl69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70">
    <w:name w:val="xl70"/>
    <w:basedOn w:val="Normal"/>
    <w:rsid w:val="00987C98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71">
    <w:name w:val="xl71"/>
    <w:basedOn w:val="Normal"/>
    <w:rsid w:val="00987C9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72">
    <w:name w:val="xl72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73">
    <w:name w:val="xl73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74">
    <w:name w:val="xl74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75">
    <w:name w:val="xl75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76">
    <w:name w:val="xl76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77">
    <w:name w:val="xl77"/>
    <w:basedOn w:val="Normal"/>
    <w:rsid w:val="00987C9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78">
    <w:name w:val="xl78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79">
    <w:name w:val="xl79"/>
    <w:basedOn w:val="Normal"/>
    <w:rsid w:val="00987C98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80">
    <w:name w:val="xl80"/>
    <w:basedOn w:val="Normal"/>
    <w:rsid w:val="00987C98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81">
    <w:name w:val="xl81"/>
    <w:basedOn w:val="Normal"/>
    <w:rsid w:val="00987C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GB" w:eastAsia="en-GB"/>
    </w:rPr>
  </w:style>
  <w:style w:type="paragraph" w:customStyle="1" w:styleId="xl82">
    <w:name w:val="xl82"/>
    <w:basedOn w:val="Normal"/>
    <w:rsid w:val="00987C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56A21"/>
    <w:rPr>
      <w:rFonts w:ascii="Arial" w:hAnsi="Arial" w:cs="Arial"/>
      <w:b/>
      <w:bCs/>
      <w:sz w:val="24"/>
      <w:szCs w:val="24"/>
      <w:lang w:val="en-GB" w:eastAsia="fr-FR"/>
    </w:rPr>
  </w:style>
  <w:style w:type="character" w:styleId="CommentReference">
    <w:name w:val="annotation reference"/>
    <w:basedOn w:val="DefaultParagraphFont"/>
    <w:semiHidden/>
    <w:unhideWhenUsed/>
    <w:rsid w:val="001E5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53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53E8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5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53E8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.Dufes@str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s06106.DS\Downloads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</Template>
  <TotalTime>100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5008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Christine Dufes</dc:creator>
  <cp:keywords/>
  <dc:description/>
  <cp:lastModifiedBy>Valida Delalic</cp:lastModifiedBy>
  <cp:revision>10</cp:revision>
  <cp:lastPrinted>2008-06-11T21:33:00Z</cp:lastPrinted>
  <dcterms:created xsi:type="dcterms:W3CDTF">2022-01-29T19:43:00Z</dcterms:created>
  <dcterms:modified xsi:type="dcterms:W3CDTF">2022-05-23T20:33:00Z</dcterms:modified>
</cp:coreProperties>
</file>