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67C7B" w14:textId="7F565F27" w:rsidR="00E644A7" w:rsidRPr="00D7079E" w:rsidRDefault="00E644A7" w:rsidP="00E644A7">
      <w:pPr>
        <w:rPr>
          <w:rFonts w:ascii="Arial" w:eastAsia="Calibri" w:hAnsi="Arial" w:cs="Arial"/>
          <w:b/>
          <w:bCs/>
          <w:color w:val="000000"/>
          <w:sz w:val="24"/>
          <w:szCs w:val="24"/>
          <w:lang w:val="en-US"/>
        </w:rPr>
      </w:pPr>
      <w:r w:rsidRPr="00D7079E">
        <w:rPr>
          <w:rFonts w:ascii="Arial" w:eastAsia="Calibri" w:hAnsi="Arial" w:cs="Arial"/>
          <w:b/>
          <w:bCs/>
          <w:color w:val="000000"/>
          <w:sz w:val="24"/>
          <w:szCs w:val="24"/>
          <w:lang w:val="en-US"/>
        </w:rPr>
        <w:t>Supplementary Data</w:t>
      </w:r>
    </w:p>
    <w:p w14:paraId="2F8D645D" w14:textId="31629C5F" w:rsidR="00F53DD5" w:rsidRPr="00D7079E" w:rsidRDefault="00F53DD5" w:rsidP="00E644A7">
      <w:pPr>
        <w:rPr>
          <w:rFonts w:ascii="Arial" w:eastAsia="Calibri" w:hAnsi="Arial" w:cs="Arial"/>
          <w:b/>
          <w:bCs/>
          <w:color w:val="000000"/>
          <w:sz w:val="24"/>
          <w:szCs w:val="24"/>
          <w:lang w:val="en-US"/>
        </w:rPr>
      </w:pPr>
    </w:p>
    <w:p w14:paraId="704DCAC6" w14:textId="77777777" w:rsidR="00F53DD5" w:rsidRPr="00D7079E" w:rsidRDefault="00F53DD5" w:rsidP="00F53DD5">
      <w:pPr>
        <w:spacing w:line="480" w:lineRule="auto"/>
        <w:rPr>
          <w:rFonts w:ascii="Arial" w:hAnsi="Arial" w:cs="Arial"/>
          <w:color w:val="000000"/>
          <w:lang w:val="en-US"/>
        </w:rPr>
      </w:pPr>
      <w:bookmarkStart w:id="0" w:name="_Toc518912643"/>
      <w:r w:rsidRPr="00D7079E">
        <w:rPr>
          <w:rFonts w:ascii="Arial" w:hAnsi="Arial" w:cs="Arial"/>
          <w:b/>
          <w:bCs/>
          <w:color w:val="000000"/>
          <w:lang w:val="en-US"/>
        </w:rPr>
        <w:t>Table 1.</w:t>
      </w:r>
      <w:r w:rsidRPr="00D7079E">
        <w:rPr>
          <w:rFonts w:ascii="Arial" w:hAnsi="Arial" w:cs="Arial"/>
          <w:color w:val="000000"/>
          <w:lang w:val="en-US"/>
        </w:rPr>
        <w:t xml:space="preserve"> Primary antibodies used for immunocytochemistry staining.</w:t>
      </w:r>
      <w:bookmarkEnd w:id="0"/>
      <w:r w:rsidRPr="00D7079E">
        <w:rPr>
          <w:rFonts w:ascii="Arial" w:hAnsi="Arial" w:cs="Arial"/>
          <w:color w:val="000000"/>
          <w:lang w:val="en-US"/>
        </w:rPr>
        <w:t xml:space="preserve"> </w:t>
      </w:r>
    </w:p>
    <w:tbl>
      <w:tblPr>
        <w:tblStyle w:val="PlainTable31"/>
        <w:tblpPr w:leftFromText="180" w:rightFromText="180" w:vertAnchor="text" w:horzAnchor="page" w:tblpX="1353" w:tblpY="121"/>
        <w:tblW w:w="9214" w:type="dxa"/>
        <w:tblLook w:val="04A0" w:firstRow="1" w:lastRow="0" w:firstColumn="1" w:lastColumn="0" w:noHBand="0" w:noVBand="1"/>
      </w:tblPr>
      <w:tblGrid>
        <w:gridCol w:w="1521"/>
        <w:gridCol w:w="2769"/>
        <w:gridCol w:w="2254"/>
        <w:gridCol w:w="2670"/>
      </w:tblGrid>
      <w:tr w:rsidR="00F53DD5" w:rsidRPr="00D7079E" w14:paraId="25FCF744" w14:textId="77777777" w:rsidTr="005516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1" w:type="dxa"/>
            <w:tcBorders>
              <w:bottom w:val="single" w:sz="4" w:space="0" w:color="auto"/>
              <w:right w:val="single" w:sz="4" w:space="0" w:color="auto"/>
            </w:tcBorders>
          </w:tcPr>
          <w:p w14:paraId="73690B6F" w14:textId="77777777" w:rsidR="00F53DD5" w:rsidRPr="00D7079E" w:rsidRDefault="00F53DD5" w:rsidP="00551687">
            <w:pPr>
              <w:spacing w:before="100" w:beforeAutospacing="1"/>
              <w:jc w:val="center"/>
              <w:rPr>
                <w:rFonts w:ascii="Arial" w:hAnsi="Arial" w:cs="Arial"/>
                <w:i/>
                <w:color w:val="000000"/>
                <w:sz w:val="21"/>
                <w:szCs w:val="24"/>
                <w:lang w:val="en-US"/>
              </w:rPr>
            </w:pPr>
            <w:r w:rsidRPr="00D7079E">
              <w:rPr>
                <w:rFonts w:ascii="Arial" w:hAnsi="Arial" w:cs="Arial"/>
                <w:i/>
                <w:color w:val="000000"/>
                <w:sz w:val="21"/>
                <w:szCs w:val="24"/>
                <w:lang w:val="en-US"/>
              </w:rPr>
              <w:t>Antigen</w:t>
            </w:r>
          </w:p>
        </w:tc>
        <w:tc>
          <w:tcPr>
            <w:tcW w:w="2769" w:type="dxa"/>
            <w:tcBorders>
              <w:left w:val="single" w:sz="4" w:space="0" w:color="auto"/>
              <w:bottom w:val="single" w:sz="4" w:space="0" w:color="auto"/>
              <w:right w:val="single" w:sz="4" w:space="0" w:color="auto"/>
            </w:tcBorders>
          </w:tcPr>
          <w:p w14:paraId="1FE884C2" w14:textId="77777777" w:rsidR="00F53DD5" w:rsidRPr="00D7079E" w:rsidRDefault="00F53DD5" w:rsidP="00551687">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z w:val="21"/>
                <w:szCs w:val="24"/>
                <w:lang w:val="en-US"/>
              </w:rPr>
            </w:pPr>
            <w:r w:rsidRPr="00D7079E">
              <w:rPr>
                <w:rFonts w:ascii="Arial" w:hAnsi="Arial" w:cs="Arial"/>
                <w:i/>
                <w:color w:val="000000"/>
                <w:sz w:val="21"/>
                <w:szCs w:val="24"/>
                <w:lang w:val="en-US"/>
              </w:rPr>
              <w:t>Primary Antibody</w:t>
            </w:r>
          </w:p>
        </w:tc>
        <w:tc>
          <w:tcPr>
            <w:tcW w:w="2254" w:type="dxa"/>
            <w:tcBorders>
              <w:left w:val="single" w:sz="4" w:space="0" w:color="auto"/>
              <w:bottom w:val="single" w:sz="4" w:space="0" w:color="auto"/>
              <w:right w:val="single" w:sz="4" w:space="0" w:color="auto"/>
            </w:tcBorders>
          </w:tcPr>
          <w:p w14:paraId="3639BB74" w14:textId="77777777" w:rsidR="00F53DD5" w:rsidRPr="00D7079E" w:rsidRDefault="00F53DD5" w:rsidP="00551687">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z w:val="21"/>
                <w:szCs w:val="24"/>
                <w:lang w:val="en-US"/>
              </w:rPr>
            </w:pPr>
            <w:r w:rsidRPr="00D7079E">
              <w:rPr>
                <w:rFonts w:ascii="Arial" w:hAnsi="Arial" w:cs="Arial"/>
                <w:i/>
                <w:color w:val="000000"/>
                <w:sz w:val="21"/>
                <w:szCs w:val="24"/>
                <w:lang w:val="en-US"/>
              </w:rPr>
              <w:t>company</w:t>
            </w:r>
          </w:p>
        </w:tc>
        <w:tc>
          <w:tcPr>
            <w:tcW w:w="2670" w:type="dxa"/>
            <w:tcBorders>
              <w:left w:val="single" w:sz="4" w:space="0" w:color="auto"/>
              <w:bottom w:val="single" w:sz="4" w:space="0" w:color="auto"/>
            </w:tcBorders>
          </w:tcPr>
          <w:p w14:paraId="5FD914B9" w14:textId="77777777" w:rsidR="00F53DD5" w:rsidRPr="00D7079E" w:rsidRDefault="00F53DD5" w:rsidP="00551687">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z w:val="21"/>
                <w:szCs w:val="24"/>
                <w:lang w:val="en-US"/>
              </w:rPr>
            </w:pPr>
            <w:r w:rsidRPr="00D7079E">
              <w:rPr>
                <w:rFonts w:ascii="Arial" w:hAnsi="Arial" w:cs="Arial"/>
                <w:i/>
                <w:color w:val="000000"/>
                <w:sz w:val="21"/>
                <w:szCs w:val="24"/>
                <w:lang w:val="en-US"/>
              </w:rPr>
              <w:t>dilution</w:t>
            </w:r>
          </w:p>
        </w:tc>
      </w:tr>
      <w:tr w:rsidR="00F53DD5" w:rsidRPr="00D7079E" w14:paraId="768EA6EC" w14:textId="77777777" w:rsidTr="00551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tcBorders>
            <w:hideMark/>
          </w:tcPr>
          <w:p w14:paraId="74A6C16B"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C(proSP-c)</w:t>
            </w:r>
          </w:p>
        </w:tc>
        <w:tc>
          <w:tcPr>
            <w:tcW w:w="2769" w:type="dxa"/>
            <w:tcBorders>
              <w:top w:val="single" w:sz="4" w:space="0" w:color="auto"/>
              <w:right w:val="single" w:sz="4" w:space="0" w:color="auto"/>
            </w:tcBorders>
            <w:hideMark/>
          </w:tcPr>
          <w:p w14:paraId="3C571E48"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Polyclonal antibody Rabbit</w:t>
            </w:r>
          </w:p>
        </w:tc>
        <w:tc>
          <w:tcPr>
            <w:tcW w:w="2254" w:type="dxa"/>
            <w:tcBorders>
              <w:top w:val="single" w:sz="4" w:space="0" w:color="auto"/>
              <w:left w:val="single" w:sz="4" w:space="0" w:color="auto"/>
              <w:right w:val="single" w:sz="4" w:space="0" w:color="auto"/>
            </w:tcBorders>
            <w:hideMark/>
          </w:tcPr>
          <w:p w14:paraId="75318619"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AB3786-Millpore</w:t>
            </w:r>
          </w:p>
        </w:tc>
        <w:tc>
          <w:tcPr>
            <w:tcW w:w="2670" w:type="dxa"/>
            <w:tcBorders>
              <w:top w:val="single" w:sz="4" w:space="0" w:color="auto"/>
              <w:left w:val="single" w:sz="4" w:space="0" w:color="auto"/>
            </w:tcBorders>
            <w:hideMark/>
          </w:tcPr>
          <w:p w14:paraId="07F2540A"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1:1000-1:2000</w:t>
            </w:r>
          </w:p>
        </w:tc>
      </w:tr>
      <w:tr w:rsidR="00F53DD5" w:rsidRPr="00D7079E" w14:paraId="6F4C368A" w14:textId="77777777" w:rsidTr="00551687">
        <w:tc>
          <w:tcPr>
            <w:cnfStyle w:val="001000000000" w:firstRow="0" w:lastRow="0" w:firstColumn="1" w:lastColumn="0" w:oddVBand="0" w:evenVBand="0" w:oddHBand="0" w:evenHBand="0" w:firstRowFirstColumn="0" w:firstRowLastColumn="0" w:lastRowFirstColumn="0" w:lastRowLastColumn="0"/>
            <w:tcW w:w="1521" w:type="dxa"/>
            <w:hideMark/>
          </w:tcPr>
          <w:p w14:paraId="59A69AC7"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B(proSP-B)</w:t>
            </w:r>
          </w:p>
        </w:tc>
        <w:tc>
          <w:tcPr>
            <w:tcW w:w="2769" w:type="dxa"/>
            <w:tcBorders>
              <w:right w:val="single" w:sz="4" w:space="0" w:color="auto"/>
            </w:tcBorders>
            <w:hideMark/>
          </w:tcPr>
          <w:p w14:paraId="678CA59F"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Polyclonal antibody Rabbit</w:t>
            </w:r>
          </w:p>
        </w:tc>
        <w:tc>
          <w:tcPr>
            <w:tcW w:w="2254" w:type="dxa"/>
            <w:tcBorders>
              <w:left w:val="single" w:sz="4" w:space="0" w:color="auto"/>
              <w:right w:val="single" w:sz="4" w:space="0" w:color="auto"/>
            </w:tcBorders>
            <w:hideMark/>
          </w:tcPr>
          <w:p w14:paraId="19BAC318"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AB3430-Millpore</w:t>
            </w:r>
          </w:p>
        </w:tc>
        <w:tc>
          <w:tcPr>
            <w:tcW w:w="2670" w:type="dxa"/>
            <w:tcBorders>
              <w:left w:val="single" w:sz="4" w:space="0" w:color="auto"/>
            </w:tcBorders>
            <w:hideMark/>
          </w:tcPr>
          <w:p w14:paraId="2CDB2CA3"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1:4000-1:8000</w:t>
            </w:r>
          </w:p>
        </w:tc>
      </w:tr>
      <w:tr w:rsidR="00F53DD5" w:rsidRPr="00D7079E" w14:paraId="524EFBCB" w14:textId="77777777" w:rsidTr="00551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hideMark/>
          </w:tcPr>
          <w:p w14:paraId="59D5375B"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GBDH</w:t>
            </w:r>
          </w:p>
        </w:tc>
        <w:tc>
          <w:tcPr>
            <w:tcW w:w="2769" w:type="dxa"/>
            <w:tcBorders>
              <w:right w:val="single" w:sz="4" w:space="0" w:color="auto"/>
            </w:tcBorders>
            <w:hideMark/>
          </w:tcPr>
          <w:p w14:paraId="63B97533"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Goat polyclonal IgG</w:t>
            </w:r>
          </w:p>
        </w:tc>
        <w:tc>
          <w:tcPr>
            <w:tcW w:w="2254" w:type="dxa"/>
            <w:tcBorders>
              <w:left w:val="single" w:sz="4" w:space="0" w:color="auto"/>
              <w:right w:val="single" w:sz="4" w:space="0" w:color="auto"/>
            </w:tcBorders>
            <w:hideMark/>
          </w:tcPr>
          <w:p w14:paraId="5CD208E1"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sc-9890 Santa Cruz</w:t>
            </w:r>
          </w:p>
        </w:tc>
        <w:tc>
          <w:tcPr>
            <w:tcW w:w="2670" w:type="dxa"/>
            <w:tcBorders>
              <w:left w:val="single" w:sz="4" w:space="0" w:color="auto"/>
            </w:tcBorders>
            <w:hideMark/>
          </w:tcPr>
          <w:p w14:paraId="00AB9A66"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1:50-1:500</w:t>
            </w:r>
          </w:p>
        </w:tc>
      </w:tr>
      <w:tr w:rsidR="00F53DD5" w:rsidRPr="00D7079E" w14:paraId="375ADA60" w14:textId="77777777" w:rsidTr="00551687">
        <w:tc>
          <w:tcPr>
            <w:cnfStyle w:val="001000000000" w:firstRow="0" w:lastRow="0" w:firstColumn="1" w:lastColumn="0" w:oddVBand="0" w:evenVBand="0" w:oddHBand="0" w:evenHBand="0" w:firstRowFirstColumn="0" w:firstRowLastColumn="0" w:lastRowFirstColumn="0" w:lastRowLastColumn="0"/>
            <w:tcW w:w="1521" w:type="dxa"/>
            <w:hideMark/>
          </w:tcPr>
          <w:p w14:paraId="3B1E7230"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HNF-3Î</w:t>
            </w:r>
          </w:p>
        </w:tc>
        <w:tc>
          <w:tcPr>
            <w:tcW w:w="2769" w:type="dxa"/>
            <w:tcBorders>
              <w:right w:val="single" w:sz="4" w:space="0" w:color="auto"/>
            </w:tcBorders>
            <w:hideMark/>
          </w:tcPr>
          <w:p w14:paraId="1A0F7FC5"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Goat polyclonal IgG</w:t>
            </w:r>
          </w:p>
        </w:tc>
        <w:tc>
          <w:tcPr>
            <w:tcW w:w="2254" w:type="dxa"/>
            <w:tcBorders>
              <w:left w:val="single" w:sz="4" w:space="0" w:color="auto"/>
              <w:right w:val="single" w:sz="4" w:space="0" w:color="auto"/>
            </w:tcBorders>
            <w:hideMark/>
          </w:tcPr>
          <w:p w14:paraId="5FA5645C"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sc-6554 Santa Cruz</w:t>
            </w:r>
          </w:p>
        </w:tc>
        <w:tc>
          <w:tcPr>
            <w:tcW w:w="2670" w:type="dxa"/>
            <w:tcBorders>
              <w:left w:val="single" w:sz="4" w:space="0" w:color="auto"/>
            </w:tcBorders>
            <w:hideMark/>
          </w:tcPr>
          <w:p w14:paraId="6707F550" w14:textId="77777777" w:rsidR="00F53DD5" w:rsidRPr="00D7079E" w:rsidRDefault="00F53DD5" w:rsidP="00551687">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1:50-1:500</w:t>
            </w:r>
          </w:p>
        </w:tc>
      </w:tr>
      <w:tr w:rsidR="00F53DD5" w:rsidRPr="00D7079E" w14:paraId="0E3419C7" w14:textId="77777777" w:rsidTr="00551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3786653"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Anti-TTF</w:t>
            </w:r>
          </w:p>
        </w:tc>
        <w:tc>
          <w:tcPr>
            <w:tcW w:w="2769" w:type="dxa"/>
            <w:tcBorders>
              <w:right w:val="single" w:sz="4" w:space="0" w:color="auto"/>
            </w:tcBorders>
            <w:hideMark/>
          </w:tcPr>
          <w:p w14:paraId="2CFA42A3"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Rabbit monoclonal IgG</w:t>
            </w:r>
          </w:p>
        </w:tc>
        <w:tc>
          <w:tcPr>
            <w:tcW w:w="2254" w:type="dxa"/>
            <w:tcBorders>
              <w:left w:val="single" w:sz="4" w:space="0" w:color="auto"/>
              <w:right w:val="single" w:sz="4" w:space="0" w:color="auto"/>
            </w:tcBorders>
            <w:hideMark/>
          </w:tcPr>
          <w:p w14:paraId="17DB41CE"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 xml:space="preserve">AB76013-Abcam </w:t>
            </w:r>
          </w:p>
        </w:tc>
        <w:tc>
          <w:tcPr>
            <w:tcW w:w="2670" w:type="dxa"/>
            <w:tcBorders>
              <w:left w:val="single" w:sz="4" w:space="0" w:color="auto"/>
            </w:tcBorders>
            <w:hideMark/>
          </w:tcPr>
          <w:p w14:paraId="51784677" w14:textId="77777777" w:rsidR="00F53DD5" w:rsidRPr="00D7079E" w:rsidRDefault="00F53DD5" w:rsidP="00551687">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1:100-1:1000</w:t>
            </w:r>
          </w:p>
        </w:tc>
      </w:tr>
      <w:tr w:rsidR="00F53DD5" w:rsidRPr="00D7079E" w14:paraId="19E300AE" w14:textId="77777777" w:rsidTr="00551687">
        <w:tc>
          <w:tcPr>
            <w:cnfStyle w:val="001000000000" w:firstRow="0" w:lastRow="0" w:firstColumn="1" w:lastColumn="0" w:oddVBand="0" w:evenVBand="0" w:oddHBand="0" w:evenHBand="0" w:firstRowFirstColumn="0" w:firstRowLastColumn="0" w:lastRowFirstColumn="0" w:lastRowLastColumn="0"/>
            <w:tcW w:w="1521" w:type="dxa"/>
          </w:tcPr>
          <w:p w14:paraId="7FCD92E6"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Oct4</w:t>
            </w:r>
          </w:p>
        </w:tc>
        <w:tc>
          <w:tcPr>
            <w:tcW w:w="2769" w:type="dxa"/>
            <w:tcBorders>
              <w:right w:val="single" w:sz="4" w:space="0" w:color="auto"/>
            </w:tcBorders>
          </w:tcPr>
          <w:p w14:paraId="0C8976D2"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Anti-Oct4</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10A0141C"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68302407"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r w:rsidR="00F53DD5" w:rsidRPr="00D7079E" w14:paraId="5687ADDF" w14:textId="77777777" w:rsidTr="0055168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521" w:type="dxa"/>
          </w:tcPr>
          <w:p w14:paraId="349DC869"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Sox2</w:t>
            </w:r>
          </w:p>
        </w:tc>
        <w:tc>
          <w:tcPr>
            <w:tcW w:w="2769" w:type="dxa"/>
            <w:tcBorders>
              <w:right w:val="single" w:sz="4" w:space="0" w:color="auto"/>
            </w:tcBorders>
          </w:tcPr>
          <w:p w14:paraId="241E3CA3"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Anti-Sox2</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3709008C"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6F66D1B3"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r w:rsidR="00F53DD5" w:rsidRPr="00D7079E" w14:paraId="10B1E64A" w14:textId="77777777" w:rsidTr="00551687">
        <w:trPr>
          <w:trHeight w:val="504"/>
        </w:trPr>
        <w:tc>
          <w:tcPr>
            <w:cnfStyle w:val="001000000000" w:firstRow="0" w:lastRow="0" w:firstColumn="1" w:lastColumn="0" w:oddVBand="0" w:evenVBand="0" w:oddHBand="0" w:evenHBand="0" w:firstRowFirstColumn="0" w:firstRowLastColumn="0" w:lastRowFirstColumn="0" w:lastRowLastColumn="0"/>
            <w:tcW w:w="1521" w:type="dxa"/>
          </w:tcPr>
          <w:p w14:paraId="2E2628F1"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Nanog</w:t>
            </w:r>
          </w:p>
        </w:tc>
        <w:tc>
          <w:tcPr>
            <w:tcW w:w="2769" w:type="dxa"/>
            <w:tcBorders>
              <w:right w:val="single" w:sz="4" w:space="0" w:color="auto"/>
            </w:tcBorders>
          </w:tcPr>
          <w:p w14:paraId="08FD72BB"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Anti-Nanog</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7E2726DA"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3F0A7EDE"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r w:rsidR="00F53DD5" w:rsidRPr="00D7079E" w14:paraId="49648E7B" w14:textId="77777777" w:rsidTr="00551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13DC5DFB"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SSEA-4</w:t>
            </w:r>
          </w:p>
        </w:tc>
        <w:tc>
          <w:tcPr>
            <w:tcW w:w="2769" w:type="dxa"/>
            <w:tcBorders>
              <w:right w:val="single" w:sz="4" w:space="0" w:color="auto"/>
            </w:tcBorders>
          </w:tcPr>
          <w:p w14:paraId="080E2966"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Anti-SSEA-4</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2256DEE9"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79B2549A"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r w:rsidR="00F53DD5" w:rsidRPr="00D7079E" w14:paraId="50C98FDD" w14:textId="77777777" w:rsidTr="00551687">
        <w:tc>
          <w:tcPr>
            <w:cnfStyle w:val="001000000000" w:firstRow="0" w:lastRow="0" w:firstColumn="1" w:lastColumn="0" w:oddVBand="0" w:evenVBand="0" w:oddHBand="0" w:evenHBand="0" w:firstRowFirstColumn="0" w:firstRowLastColumn="0" w:lastRowFirstColumn="0" w:lastRowLastColumn="0"/>
            <w:tcW w:w="1521" w:type="dxa"/>
          </w:tcPr>
          <w:p w14:paraId="31BAEC50"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TRA-1-81</w:t>
            </w:r>
          </w:p>
        </w:tc>
        <w:tc>
          <w:tcPr>
            <w:tcW w:w="2769" w:type="dxa"/>
            <w:tcBorders>
              <w:right w:val="single" w:sz="4" w:space="0" w:color="auto"/>
            </w:tcBorders>
          </w:tcPr>
          <w:p w14:paraId="6B08748E"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Anti-TRA-1-81</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3E6C4DF8"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5BF7E99A" w14:textId="77777777" w:rsidR="00F53DD5" w:rsidRPr="00D7079E" w:rsidRDefault="00F53DD5" w:rsidP="00551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r w:rsidR="00F53DD5" w:rsidRPr="00D7079E" w14:paraId="75CE43BC" w14:textId="77777777" w:rsidTr="00551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5FA0DFBC" w14:textId="77777777" w:rsidR="00F53DD5" w:rsidRPr="00D7079E" w:rsidRDefault="00F53DD5" w:rsidP="00551687">
            <w:pPr>
              <w:spacing w:before="100" w:beforeAutospacing="1"/>
              <w:jc w:val="center"/>
              <w:rPr>
                <w:rFonts w:ascii="Arial" w:hAnsi="Arial" w:cs="Arial"/>
                <w:color w:val="000000"/>
                <w:sz w:val="21"/>
                <w:szCs w:val="24"/>
                <w:lang w:val="en-US"/>
              </w:rPr>
            </w:pPr>
            <w:r w:rsidRPr="00D7079E">
              <w:rPr>
                <w:rFonts w:ascii="Arial" w:hAnsi="Arial" w:cs="Arial"/>
                <w:color w:val="000000"/>
                <w:sz w:val="21"/>
                <w:szCs w:val="24"/>
                <w:lang w:val="en-US"/>
              </w:rPr>
              <w:t>TRA-1-60</w:t>
            </w:r>
          </w:p>
        </w:tc>
        <w:tc>
          <w:tcPr>
            <w:tcW w:w="2769" w:type="dxa"/>
            <w:tcBorders>
              <w:right w:val="single" w:sz="4" w:space="0" w:color="auto"/>
            </w:tcBorders>
          </w:tcPr>
          <w:p w14:paraId="39B40FF5"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Anti-TRA-1-60</w:t>
            </w:r>
            <w:r w:rsidRPr="00D7079E">
              <w:rPr>
                <w:rFonts w:ascii="Arial" w:hAnsi="Arial" w:cs="Arial"/>
                <w:b/>
                <w:color w:val="000000"/>
                <w:sz w:val="21"/>
                <w:szCs w:val="24"/>
                <w:lang w:val="en-US"/>
              </w:rPr>
              <w:t>*</w:t>
            </w:r>
          </w:p>
        </w:tc>
        <w:tc>
          <w:tcPr>
            <w:tcW w:w="2254" w:type="dxa"/>
            <w:tcBorders>
              <w:left w:val="single" w:sz="4" w:space="0" w:color="auto"/>
              <w:right w:val="single" w:sz="4" w:space="0" w:color="auto"/>
            </w:tcBorders>
          </w:tcPr>
          <w:p w14:paraId="4BD4E99E"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Applied StemCell, Inc.</w:t>
            </w:r>
          </w:p>
        </w:tc>
        <w:tc>
          <w:tcPr>
            <w:tcW w:w="2670" w:type="dxa"/>
            <w:tcBorders>
              <w:left w:val="single" w:sz="4" w:space="0" w:color="auto"/>
            </w:tcBorders>
          </w:tcPr>
          <w:p w14:paraId="42133468" w14:textId="77777777" w:rsidR="00F53DD5" w:rsidRPr="00D7079E" w:rsidRDefault="00F53DD5" w:rsidP="00551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4"/>
                <w:lang w:val="en-US"/>
              </w:rPr>
            </w:pPr>
            <w:r w:rsidRPr="00D7079E">
              <w:rPr>
                <w:rFonts w:ascii="Arial" w:hAnsi="Arial" w:cs="Arial"/>
                <w:color w:val="000000"/>
                <w:sz w:val="21"/>
                <w:szCs w:val="24"/>
                <w:lang w:val="en-US"/>
              </w:rPr>
              <w:t>As described in company protocol</w:t>
            </w:r>
          </w:p>
        </w:tc>
      </w:tr>
    </w:tbl>
    <w:p w14:paraId="050967DB" w14:textId="77777777" w:rsidR="00F53DD5" w:rsidRPr="00D7079E" w:rsidRDefault="00F53DD5" w:rsidP="00F53DD5">
      <w:pPr>
        <w:spacing w:after="0" w:line="360" w:lineRule="auto"/>
        <w:jc w:val="both"/>
        <w:rPr>
          <w:rFonts w:ascii="Arial" w:hAnsi="Arial" w:cs="Arial"/>
          <w:color w:val="000000"/>
          <w:lang w:val="en-US"/>
        </w:rPr>
      </w:pPr>
      <w:r w:rsidRPr="00D7079E">
        <w:rPr>
          <w:rFonts w:ascii="Arial" w:hAnsi="Arial" w:cs="Arial"/>
          <w:color w:val="000000"/>
          <w:lang w:val="en-US"/>
        </w:rPr>
        <w:t>The secondary antibodies used were *goat anti-mouse (Alexa Fluor 594), **goat anti-rabbit (Alexa Fluor 594). A human ESCs/IPSCs characterization kit (Applied StemCell, Inc.) was used for procedures involving these antibodies.</w:t>
      </w:r>
    </w:p>
    <w:p w14:paraId="2F15C413" w14:textId="77777777" w:rsidR="00F53DD5" w:rsidRPr="00D7079E" w:rsidRDefault="00F53DD5" w:rsidP="00E644A7">
      <w:pPr>
        <w:rPr>
          <w:rFonts w:ascii="Arial" w:eastAsia="Calibri" w:hAnsi="Arial" w:cs="Arial"/>
          <w:b/>
          <w:bCs/>
          <w:color w:val="000000"/>
          <w:sz w:val="24"/>
          <w:szCs w:val="24"/>
          <w:lang w:val="en-US"/>
        </w:rPr>
      </w:pPr>
    </w:p>
    <w:p w14:paraId="7A326A06" w14:textId="77777777" w:rsidR="00E644A7" w:rsidRPr="00D7079E" w:rsidRDefault="00E644A7" w:rsidP="00E644A7">
      <w:pPr>
        <w:rPr>
          <w:color w:val="000000"/>
          <w:lang w:val="en-US" w:eastAsia="en-GB"/>
        </w:rPr>
      </w:pPr>
    </w:p>
    <w:p w14:paraId="7B1A6562" w14:textId="77777777" w:rsidR="00E644A7" w:rsidRPr="00D7079E" w:rsidRDefault="00E644A7" w:rsidP="00E644A7">
      <w:pPr>
        <w:rPr>
          <w:color w:val="000000"/>
          <w:lang w:val="en-US" w:eastAsia="en-GB"/>
        </w:rPr>
      </w:pPr>
      <w:r w:rsidRPr="00D7079E">
        <w:rPr>
          <w:color w:val="000000"/>
          <w:lang w:val="en-US" w:eastAsia="en-GB"/>
        </w:rPr>
        <w:drawing>
          <wp:anchor distT="0" distB="0" distL="114300" distR="114300" simplePos="0" relativeHeight="251660288" behindDoc="1" locked="0" layoutInCell="1" allowOverlap="1" wp14:anchorId="0CE9EDEB" wp14:editId="0558F996">
            <wp:simplePos x="0" y="0"/>
            <wp:positionH relativeFrom="margin">
              <wp:align>left</wp:align>
            </wp:positionH>
            <wp:positionV relativeFrom="paragraph">
              <wp:posOffset>412115</wp:posOffset>
            </wp:positionV>
            <wp:extent cx="5962650" cy="3343275"/>
            <wp:effectExtent l="0" t="0" r="0" b="9525"/>
            <wp:wrapTight wrapText="bothSides">
              <wp:wrapPolygon edited="0">
                <wp:start x="0" y="0"/>
                <wp:lineTo x="0" y="21538"/>
                <wp:lineTo x="21531" y="21538"/>
                <wp:lineTo x="21531" y="0"/>
                <wp:lineTo x="0" y="0"/>
              </wp:wrapPolygon>
            </wp:wrapTight>
            <wp:docPr id="7226" name="Chart 7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14:paraId="3EB04E86" w14:textId="77777777" w:rsidR="00E644A7" w:rsidRPr="00D7079E" w:rsidRDefault="00E644A7" w:rsidP="00E644A7">
      <w:pPr>
        <w:rPr>
          <w:color w:val="000000"/>
          <w:lang w:val="en-US" w:eastAsia="en-GB"/>
        </w:rPr>
      </w:pPr>
    </w:p>
    <w:p w14:paraId="0CC13024" w14:textId="2E1D9009" w:rsidR="00E644A7" w:rsidRPr="00D7079E" w:rsidRDefault="00E644A7" w:rsidP="00E644A7">
      <w:pPr>
        <w:rPr>
          <w:color w:val="000000"/>
          <w:lang w:val="en-US" w:eastAsia="en-GB"/>
        </w:rPr>
      </w:pPr>
    </w:p>
    <w:p w14:paraId="6A60972A" w14:textId="7DF48009" w:rsidR="00E644A7" w:rsidRPr="00D7079E" w:rsidRDefault="00E644A7" w:rsidP="00E644A7">
      <w:pPr>
        <w:jc w:val="both"/>
        <w:rPr>
          <w:color w:val="000000"/>
          <w:sz w:val="24"/>
          <w:szCs w:val="24"/>
          <w:lang w:val="en-US" w:eastAsia="en-GB"/>
        </w:rPr>
      </w:pPr>
      <w:r w:rsidRPr="00D7079E">
        <w:rPr>
          <w:b/>
          <w:color w:val="000000"/>
          <w:sz w:val="24"/>
          <w:szCs w:val="24"/>
          <w:lang w:val="en-US" w:eastAsia="en-GB"/>
        </w:rPr>
        <w:t xml:space="preserve">Supplimntary Figure </w:t>
      </w:r>
      <w:r w:rsidR="007839D9" w:rsidRPr="00D7079E">
        <w:rPr>
          <w:b/>
          <w:color w:val="000000"/>
          <w:sz w:val="24"/>
          <w:szCs w:val="24"/>
          <w:lang w:val="en-US" w:eastAsia="en-GB"/>
        </w:rPr>
        <w:t>1</w:t>
      </w:r>
      <w:r w:rsidRPr="00D7079E">
        <w:rPr>
          <w:b/>
          <w:color w:val="000000"/>
          <w:sz w:val="24"/>
          <w:szCs w:val="24"/>
          <w:lang w:val="en-US" w:eastAsia="en-GB"/>
        </w:rPr>
        <w:t>. Effect of cell number on absorbance at 490 nm</w:t>
      </w:r>
      <w:r w:rsidRPr="00D7079E">
        <w:rPr>
          <w:color w:val="000000"/>
          <w:sz w:val="24"/>
          <w:szCs w:val="24"/>
          <w:lang w:val="en-US" w:eastAsia="en-GB"/>
        </w:rPr>
        <w:t>. Human IPSCs were cultured in 96</w:t>
      </w:r>
      <w:r w:rsidR="00FB4B39" w:rsidRPr="00D7079E">
        <w:rPr>
          <w:color w:val="000000"/>
          <w:sz w:val="24"/>
          <w:szCs w:val="24"/>
          <w:lang w:val="en-US" w:eastAsia="en-GB"/>
        </w:rPr>
        <w:t>-</w:t>
      </w:r>
      <w:r w:rsidRPr="00D7079E">
        <w:rPr>
          <w:color w:val="000000"/>
          <w:sz w:val="24"/>
          <w:szCs w:val="24"/>
          <w:lang w:val="en-US" w:eastAsia="en-GB"/>
        </w:rPr>
        <w:t>well plate</w:t>
      </w:r>
      <w:r w:rsidR="00FB4B39" w:rsidRPr="00D7079E">
        <w:rPr>
          <w:color w:val="000000"/>
          <w:sz w:val="24"/>
          <w:szCs w:val="24"/>
          <w:lang w:val="en-US" w:eastAsia="en-GB"/>
        </w:rPr>
        <w:t>s</w:t>
      </w:r>
      <w:r w:rsidRPr="00D7079E">
        <w:rPr>
          <w:color w:val="000000"/>
          <w:sz w:val="24"/>
          <w:szCs w:val="24"/>
          <w:lang w:val="en-US" w:eastAsia="en-GB"/>
        </w:rPr>
        <w:t xml:space="preserve"> (50,000 cell per well) and inubated at 37 </w:t>
      </w:r>
      <w:r w:rsidRPr="00D7079E">
        <w:rPr>
          <w:rFonts w:cstheme="minorHAnsi"/>
          <w:color w:val="000000"/>
          <w:sz w:val="24"/>
          <w:szCs w:val="24"/>
          <w:lang w:val="en-US" w:eastAsia="en-GB"/>
        </w:rPr>
        <w:t>°</w:t>
      </w:r>
      <w:r w:rsidRPr="00D7079E">
        <w:rPr>
          <w:color w:val="000000"/>
          <w:sz w:val="24"/>
          <w:szCs w:val="24"/>
          <w:lang w:val="en-US" w:eastAsia="en-GB"/>
        </w:rPr>
        <w:t xml:space="preserve">C. MTS regaent was added and absorbence at 490 nm was recored using </w:t>
      </w:r>
      <w:r w:rsidR="00FB4B39" w:rsidRPr="00D7079E">
        <w:rPr>
          <w:color w:val="000000"/>
          <w:sz w:val="24"/>
          <w:szCs w:val="24"/>
          <w:lang w:val="en-US" w:eastAsia="en-GB"/>
        </w:rPr>
        <w:t xml:space="preserve">an </w:t>
      </w:r>
      <w:r w:rsidRPr="00D7079E">
        <w:rPr>
          <w:color w:val="000000"/>
          <w:sz w:val="24"/>
          <w:szCs w:val="24"/>
          <w:lang w:val="en-US" w:eastAsia="en-GB"/>
        </w:rPr>
        <w:t xml:space="preserve">ELISA reder. The y-axis indicates cell number </w:t>
      </w:r>
      <w:r w:rsidR="00FB4B39" w:rsidRPr="00D7079E">
        <w:rPr>
          <w:color w:val="000000"/>
          <w:sz w:val="24"/>
          <w:szCs w:val="24"/>
          <w:lang w:val="en-US" w:eastAsia="en-GB"/>
        </w:rPr>
        <w:t>and the</w:t>
      </w:r>
      <w:r w:rsidRPr="00D7079E">
        <w:rPr>
          <w:color w:val="000000"/>
          <w:sz w:val="24"/>
          <w:szCs w:val="24"/>
          <w:lang w:val="en-US" w:eastAsia="en-GB"/>
        </w:rPr>
        <w:t xml:space="preserve"> x-axis indicates the OD value. Each point represents a mean of </w:t>
      </w:r>
      <w:r w:rsidR="00FB4B39" w:rsidRPr="00D7079E">
        <w:rPr>
          <w:color w:val="000000"/>
          <w:sz w:val="24"/>
          <w:szCs w:val="24"/>
          <w:lang w:val="en-US" w:eastAsia="en-GB"/>
        </w:rPr>
        <w:t>three</w:t>
      </w:r>
      <w:r w:rsidRPr="00D7079E">
        <w:rPr>
          <w:color w:val="000000"/>
          <w:sz w:val="24"/>
          <w:szCs w:val="24"/>
          <w:lang w:val="en-US" w:eastAsia="en-GB"/>
        </w:rPr>
        <w:t xml:space="preserve"> replica</w:t>
      </w:r>
      <w:r w:rsidR="00FB4B39" w:rsidRPr="00D7079E">
        <w:rPr>
          <w:color w:val="000000"/>
          <w:sz w:val="24"/>
          <w:szCs w:val="24"/>
          <w:lang w:val="en-US" w:eastAsia="en-GB"/>
        </w:rPr>
        <w:t>t</w:t>
      </w:r>
      <w:r w:rsidRPr="00D7079E">
        <w:rPr>
          <w:color w:val="000000"/>
          <w:sz w:val="24"/>
          <w:szCs w:val="24"/>
          <w:lang w:val="en-US" w:eastAsia="en-GB"/>
        </w:rPr>
        <w:t xml:space="preserve">es. </w:t>
      </w:r>
      <w:r w:rsidR="00FB4B39" w:rsidRPr="00D7079E">
        <w:rPr>
          <w:color w:val="000000"/>
          <w:sz w:val="24"/>
          <w:szCs w:val="24"/>
          <w:lang w:val="en-US" w:eastAsia="en-GB"/>
        </w:rPr>
        <w:t>The a</w:t>
      </w:r>
      <w:r w:rsidRPr="00D7079E">
        <w:rPr>
          <w:color w:val="000000"/>
          <w:sz w:val="24"/>
          <w:szCs w:val="24"/>
          <w:lang w:val="en-US" w:eastAsia="en-GB"/>
        </w:rPr>
        <w:t>ssay</w:t>
      </w:r>
      <w:r w:rsidR="00FB4B39" w:rsidRPr="00D7079E">
        <w:rPr>
          <w:color w:val="000000"/>
          <w:sz w:val="24"/>
          <w:szCs w:val="24"/>
          <w:lang w:val="en-US" w:eastAsia="en-GB"/>
        </w:rPr>
        <w:t xml:space="preserve"> was</w:t>
      </w:r>
      <w:r w:rsidRPr="00D7079E">
        <w:rPr>
          <w:color w:val="000000"/>
          <w:sz w:val="24"/>
          <w:szCs w:val="24"/>
          <w:lang w:val="en-US" w:eastAsia="en-GB"/>
        </w:rPr>
        <w:t xml:space="preserve"> perform</w:t>
      </w:r>
      <w:r w:rsidR="00FB4B39" w:rsidRPr="00D7079E">
        <w:rPr>
          <w:color w:val="000000"/>
          <w:sz w:val="24"/>
          <w:szCs w:val="24"/>
          <w:lang w:val="en-US" w:eastAsia="en-GB"/>
        </w:rPr>
        <w:t>ed</w:t>
      </w:r>
      <w:r w:rsidRPr="00D7079E">
        <w:rPr>
          <w:color w:val="000000"/>
          <w:sz w:val="24"/>
          <w:szCs w:val="24"/>
          <w:lang w:val="en-US" w:eastAsia="en-GB"/>
        </w:rPr>
        <w:t xml:space="preserve"> according to the kit’s instructions. </w:t>
      </w:r>
    </w:p>
    <w:p w14:paraId="7637838E" w14:textId="4ABECCBB" w:rsidR="005F5F16" w:rsidRPr="00D7079E" w:rsidRDefault="005F5F16" w:rsidP="00E644A7">
      <w:pPr>
        <w:jc w:val="both"/>
        <w:rPr>
          <w:color w:val="000000"/>
          <w:sz w:val="24"/>
          <w:szCs w:val="24"/>
          <w:lang w:val="en-US" w:eastAsia="en-GB"/>
        </w:rPr>
      </w:pPr>
    </w:p>
    <w:p w14:paraId="4A9EAB91" w14:textId="77777777" w:rsidR="005F5F16" w:rsidRPr="00D7079E" w:rsidRDefault="005F5F16" w:rsidP="005F5F16">
      <w:pPr>
        <w:spacing w:line="240" w:lineRule="auto"/>
        <w:rPr>
          <w:rFonts w:ascii="Arial" w:eastAsia="Calibri" w:hAnsi="Arial" w:cs="Arial"/>
          <w:color w:val="000000"/>
          <w:sz w:val="24"/>
          <w:szCs w:val="24"/>
          <w:lang w:val="en-US"/>
        </w:rPr>
      </w:pPr>
      <w:r w:rsidRPr="00D7079E">
        <w:rPr>
          <w:rFonts w:ascii="Arial" w:eastAsia="Calibri" w:hAnsi="Arial" w:cs="Arial"/>
          <w:color w:val="000000"/>
          <w:lang w:val="en-US" w:eastAsia="en-IN"/>
        </w:rPr>
        <w:drawing>
          <wp:inline distT="0" distB="0" distL="0" distR="0" wp14:anchorId="69395816" wp14:editId="57F5404C">
            <wp:extent cx="4562475" cy="4953000"/>
            <wp:effectExtent l="0" t="0" r="9525" b="0"/>
            <wp:docPr id="9" name="Picture 1" descr="A picture containing text, nature&#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1" descr="A picture containing text, natur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bwMode="auto">
                    <a:xfrm>
                      <a:off x="0" y="0"/>
                      <a:ext cx="4562475" cy="4953000"/>
                    </a:xfrm>
                    <a:prstGeom prst="rect">
                      <a:avLst/>
                    </a:prstGeom>
                    <a:noFill/>
                    <a:ln>
                      <a:noFill/>
                    </a:ln>
                  </pic:spPr>
                </pic:pic>
              </a:graphicData>
            </a:graphic>
          </wp:inline>
        </w:drawing>
      </w:r>
    </w:p>
    <w:p w14:paraId="4428B876" w14:textId="46974141" w:rsidR="005F5F16" w:rsidRPr="00D7079E" w:rsidRDefault="005F5F16" w:rsidP="005F5F16">
      <w:pPr>
        <w:spacing w:line="240" w:lineRule="auto"/>
        <w:rPr>
          <w:rFonts w:eastAsia="Calibri" w:cstheme="minorHAnsi"/>
          <w:b/>
          <w:color w:val="000000"/>
          <w:sz w:val="24"/>
          <w:szCs w:val="24"/>
          <w:lang w:val="en-US"/>
        </w:rPr>
      </w:pPr>
      <w:r w:rsidRPr="00D7079E">
        <w:rPr>
          <w:rFonts w:eastAsia="Calibri" w:cstheme="minorHAnsi"/>
          <w:b/>
          <w:color w:val="000000"/>
          <w:sz w:val="24"/>
          <w:szCs w:val="24"/>
          <w:lang w:val="en-US" w:eastAsia="en-IN"/>
        </w:rPr>
        <mc:AlternateContent>
          <mc:Choice Requires="wpi">
            <w:drawing>
              <wp:anchor distT="0" distB="0" distL="114300" distR="114300" simplePos="0" relativeHeight="251662336" behindDoc="0" locked="0" layoutInCell="1" allowOverlap="1" wp14:anchorId="76B08A8F" wp14:editId="6DC07FD1">
                <wp:simplePos x="0" y="0"/>
                <wp:positionH relativeFrom="column">
                  <wp:posOffset>9011076</wp:posOffset>
                </wp:positionH>
                <wp:positionV relativeFrom="paragraph">
                  <wp:posOffset>137353</wp:posOffset>
                </wp:positionV>
                <wp:extent cx="5400" cy="387720"/>
                <wp:effectExtent l="57150" t="38100" r="52070" b="50800"/>
                <wp:wrapNone/>
                <wp:docPr id="7" name="Ink 7"/>
                <wp:cNvGraphicFramePr/>
                <a:graphic xmlns:a="http://schemas.openxmlformats.org/drawingml/2006/main">
                  <a:graphicData uri="http://schemas.microsoft.com/office/word/2010/wordprocessingInk">
                    <w14:contentPart bwMode="auto" r:id="rId7">
                      <w14:nvContentPartPr>
                        <w14:cNvContentPartPr/>
                      </w14:nvContentPartPr>
                      <w14:xfrm>
                        <a:off x="0" y="0"/>
                        <a:ext cx="5400" cy="387720"/>
                      </w14:xfrm>
                    </w14:contentPart>
                  </a:graphicData>
                </a:graphic>
              </wp:anchor>
            </w:drawing>
          </mc:Choice>
          <mc:Fallback xmlns:oel="http://schemas.microsoft.com/office/2019/extlst">
            <w:pict>
              <v:shapetype w14:anchorId="73FB46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708.8pt;margin-top:10.1pt;width:1.95pt;height:3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">
                <v:imagedata r:id="rId12" o:title=""/>
              </v:shape>
            </w:pict>
          </mc:Fallback>
        </mc:AlternateContent>
      </w:r>
      <w:r w:rsidRPr="00D7079E">
        <w:rPr>
          <w:rFonts w:eastAsia="Calibri" w:cstheme="minorHAnsi"/>
          <w:b/>
          <w:color w:val="000000"/>
          <w:sz w:val="24"/>
          <w:szCs w:val="24"/>
          <w:lang w:val="en-US" w:eastAsia="en-IN"/>
        </w:rPr>
        <mc:AlternateContent>
          <mc:Choice Requires="wpi">
            <w:drawing>
              <wp:anchor distT="0" distB="0" distL="114300" distR="114300" simplePos="0" relativeHeight="251663360" behindDoc="0" locked="0" layoutInCell="1" allowOverlap="1" wp14:anchorId="0CF4561C" wp14:editId="14983A47">
                <wp:simplePos x="0" y="0"/>
                <wp:positionH relativeFrom="column">
                  <wp:posOffset>8974356</wp:posOffset>
                </wp:positionH>
                <wp:positionV relativeFrom="paragraph">
                  <wp:posOffset>171198</wp:posOffset>
                </wp:positionV>
                <wp:extent cx="44280" cy="18720"/>
                <wp:effectExtent l="38100" t="38100" r="51435" b="57785"/>
                <wp:wrapNone/>
                <wp:docPr id="8"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44280" cy="18720"/>
                      </w14:xfrm>
                    </w14:contentPart>
                  </a:graphicData>
                </a:graphic>
              </wp:anchor>
            </w:drawing>
          </mc:Choice>
          <mc:Fallback xmlns:oel="http://schemas.microsoft.com/office/2019/extlst">
            <w:pict>
              <v:shape w14:anchorId="060829D9" id="Ink 8" o:spid="_x0000_s1026" type="#_x0000_t75" style="position:absolute;margin-left:705.95pt;margin-top:12.8pt;width:4.95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&#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">
                <v:imagedata r:id="rId14" o:title=""/>
              </v:shape>
            </w:pict>
          </mc:Fallback>
        </mc:AlternateContent>
      </w:r>
      <w:r w:rsidRPr="00D7079E">
        <w:rPr>
          <w:rFonts w:eastAsia="Calibri" w:cstheme="minorHAnsi"/>
          <w:b/>
          <w:color w:val="000000"/>
          <w:sz w:val="24"/>
          <w:szCs w:val="24"/>
          <w:lang w:val="en-US"/>
        </w:rPr>
        <w:t xml:space="preserve"> Supplementary Figure 2</w:t>
      </w:r>
      <w:r w:rsidRPr="00D7079E">
        <w:rPr>
          <w:rFonts w:cstheme="minorHAnsi"/>
          <w:b/>
          <w:color w:val="000000"/>
          <w:sz w:val="24"/>
          <w:szCs w:val="24"/>
          <w:lang w:val="en-US"/>
        </w:rPr>
        <w:t>. Comparison of the passaging of human IPSCs as clusters vs. single cells.</w:t>
      </w:r>
      <w:r w:rsidRPr="00D7079E">
        <w:rPr>
          <w:rFonts w:cstheme="minorHAnsi"/>
          <w:color w:val="000000"/>
          <w:sz w:val="24"/>
          <w:szCs w:val="24"/>
          <w:lang w:val="en-US"/>
        </w:rPr>
        <w:t xml:space="preserve"> (A) Human IPSCs after dissociation without the enzymes formed large aggregates or clumps; (B) human IPSCs after dissociation in the presence of 10 µM Y-27632. Scale for images A and B: 20 μm.</w:t>
      </w:r>
    </w:p>
    <w:p w14:paraId="14C0FC60" w14:textId="77777777" w:rsidR="005F5F16" w:rsidRPr="00D7079E" w:rsidRDefault="005F5F16" w:rsidP="00E644A7">
      <w:pPr>
        <w:jc w:val="both"/>
        <w:rPr>
          <w:color w:val="000000"/>
          <w:sz w:val="24"/>
          <w:szCs w:val="24"/>
          <w:lang w:val="en-US" w:eastAsia="en-GB"/>
        </w:rPr>
      </w:pPr>
    </w:p>
    <w:p w14:paraId="14E2D2AA" w14:textId="5CF39616" w:rsidR="003B5B0A" w:rsidRPr="00D7079E" w:rsidRDefault="003B5B0A" w:rsidP="00E644A7">
      <w:pPr>
        <w:jc w:val="both"/>
        <w:rPr>
          <w:color w:val="000000"/>
          <w:sz w:val="24"/>
          <w:szCs w:val="24"/>
          <w:lang w:val="en-US" w:eastAsia="en-GB"/>
        </w:rPr>
      </w:pPr>
    </w:p>
    <w:p w14:paraId="191263F7" w14:textId="4EECAC05" w:rsidR="003B5B0A" w:rsidRPr="00D7079E" w:rsidRDefault="00652909" w:rsidP="00652909">
      <w:pPr>
        <w:spacing w:line="480" w:lineRule="auto"/>
        <w:ind w:left="142"/>
        <w:jc w:val="both"/>
        <w:rPr>
          <w:rFonts w:ascii="Arial" w:eastAsia="Calibri" w:hAnsi="Arial" w:cs="Arial"/>
          <w:b/>
          <w:iCs/>
          <w:color w:val="000000"/>
          <w:sz w:val="24"/>
          <w:szCs w:val="24"/>
          <w:lang w:val="en-US"/>
        </w:rPr>
      </w:pPr>
      <w:r w:rsidRPr="00D7079E">
        <w:rPr>
          <w:color w:val="000000"/>
          <w:lang w:val="en-US"/>
        </w:rPr>
        <mc:AlternateContent>
          <mc:Choice Requires="wps">
            <w:drawing>
              <wp:anchor distT="0" distB="0" distL="114300" distR="114300" simplePos="0" relativeHeight="251664384" behindDoc="0" locked="0" layoutInCell="1" allowOverlap="1" wp14:anchorId="2408232B" wp14:editId="65FBDFC2">
                <wp:simplePos x="0" y="0"/>
                <wp:positionH relativeFrom="column">
                  <wp:posOffset>3016220</wp:posOffset>
                </wp:positionH>
                <wp:positionV relativeFrom="paragraph">
                  <wp:posOffset>2160107</wp:posOffset>
                </wp:positionV>
                <wp:extent cx="255685" cy="273020"/>
                <wp:effectExtent l="0" t="0" r="11430" b="13335"/>
                <wp:wrapNone/>
                <wp:docPr id="3" name="Text Box 3"/>
                <wp:cNvGraphicFramePr/>
                <a:graphic xmlns:a="http://schemas.openxmlformats.org/drawingml/2006/main">
                  <a:graphicData uri="http://schemas.microsoft.com/office/word/2010/wordprocessingShape">
                    <wps:wsp>
                      <wps:cNvSpPr txBox="1"/>
                      <wps:spPr>
                        <a:xfrm>
                          <a:off x="0" y="0"/>
                          <a:ext cx="255685" cy="273020"/>
                        </a:xfrm>
                        <a:prstGeom prst="rect">
                          <a:avLst/>
                        </a:prstGeom>
                        <a:solidFill>
                          <a:schemeClr val="lt1"/>
                        </a:solidFill>
                        <a:ln w="6350">
                          <a:solidFill>
                            <a:prstClr val="black"/>
                          </a:solidFill>
                        </a:ln>
                      </wps:spPr>
                      <wps:txbx>
                        <w:txbxContent>
                          <w:p w14:paraId="4CEB5D13" w14:textId="0960DEB8" w:rsidR="00652909" w:rsidRPr="00652909" w:rsidRDefault="00652909">
                            <w:pPr>
                              <w:rPr>
                                <w:sz w:val="28"/>
                                <w:szCs w:val="28"/>
                              </w:rPr>
                            </w:pPr>
                            <w:r w:rsidRPr="00652909">
                              <w:rPr>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8232B" id="_x0000_t202" coordsize="21600,21600" o:spt="202" path="m,l,21600r21600,l21600,xe">
                <v:stroke joinstyle="miter"/>
                <v:path gradientshapeok="t" o:connecttype="rect"/>
              </v:shapetype>
              <v:shape id="Text Box 3" o:spid="_x0000_s1026" type="#_x0000_t202" style="position:absolute;left:0;text-align:left;margin-left:237.5pt;margin-top:170.1pt;width:20.1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" fillcolor="white [3201]" strokeweight=".5pt">
                <v:textbox>
                  <w:txbxContent>
                    <w:p w14:paraId="4CEB5D13" w14:textId="0960DEB8" w:rsidR="00652909" w:rsidRPr="00652909" w:rsidRDefault="00652909">
                      <w:pPr>
                        <w:rPr>
                          <w:sz w:val="28"/>
                          <w:szCs w:val="28"/>
                        </w:rPr>
                      </w:pPr>
                      <w:r w:rsidRPr="00652909">
                        <w:rPr>
                          <w:sz w:val="28"/>
                          <w:szCs w:val="28"/>
                        </w:rPr>
                        <w:t>E</w:t>
                      </w:r>
                    </w:p>
                  </w:txbxContent>
                </v:textbox>
              </v:shape>
            </w:pict>
          </mc:Fallback>
        </mc:AlternateContent>
      </w:r>
    </w:p>
    <w:p w14:paraId="0CC3B431" w14:textId="55EE5D29" w:rsidR="00CF472D" w:rsidRPr="00D7079E" w:rsidRDefault="00CF472D" w:rsidP="00CF472D">
      <w:pPr>
        <w:spacing w:line="480" w:lineRule="auto"/>
        <w:ind w:left="142"/>
        <w:jc w:val="both"/>
        <w:rPr>
          <w:rFonts w:ascii="Arial" w:eastAsia="Calibri" w:hAnsi="Arial" w:cs="Arial"/>
          <w:b/>
          <w:iCs/>
          <w:color w:val="000000"/>
          <w:sz w:val="24"/>
          <w:szCs w:val="24"/>
          <w:lang w:val="en-US"/>
        </w:rPr>
      </w:pPr>
      <w:r w:rsidRPr="00D7079E">
        <w:rPr>
          <w:rFonts w:ascii="Arial" w:eastAsia="Calibri" w:hAnsi="Arial" w:cs="Arial"/>
          <w:b/>
          <w:iCs/>
          <w:color w:val="000000"/>
          <w:sz w:val="24"/>
          <w:szCs w:val="24"/>
          <w:lang w:val="en-US"/>
        </w:rPr>
        <w:lastRenderedPageBreak/>
        <w:drawing>
          <wp:inline distT="0" distB="0" distL="0" distR="0" wp14:anchorId="36F63B0A" wp14:editId="203122CE">
            <wp:extent cx="5730875" cy="422465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224655"/>
                    </a:xfrm>
                    <a:prstGeom prst="rect">
                      <a:avLst/>
                    </a:prstGeom>
                    <a:noFill/>
                  </pic:spPr>
                </pic:pic>
              </a:graphicData>
            </a:graphic>
          </wp:inline>
        </w:drawing>
      </w:r>
    </w:p>
    <w:p w14:paraId="3A4B546C" w14:textId="76F273AB" w:rsidR="00CF472D" w:rsidRPr="00D7079E" w:rsidRDefault="00CF472D" w:rsidP="00652909">
      <w:pPr>
        <w:spacing w:line="480" w:lineRule="auto"/>
        <w:ind w:left="142"/>
        <w:jc w:val="both"/>
        <w:rPr>
          <w:rFonts w:ascii="Arial" w:eastAsia="Calibri" w:hAnsi="Arial" w:cs="Arial"/>
          <w:b/>
          <w:iCs/>
          <w:color w:val="000000"/>
          <w:sz w:val="24"/>
          <w:szCs w:val="24"/>
          <w:lang w:val="en-US"/>
        </w:rPr>
      </w:pPr>
    </w:p>
    <w:p w14:paraId="4E4C6F6A" w14:textId="655B1EEE" w:rsidR="00CF472D" w:rsidRPr="00D7079E" w:rsidRDefault="00CF472D" w:rsidP="00652909">
      <w:pPr>
        <w:spacing w:line="480" w:lineRule="auto"/>
        <w:ind w:left="142"/>
        <w:jc w:val="both"/>
        <w:rPr>
          <w:rFonts w:ascii="Arial" w:eastAsia="Calibri" w:hAnsi="Arial" w:cs="Arial"/>
          <w:b/>
          <w:iCs/>
          <w:color w:val="000000"/>
          <w:sz w:val="24"/>
          <w:szCs w:val="24"/>
          <w:lang w:val="en-US"/>
        </w:rPr>
      </w:pPr>
    </w:p>
    <w:p w14:paraId="73BE801A" w14:textId="77777777" w:rsidR="00CF472D" w:rsidRPr="00D7079E" w:rsidRDefault="00CF472D" w:rsidP="00652909">
      <w:pPr>
        <w:spacing w:line="480" w:lineRule="auto"/>
        <w:ind w:left="142"/>
        <w:jc w:val="both"/>
        <w:rPr>
          <w:rFonts w:ascii="Arial" w:eastAsia="Calibri" w:hAnsi="Arial" w:cs="Arial"/>
          <w:b/>
          <w:iCs/>
          <w:color w:val="000000"/>
          <w:sz w:val="24"/>
          <w:szCs w:val="24"/>
          <w:lang w:val="en-US"/>
        </w:rPr>
      </w:pPr>
    </w:p>
    <w:p w14:paraId="5DCF3D3F" w14:textId="77777777" w:rsidR="00CF472D" w:rsidRPr="00D7079E" w:rsidRDefault="00CF472D" w:rsidP="00BF1C1F">
      <w:pPr>
        <w:pStyle w:val="ListParagraph"/>
        <w:spacing w:line="240" w:lineRule="auto"/>
        <w:ind w:left="502"/>
        <w:rPr>
          <w:rFonts w:ascii="Arial" w:eastAsia="Calibri" w:hAnsi="Arial" w:cs="Arial"/>
          <w:b/>
          <w:color w:val="000000"/>
          <w:lang w:val="en-US"/>
        </w:rPr>
      </w:pPr>
    </w:p>
    <w:p w14:paraId="6E255F69" w14:textId="77777777" w:rsidR="00CF472D" w:rsidRPr="00D7079E" w:rsidRDefault="00CF472D" w:rsidP="00BF1C1F">
      <w:pPr>
        <w:pStyle w:val="ListParagraph"/>
        <w:spacing w:line="240" w:lineRule="auto"/>
        <w:ind w:left="502"/>
        <w:rPr>
          <w:rFonts w:ascii="Arial" w:eastAsia="Calibri" w:hAnsi="Arial" w:cs="Arial"/>
          <w:b/>
          <w:color w:val="000000"/>
          <w:lang w:val="en-US"/>
        </w:rPr>
      </w:pPr>
    </w:p>
    <w:p w14:paraId="2849B4FB" w14:textId="77777777" w:rsidR="00CF472D" w:rsidRPr="00D7079E" w:rsidRDefault="00CF472D" w:rsidP="00BF1C1F">
      <w:pPr>
        <w:pStyle w:val="ListParagraph"/>
        <w:spacing w:line="240" w:lineRule="auto"/>
        <w:ind w:left="502"/>
        <w:rPr>
          <w:rFonts w:ascii="Arial" w:eastAsia="Calibri" w:hAnsi="Arial" w:cs="Arial"/>
          <w:b/>
          <w:color w:val="000000"/>
          <w:lang w:val="en-US"/>
        </w:rPr>
      </w:pPr>
    </w:p>
    <w:p w14:paraId="51A9E888" w14:textId="77777777" w:rsidR="00CF472D" w:rsidRPr="00D7079E" w:rsidRDefault="00CF472D" w:rsidP="00BF1C1F">
      <w:pPr>
        <w:pStyle w:val="ListParagraph"/>
        <w:spacing w:line="240" w:lineRule="auto"/>
        <w:ind w:left="502"/>
        <w:rPr>
          <w:rFonts w:ascii="Arial" w:eastAsia="Calibri" w:hAnsi="Arial" w:cs="Arial"/>
          <w:b/>
          <w:color w:val="000000"/>
          <w:lang w:val="en-US"/>
        </w:rPr>
      </w:pPr>
    </w:p>
    <w:p w14:paraId="7191AA28" w14:textId="2EB0DA0D" w:rsidR="003B5B0A" w:rsidRPr="00D7079E" w:rsidRDefault="003B5B0A" w:rsidP="00BF1C1F">
      <w:pPr>
        <w:pStyle w:val="ListParagraph"/>
        <w:spacing w:line="240" w:lineRule="auto"/>
        <w:ind w:left="502"/>
        <w:rPr>
          <w:rFonts w:cstheme="minorHAnsi"/>
          <w:color w:val="000000"/>
          <w:sz w:val="24"/>
          <w:szCs w:val="24"/>
          <w:lang w:val="en-US"/>
        </w:rPr>
      </w:pPr>
      <w:r w:rsidRPr="00D7079E">
        <w:rPr>
          <w:rFonts w:ascii="Arial" w:eastAsia="Calibri" w:hAnsi="Arial" w:cs="Arial"/>
          <w:b/>
          <w:color w:val="000000"/>
          <w:lang w:val="en-US"/>
        </w:rPr>
        <w:t xml:space="preserve">Supplementary Figure </w:t>
      </w:r>
      <w:r w:rsidR="005F5F16" w:rsidRPr="00D7079E">
        <w:rPr>
          <w:rFonts w:ascii="Arial" w:eastAsia="Calibri" w:hAnsi="Arial" w:cs="Arial"/>
          <w:b/>
          <w:color w:val="000000"/>
          <w:lang w:val="en-US"/>
        </w:rPr>
        <w:t>3</w:t>
      </w:r>
      <w:r w:rsidRPr="00D7079E">
        <w:rPr>
          <w:rFonts w:cstheme="minorHAnsi"/>
          <w:b/>
          <w:color w:val="000000"/>
          <w:sz w:val="24"/>
          <w:szCs w:val="24"/>
          <w:lang w:val="en-US"/>
        </w:rPr>
        <w:t>. Morphology of human induced pluripotent cell line IMR-90 cultured on Corning Matrigel matrix in mTeSR™1 medium</w:t>
      </w:r>
      <w:r w:rsidR="005F5F16" w:rsidRPr="00D7079E">
        <w:rPr>
          <w:rFonts w:cstheme="minorHAnsi"/>
          <w:b/>
          <w:color w:val="000000"/>
          <w:sz w:val="24"/>
          <w:szCs w:val="24"/>
          <w:lang w:val="en-US"/>
        </w:rPr>
        <w:t xml:space="preserve"> under hypoxic condition and  ROCK inhibitor</w:t>
      </w:r>
      <w:r w:rsidRPr="00D7079E">
        <w:rPr>
          <w:rFonts w:cstheme="minorHAnsi"/>
          <w:b/>
          <w:color w:val="000000"/>
          <w:sz w:val="24"/>
          <w:szCs w:val="24"/>
          <w:lang w:val="en-US"/>
        </w:rPr>
        <w:t>.</w:t>
      </w:r>
      <w:r w:rsidRPr="00D7079E">
        <w:rPr>
          <w:rFonts w:cstheme="minorHAnsi"/>
          <w:color w:val="000000"/>
          <w:sz w:val="24"/>
          <w:szCs w:val="24"/>
          <w:lang w:val="en-US"/>
        </w:rPr>
        <w:t xml:space="preserve"> A) The cells on day 5 of culture maintenance showing human IPSC colonies covering a large area of the well. B) The morphology of the human IPSC colony was dense and flat with smooth edges. C) The human IPSCs were condensed, with high nucleus/cytoplasm ratios and prominent nucleoli, as indicated by the arrows. D) An undifferentiated human IPSC colony that has begun to spontaneously differentiate around the edges, as indicated by the arrows. </w:t>
      </w:r>
      <w:r w:rsidR="00652909" w:rsidRPr="00D7079E">
        <w:rPr>
          <w:rFonts w:cstheme="minorHAnsi"/>
          <w:color w:val="000000"/>
          <w:sz w:val="24"/>
          <w:szCs w:val="24"/>
          <w:lang w:val="en-US"/>
        </w:rPr>
        <w:t>E</w:t>
      </w:r>
      <w:r w:rsidRPr="00D7079E">
        <w:rPr>
          <w:rFonts w:cstheme="minorHAnsi"/>
          <w:color w:val="000000"/>
          <w:sz w:val="24"/>
          <w:szCs w:val="24"/>
          <w:lang w:val="en-US"/>
        </w:rPr>
        <w:t>). Human IPSCs that stained positive for alkaline phosphatase activity. Scales for the images in A, B, and D: 200 μm. Scales for the image in E: 10 μm. Scales for the image in C: 20 μm.</w:t>
      </w:r>
    </w:p>
    <w:p w14:paraId="70A0E44C" w14:textId="676318DD" w:rsidR="005F5F16" w:rsidRPr="00D7079E" w:rsidRDefault="005F5F16" w:rsidP="00BF1C1F">
      <w:pPr>
        <w:pStyle w:val="ListParagraph"/>
        <w:spacing w:line="240" w:lineRule="auto"/>
        <w:ind w:left="502"/>
        <w:rPr>
          <w:rFonts w:cstheme="minorHAnsi"/>
          <w:color w:val="000000"/>
          <w:sz w:val="24"/>
          <w:szCs w:val="24"/>
          <w:lang w:val="en-US"/>
        </w:rPr>
      </w:pPr>
    </w:p>
    <w:p w14:paraId="5FBDCDCB" w14:textId="19E23439" w:rsidR="005F5F16" w:rsidRPr="00D7079E" w:rsidRDefault="005F5F16" w:rsidP="00BF1C1F">
      <w:pPr>
        <w:pStyle w:val="ListParagraph"/>
        <w:spacing w:line="240" w:lineRule="auto"/>
        <w:ind w:left="502"/>
        <w:rPr>
          <w:rFonts w:cstheme="minorHAnsi"/>
          <w:color w:val="000000"/>
          <w:sz w:val="24"/>
          <w:szCs w:val="24"/>
          <w:lang w:val="en-US"/>
        </w:rPr>
      </w:pPr>
    </w:p>
    <w:p w14:paraId="15FA2C87" w14:textId="5F43ECA6" w:rsidR="005F5F16" w:rsidRPr="00D7079E" w:rsidRDefault="00881F2C" w:rsidP="00BF1C1F">
      <w:pPr>
        <w:pStyle w:val="ListParagraph"/>
        <w:spacing w:line="240" w:lineRule="auto"/>
        <w:ind w:left="502"/>
        <w:rPr>
          <w:rFonts w:cstheme="minorHAnsi"/>
          <w:color w:val="000000"/>
          <w:sz w:val="24"/>
          <w:szCs w:val="24"/>
          <w:lang w:val="en-US"/>
        </w:rPr>
      </w:pPr>
      <w:r w:rsidRPr="00D7079E">
        <w:rPr>
          <w:rFonts w:cstheme="minorHAnsi"/>
          <w:color w:val="000000"/>
          <w:sz w:val="24"/>
          <w:szCs w:val="24"/>
          <w:lang w:val="en-US"/>
        </w:rPr>
        <w:lastRenderedPageBreak/>
        <w:drawing>
          <wp:inline distT="0" distB="0" distL="0" distR="0" wp14:anchorId="216BDD64" wp14:editId="60A61A18">
            <wp:extent cx="5651500" cy="4895215"/>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0" cy="4895215"/>
                    </a:xfrm>
                    <a:prstGeom prst="rect">
                      <a:avLst/>
                    </a:prstGeom>
                    <a:noFill/>
                  </pic:spPr>
                </pic:pic>
              </a:graphicData>
            </a:graphic>
          </wp:inline>
        </w:drawing>
      </w:r>
    </w:p>
    <w:p w14:paraId="1694080B" w14:textId="77777777" w:rsidR="00E644A7" w:rsidRPr="00D7079E" w:rsidRDefault="00E644A7" w:rsidP="00E644A7">
      <w:pPr>
        <w:rPr>
          <w:color w:val="000000"/>
          <w:lang w:val="en-US" w:eastAsia="en-GB"/>
        </w:rPr>
      </w:pPr>
    </w:p>
    <w:p w14:paraId="20BFA2E6" w14:textId="4FA61951" w:rsidR="003B5B0A" w:rsidRPr="00D7079E" w:rsidRDefault="00224894" w:rsidP="00BF1C1F">
      <w:pPr>
        <w:spacing w:line="240" w:lineRule="auto"/>
        <w:rPr>
          <w:rFonts w:cstheme="minorHAnsi"/>
          <w:color w:val="000000"/>
          <w:sz w:val="24"/>
          <w:szCs w:val="24"/>
          <w:lang w:val="en-US"/>
        </w:rPr>
      </w:pPr>
      <w:r w:rsidRPr="00D7079E">
        <w:rPr>
          <w:rFonts w:cstheme="minorHAnsi"/>
          <w:b/>
          <w:color w:val="000000"/>
          <w:sz w:val="24"/>
          <w:szCs w:val="24"/>
          <w:lang w:val="en-US"/>
        </w:rPr>
        <w:t>Supplementary</w:t>
      </w:r>
      <w:r w:rsidR="003B5B0A" w:rsidRPr="00D7079E">
        <w:rPr>
          <w:rFonts w:cstheme="minorHAnsi"/>
          <w:b/>
          <w:color w:val="000000"/>
          <w:sz w:val="24"/>
          <w:szCs w:val="24"/>
          <w:lang w:val="en-US"/>
        </w:rPr>
        <w:t xml:space="preserve"> Figure </w:t>
      </w:r>
      <w:r w:rsidR="005F5F16" w:rsidRPr="00D7079E">
        <w:rPr>
          <w:rFonts w:cstheme="minorHAnsi"/>
          <w:b/>
          <w:color w:val="000000"/>
          <w:sz w:val="24"/>
          <w:szCs w:val="24"/>
          <w:lang w:val="en-US"/>
        </w:rPr>
        <w:t>4</w:t>
      </w:r>
      <w:r w:rsidR="003B5B0A" w:rsidRPr="00D7079E">
        <w:rPr>
          <w:rFonts w:cstheme="minorHAnsi"/>
          <w:b/>
          <w:color w:val="000000"/>
          <w:sz w:val="24"/>
          <w:szCs w:val="24"/>
          <w:lang w:val="en-US"/>
        </w:rPr>
        <w:t xml:space="preserve">. </w:t>
      </w:r>
      <w:r w:rsidR="003B5B0A" w:rsidRPr="00D7079E">
        <w:rPr>
          <w:rFonts w:cstheme="minorHAnsi"/>
          <w:b/>
          <w:bCs/>
          <w:color w:val="000000"/>
          <w:sz w:val="24"/>
          <w:szCs w:val="24"/>
          <w:lang w:val="en-US"/>
        </w:rPr>
        <w:t>Immunocytochemistry staining of pluripotency-associated nuclear and surface proteins in human IPSCs</w:t>
      </w:r>
      <w:r w:rsidR="005F5F16" w:rsidRPr="00D7079E">
        <w:rPr>
          <w:rFonts w:cstheme="minorHAnsi"/>
          <w:b/>
          <w:bCs/>
          <w:color w:val="000000"/>
          <w:sz w:val="24"/>
          <w:szCs w:val="24"/>
          <w:lang w:val="en-US"/>
        </w:rPr>
        <w:t xml:space="preserve"> under ROCK/Hypoxia condition</w:t>
      </w:r>
      <w:r w:rsidR="003B5B0A" w:rsidRPr="00D7079E">
        <w:rPr>
          <w:rFonts w:cstheme="minorHAnsi"/>
          <w:color w:val="000000"/>
          <w:sz w:val="24"/>
          <w:szCs w:val="24"/>
          <w:lang w:val="en-US"/>
        </w:rPr>
        <w:t>. Immunofluorescent staining of confluent human IPSCs at day 5 after culture revealed the expression of pluripotency-associated nuclear markers (A) Oct4 (Alexa Fluor® 488-FITC-green), (B) Sox2 (Alexa Fluor® 488-FITC-green), and (C) Nanog (Alexa Fluor® 488-FITC-green) and the expression of pluripotency surface markers (D) TRA-1-81 (Alexa Fluor® 488-FITC-green), (</w:t>
      </w:r>
      <w:r w:rsidR="00881F2C" w:rsidRPr="00D7079E">
        <w:rPr>
          <w:rFonts w:cstheme="minorHAnsi"/>
          <w:color w:val="000000"/>
          <w:sz w:val="24"/>
          <w:szCs w:val="24"/>
          <w:lang w:val="en-US"/>
        </w:rPr>
        <w:t>E</w:t>
      </w:r>
      <w:r w:rsidR="003B5B0A" w:rsidRPr="00D7079E">
        <w:rPr>
          <w:rFonts w:cstheme="minorHAnsi"/>
          <w:color w:val="000000"/>
          <w:sz w:val="24"/>
          <w:szCs w:val="24"/>
          <w:lang w:val="en-US"/>
        </w:rPr>
        <w:t>) SSEA4 (Alexa Fluor® 488-FITC-green), and (</w:t>
      </w:r>
      <w:r w:rsidR="00881F2C" w:rsidRPr="00D7079E">
        <w:rPr>
          <w:rFonts w:cstheme="minorHAnsi"/>
          <w:color w:val="000000"/>
          <w:sz w:val="24"/>
          <w:szCs w:val="24"/>
          <w:lang w:val="en-US"/>
        </w:rPr>
        <w:t>F</w:t>
      </w:r>
      <w:r w:rsidR="003B5B0A" w:rsidRPr="00D7079E">
        <w:rPr>
          <w:rFonts w:cstheme="minorHAnsi"/>
          <w:color w:val="000000"/>
          <w:sz w:val="24"/>
          <w:szCs w:val="24"/>
          <w:lang w:val="en-US"/>
        </w:rPr>
        <w:t>) TRA-1-60 (Alexa Fluor® 488-FITC-green). The first column shows the bright field images. The second column shows the expression of the nuclear or surface markers in green, as indicated in the legend. The third column shows nuclear counter staining with DAPI. The sixth column shows the composite images. Images were captured at 10× or 40×. The scales for the images are 100 or 200 μm magnification, as indicated in the figures and under the appropriate fluorescent filters.</w:t>
      </w:r>
    </w:p>
    <w:p w14:paraId="5A6F7902" w14:textId="01822516" w:rsidR="005F5F16" w:rsidRPr="00D7079E" w:rsidRDefault="005F5F16" w:rsidP="00BF1C1F">
      <w:pPr>
        <w:spacing w:line="240" w:lineRule="auto"/>
        <w:rPr>
          <w:rFonts w:cstheme="minorHAnsi"/>
          <w:color w:val="000000"/>
          <w:sz w:val="24"/>
          <w:szCs w:val="24"/>
          <w:lang w:val="en-US"/>
        </w:rPr>
      </w:pPr>
    </w:p>
    <w:p w14:paraId="2E73C6D7" w14:textId="77777777" w:rsidR="005F5F16" w:rsidRPr="00D7079E" w:rsidRDefault="005F5F16" w:rsidP="005F5F16">
      <w:pPr>
        <w:spacing w:line="480" w:lineRule="auto"/>
        <w:jc w:val="both"/>
        <w:rPr>
          <w:rFonts w:ascii="Arial" w:eastAsia="Calibri" w:hAnsi="Arial" w:cs="Arial"/>
          <w:b/>
          <w:color w:val="000000"/>
          <w:sz w:val="24"/>
          <w:szCs w:val="24"/>
          <w:lang w:val="en-US"/>
        </w:rPr>
      </w:pPr>
      <w:r w:rsidRPr="00D7079E">
        <w:rPr>
          <w:rFonts w:ascii="Arial" w:eastAsia="Calibri" w:hAnsi="Arial" w:cs="Arial"/>
          <w:color w:val="000000"/>
          <w:sz w:val="24"/>
          <w:szCs w:val="24"/>
          <w:lang w:val="en-US" w:eastAsia="en-IN"/>
        </w:rPr>
        <w:lastRenderedPageBreak/>
        <w:drawing>
          <wp:inline distT="0" distB="0" distL="0" distR="0" wp14:anchorId="52C9AB06" wp14:editId="1DB2DA87">
            <wp:extent cx="5731510" cy="301752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5190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1510" cy="3017520"/>
                    </a:xfrm>
                    <a:prstGeom prst="rect">
                      <a:avLst/>
                    </a:prstGeom>
                    <a:noFill/>
                    <a:ln>
                      <a:noFill/>
                    </a:ln>
                    <a:effectLst/>
                  </pic:spPr>
                </pic:pic>
              </a:graphicData>
            </a:graphic>
          </wp:inline>
        </w:drawing>
      </w:r>
    </w:p>
    <w:p w14:paraId="2A9FE2B9" w14:textId="18B0E2A9" w:rsidR="005F5F16" w:rsidRPr="00D7079E" w:rsidRDefault="005F5F16" w:rsidP="005F5F16">
      <w:pPr>
        <w:spacing w:line="480" w:lineRule="auto"/>
        <w:rPr>
          <w:color w:val="000000"/>
          <w:lang w:val="en-US" w:eastAsia="en-GB"/>
        </w:rPr>
        <w:sectPr w:rsidR="005F5F16" w:rsidRPr="00D7079E" w:rsidSect="00295BE8">
          <w:pgSz w:w="11906" w:h="16838"/>
          <w:pgMar w:top="1440" w:right="1440" w:bottom="1440" w:left="1440" w:header="708" w:footer="708" w:gutter="0"/>
          <w:cols w:space="708"/>
          <w:docGrid w:linePitch="360"/>
        </w:sectPr>
      </w:pPr>
      <w:r w:rsidRPr="00D7079E">
        <w:rPr>
          <w:rFonts w:ascii="Arial" w:eastAsia="Calibri" w:hAnsi="Arial" w:cs="Arial"/>
          <w:b/>
          <w:color w:val="000000"/>
          <w:lang w:val="en-US"/>
        </w:rPr>
        <w:t>Supplementary Figure 5</w:t>
      </w:r>
      <w:r w:rsidRPr="00D7079E">
        <w:rPr>
          <w:rFonts w:ascii="Arial" w:hAnsi="Arial" w:cs="Arial"/>
          <w:b/>
          <w:color w:val="000000"/>
          <w:lang w:val="en-US"/>
        </w:rPr>
        <w:t>. Flow cytometric analysis of pluripotency markers over five passages under R</w:t>
      </w:r>
      <w:r w:rsidR="00332BBD" w:rsidRPr="00D7079E">
        <w:rPr>
          <w:rFonts w:ascii="Arial" w:hAnsi="Arial" w:cs="Arial"/>
          <w:b/>
          <w:color w:val="000000"/>
          <w:lang w:val="en-US"/>
        </w:rPr>
        <w:t>OCK</w:t>
      </w:r>
      <w:r w:rsidRPr="00D7079E">
        <w:rPr>
          <w:rFonts w:ascii="Arial" w:hAnsi="Arial" w:cs="Arial"/>
          <w:b/>
          <w:color w:val="000000"/>
          <w:lang w:val="en-US"/>
        </w:rPr>
        <w:t>/Hypoxia condition.</w:t>
      </w:r>
      <w:r w:rsidRPr="00D7079E">
        <w:rPr>
          <w:rFonts w:ascii="Arial" w:hAnsi="Arial" w:cs="Arial"/>
          <w:color w:val="000000"/>
          <w:lang w:val="en-US"/>
        </w:rPr>
        <w:t xml:space="preserve"> The percentage of double-positive cells stained with internal protein Nanog-PE and cell surface protein SSEA4-APC from passages 34–39.</w:t>
      </w:r>
    </w:p>
    <w:p w14:paraId="78D56AEC" w14:textId="77777777" w:rsidR="005F5F16" w:rsidRPr="00D7079E" w:rsidRDefault="005F5F16" w:rsidP="00BF1C1F">
      <w:pPr>
        <w:spacing w:line="240" w:lineRule="auto"/>
        <w:rPr>
          <w:rFonts w:cstheme="minorHAnsi"/>
          <w:color w:val="000000"/>
          <w:sz w:val="24"/>
          <w:szCs w:val="24"/>
          <w:lang w:val="en-US"/>
        </w:rPr>
      </w:pPr>
    </w:p>
    <w:p w14:paraId="4805430C" w14:textId="77777777" w:rsidR="00E644A7" w:rsidRPr="00D7079E" w:rsidRDefault="00E644A7" w:rsidP="00E644A7">
      <w:pPr>
        <w:rPr>
          <w:color w:val="000000"/>
          <w:lang w:val="en-US" w:eastAsia="en-GB"/>
        </w:rPr>
      </w:pPr>
    </w:p>
    <w:p w14:paraId="360B79BC" w14:textId="0FBAB9DD" w:rsidR="00E644A7" w:rsidRPr="00D7079E" w:rsidRDefault="00E644A7">
      <w:pPr>
        <w:rPr>
          <w:color w:val="000000"/>
          <w:lang w:val="en-US"/>
        </w:rPr>
      </w:pPr>
      <w:r w:rsidRPr="00D7079E">
        <w:rPr>
          <w:color w:val="000000"/>
          <w:lang w:val="en-US"/>
        </w:rPr>
        <w:drawing>
          <wp:inline distT="0" distB="0" distL="0" distR="0" wp14:anchorId="1601A879" wp14:editId="0643556D">
            <wp:extent cx="5731510" cy="2820670"/>
            <wp:effectExtent l="0" t="0" r="254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20670"/>
                    </a:xfrm>
                    <a:prstGeom prst="rect">
                      <a:avLst/>
                    </a:prstGeom>
                  </pic:spPr>
                </pic:pic>
              </a:graphicData>
            </a:graphic>
          </wp:inline>
        </w:drawing>
      </w:r>
    </w:p>
    <w:p w14:paraId="0978FA40" w14:textId="3CCED5C7" w:rsidR="00E644A7" w:rsidRPr="00D7079E" w:rsidRDefault="00E644A7">
      <w:pPr>
        <w:rPr>
          <w:color w:val="000000"/>
          <w:lang w:val="en-US"/>
        </w:rPr>
      </w:pPr>
    </w:p>
    <w:p w14:paraId="65EC024E" w14:textId="2A2145C0" w:rsidR="00E644A7" w:rsidRPr="00D7079E" w:rsidRDefault="00E644A7">
      <w:pPr>
        <w:rPr>
          <w:color w:val="000000"/>
          <w:lang w:val="en-US"/>
        </w:rPr>
      </w:pPr>
    </w:p>
    <w:p w14:paraId="43A1FCE9" w14:textId="7DEF1CC1" w:rsidR="00E644A7" w:rsidRPr="00D7079E" w:rsidRDefault="00E644A7" w:rsidP="00E644A7">
      <w:pPr>
        <w:rPr>
          <w:color w:val="000000"/>
          <w:sz w:val="24"/>
          <w:szCs w:val="24"/>
          <w:lang w:val="en-US" w:eastAsia="en-GB"/>
        </w:rPr>
      </w:pPr>
      <w:r w:rsidRPr="00D7079E">
        <w:rPr>
          <w:b/>
          <w:color w:val="000000"/>
          <w:sz w:val="24"/>
          <w:szCs w:val="24"/>
          <w:lang w:val="en-US" w:eastAsia="en-GB"/>
        </w:rPr>
        <w:t xml:space="preserve">Supplimntary Figure </w:t>
      </w:r>
      <w:r w:rsidR="005F5F16" w:rsidRPr="00D7079E">
        <w:rPr>
          <w:b/>
          <w:color w:val="000000"/>
          <w:sz w:val="24"/>
          <w:szCs w:val="24"/>
          <w:lang w:val="en-US" w:eastAsia="en-GB"/>
        </w:rPr>
        <w:t>6</w:t>
      </w:r>
      <w:r w:rsidRPr="00D7079E">
        <w:rPr>
          <w:b/>
          <w:color w:val="000000"/>
          <w:sz w:val="24"/>
          <w:szCs w:val="24"/>
          <w:lang w:val="en-US" w:eastAsia="en-GB"/>
        </w:rPr>
        <w:t xml:space="preserve">. Flow </w:t>
      </w:r>
      <w:r w:rsidR="00FB4B39" w:rsidRPr="00D7079E">
        <w:rPr>
          <w:b/>
          <w:color w:val="000000"/>
          <w:sz w:val="24"/>
          <w:szCs w:val="24"/>
          <w:lang w:val="en-US" w:eastAsia="en-GB"/>
        </w:rPr>
        <w:t>c</w:t>
      </w:r>
      <w:r w:rsidRPr="00D7079E">
        <w:rPr>
          <w:b/>
          <w:color w:val="000000"/>
          <w:sz w:val="24"/>
          <w:szCs w:val="24"/>
          <w:lang w:val="en-US" w:eastAsia="en-GB"/>
        </w:rPr>
        <w:t xml:space="preserve">ytometry </w:t>
      </w:r>
      <w:r w:rsidR="00FB4B39" w:rsidRPr="00D7079E">
        <w:rPr>
          <w:b/>
          <w:color w:val="000000"/>
          <w:sz w:val="24"/>
          <w:szCs w:val="24"/>
          <w:lang w:val="en-US" w:eastAsia="en-GB"/>
        </w:rPr>
        <w:t>a</w:t>
      </w:r>
      <w:r w:rsidRPr="00D7079E">
        <w:rPr>
          <w:b/>
          <w:color w:val="000000"/>
          <w:sz w:val="24"/>
          <w:szCs w:val="24"/>
          <w:lang w:val="en-US" w:eastAsia="en-GB"/>
        </w:rPr>
        <w:t xml:space="preserve">nalysis </w:t>
      </w:r>
      <w:r w:rsidR="00FB4B39" w:rsidRPr="00D7079E">
        <w:rPr>
          <w:b/>
          <w:color w:val="000000"/>
          <w:sz w:val="24"/>
          <w:szCs w:val="24"/>
          <w:lang w:val="en-US" w:eastAsia="en-GB"/>
        </w:rPr>
        <w:t>p</w:t>
      </w:r>
      <w:r w:rsidRPr="00D7079E">
        <w:rPr>
          <w:b/>
          <w:color w:val="000000"/>
          <w:sz w:val="24"/>
          <w:szCs w:val="24"/>
          <w:lang w:val="en-US" w:eastAsia="en-GB"/>
        </w:rPr>
        <w:t xml:space="preserve">rofile of the </w:t>
      </w:r>
      <w:r w:rsidR="00FB4B39" w:rsidRPr="00D7079E">
        <w:rPr>
          <w:b/>
          <w:color w:val="000000"/>
          <w:sz w:val="24"/>
          <w:szCs w:val="24"/>
          <w:lang w:val="en-US" w:eastAsia="en-GB"/>
        </w:rPr>
        <w:t>c</w:t>
      </w:r>
      <w:r w:rsidRPr="00D7079E">
        <w:rPr>
          <w:b/>
          <w:color w:val="000000"/>
          <w:sz w:val="24"/>
          <w:szCs w:val="24"/>
          <w:lang w:val="en-US" w:eastAsia="en-GB"/>
        </w:rPr>
        <w:t xml:space="preserve">ultured </w:t>
      </w:r>
      <w:r w:rsidR="00FB4B39" w:rsidRPr="00D7079E">
        <w:rPr>
          <w:b/>
          <w:color w:val="000000"/>
          <w:sz w:val="24"/>
          <w:szCs w:val="24"/>
          <w:lang w:val="en-US" w:eastAsia="en-GB"/>
        </w:rPr>
        <w:t>h</w:t>
      </w:r>
      <w:r w:rsidRPr="00D7079E">
        <w:rPr>
          <w:b/>
          <w:color w:val="000000"/>
          <w:sz w:val="24"/>
          <w:szCs w:val="24"/>
          <w:lang w:val="en-US" w:eastAsia="en-GB"/>
        </w:rPr>
        <w:t xml:space="preserve">uman IPS </w:t>
      </w:r>
      <w:r w:rsidR="00FB4B39" w:rsidRPr="00D7079E">
        <w:rPr>
          <w:b/>
          <w:color w:val="000000"/>
          <w:sz w:val="24"/>
          <w:szCs w:val="24"/>
          <w:lang w:val="en-US" w:eastAsia="en-GB"/>
        </w:rPr>
        <w:t>c</w:t>
      </w:r>
      <w:r w:rsidRPr="00D7079E">
        <w:rPr>
          <w:b/>
          <w:color w:val="000000"/>
          <w:sz w:val="24"/>
          <w:szCs w:val="24"/>
          <w:lang w:val="en-US" w:eastAsia="en-GB"/>
        </w:rPr>
        <w:t xml:space="preserve">ells </w:t>
      </w:r>
      <w:r w:rsidR="00FB4B39" w:rsidRPr="00D7079E">
        <w:rPr>
          <w:b/>
          <w:color w:val="000000"/>
          <w:sz w:val="24"/>
          <w:szCs w:val="24"/>
          <w:lang w:val="en-US" w:eastAsia="en-GB"/>
        </w:rPr>
        <w:t xml:space="preserve">at </w:t>
      </w:r>
      <w:r w:rsidRPr="00D7079E">
        <w:rPr>
          <w:rFonts w:ascii="Calibri" w:eastAsia="Calibri" w:hAnsi="Calibri" w:cs="Times New Roman"/>
          <w:b/>
          <w:bCs/>
          <w:color w:val="000000"/>
          <w:sz w:val="24"/>
          <w:szCs w:val="24"/>
          <w:lang w:val="en-US"/>
        </w:rPr>
        <w:t>passage 34</w:t>
      </w:r>
      <w:r w:rsidRPr="00D7079E">
        <w:rPr>
          <w:color w:val="000000"/>
          <w:sz w:val="24"/>
          <w:szCs w:val="24"/>
          <w:lang w:val="en-US" w:eastAsia="en-GB"/>
        </w:rPr>
        <w:t xml:space="preserve">: (A) Flow cytometry plots of unstained human iPS cells; (B) </w:t>
      </w:r>
      <w:r w:rsidR="00FB4B39" w:rsidRPr="00D7079E">
        <w:rPr>
          <w:color w:val="000000"/>
          <w:sz w:val="24"/>
          <w:szCs w:val="24"/>
          <w:lang w:val="en-US" w:eastAsia="en-GB"/>
        </w:rPr>
        <w:t>f</w:t>
      </w:r>
      <w:r w:rsidRPr="00D7079E">
        <w:rPr>
          <w:color w:val="000000"/>
          <w:sz w:val="24"/>
          <w:szCs w:val="24"/>
          <w:lang w:val="en-US" w:eastAsia="en-GB"/>
        </w:rPr>
        <w:t xml:space="preserve">low cytometry plots of the isotope control; (C) </w:t>
      </w:r>
      <w:r w:rsidR="00FB4B39" w:rsidRPr="00D7079E">
        <w:rPr>
          <w:rFonts w:ascii="Calibri" w:eastAsia="Calibri" w:hAnsi="Calibri" w:cs="Times New Roman"/>
          <w:bCs/>
          <w:color w:val="000000"/>
          <w:sz w:val="24"/>
          <w:szCs w:val="24"/>
          <w:lang w:val="en-US"/>
        </w:rPr>
        <w:t>t</w:t>
      </w:r>
      <w:r w:rsidRPr="00D7079E">
        <w:rPr>
          <w:rFonts w:ascii="Calibri" w:eastAsia="Calibri" w:hAnsi="Calibri" w:cs="Times New Roman"/>
          <w:bCs/>
          <w:color w:val="000000"/>
          <w:sz w:val="24"/>
          <w:szCs w:val="24"/>
          <w:lang w:val="en-US"/>
        </w:rPr>
        <w:t>he plot shows the percentage of double positive cells stained with internal protein Nanog-PE and cell surface protein SSEA4-APC.</w:t>
      </w:r>
    </w:p>
    <w:p w14:paraId="597DA14D" w14:textId="38704CBD" w:rsidR="00E644A7" w:rsidRPr="00D7079E" w:rsidRDefault="00E644A7">
      <w:pPr>
        <w:rPr>
          <w:color w:val="000000"/>
          <w:lang w:val="en-US"/>
        </w:rPr>
      </w:pPr>
    </w:p>
    <w:p w14:paraId="473CBD2F" w14:textId="00329BB4" w:rsidR="00E644A7" w:rsidRPr="00D7079E" w:rsidRDefault="00E644A7">
      <w:pPr>
        <w:rPr>
          <w:color w:val="000000"/>
          <w:lang w:val="en-US"/>
        </w:rPr>
      </w:pPr>
    </w:p>
    <w:p w14:paraId="308C03E3" w14:textId="49BCB06E" w:rsidR="00E644A7" w:rsidRPr="00D7079E" w:rsidRDefault="00E644A7">
      <w:pPr>
        <w:rPr>
          <w:color w:val="000000"/>
          <w:lang w:val="en-US"/>
        </w:rPr>
      </w:pPr>
    </w:p>
    <w:p w14:paraId="66C94772" w14:textId="52C6D84C" w:rsidR="00E644A7" w:rsidRPr="00D7079E" w:rsidRDefault="00E644A7">
      <w:pPr>
        <w:rPr>
          <w:color w:val="000000"/>
          <w:lang w:val="en-US"/>
        </w:rPr>
      </w:pPr>
    </w:p>
    <w:p w14:paraId="3164CD6D" w14:textId="7CA93D2C" w:rsidR="00E644A7" w:rsidRPr="00D7079E" w:rsidRDefault="00E644A7">
      <w:pPr>
        <w:rPr>
          <w:color w:val="000000"/>
          <w:lang w:val="en-US"/>
        </w:rPr>
      </w:pPr>
      <w:r w:rsidRPr="00D7079E">
        <w:rPr>
          <w:color w:val="000000"/>
          <w:lang w:val="en-US"/>
        </w:rPr>
        <w:lastRenderedPageBreak/>
        <w:drawing>
          <wp:inline distT="0" distB="0" distL="0" distR="0" wp14:anchorId="039CC1B7" wp14:editId="5DAD16B7">
            <wp:extent cx="5731510" cy="3395345"/>
            <wp:effectExtent l="0" t="0" r="254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95345"/>
                    </a:xfrm>
                    <a:prstGeom prst="rect">
                      <a:avLst/>
                    </a:prstGeom>
                  </pic:spPr>
                </pic:pic>
              </a:graphicData>
            </a:graphic>
          </wp:inline>
        </w:drawing>
      </w:r>
    </w:p>
    <w:p w14:paraId="43A41A7C" w14:textId="544D6151" w:rsidR="00E644A7" w:rsidRPr="00D7079E" w:rsidRDefault="00E644A7">
      <w:pPr>
        <w:rPr>
          <w:color w:val="000000"/>
          <w:lang w:val="en-US"/>
        </w:rPr>
      </w:pPr>
    </w:p>
    <w:p w14:paraId="30040785" w14:textId="28B63A09" w:rsidR="00E644A7" w:rsidRPr="00D7079E" w:rsidRDefault="00E644A7" w:rsidP="00E644A7">
      <w:pPr>
        <w:pStyle w:val="Tamador1"/>
        <w:rPr>
          <w:b w:val="0"/>
          <w:bCs/>
          <w:i w:val="0"/>
          <w:iCs/>
          <w:color w:val="000000"/>
          <w:sz w:val="24"/>
          <w:szCs w:val="24"/>
          <w:lang w:val="en-US"/>
        </w:rPr>
      </w:pPr>
      <w:r w:rsidRPr="00D7079E">
        <w:rPr>
          <w:bCs/>
          <w:i w:val="0"/>
          <w:iCs/>
          <w:color w:val="000000"/>
          <w:sz w:val="24"/>
          <w:szCs w:val="24"/>
          <w:lang w:val="en-US"/>
        </w:rPr>
        <w:t xml:space="preserve">Supplementary Figure </w:t>
      </w:r>
      <w:r w:rsidR="005F5F16" w:rsidRPr="00D7079E">
        <w:rPr>
          <w:bCs/>
          <w:i w:val="0"/>
          <w:iCs/>
          <w:color w:val="000000"/>
          <w:sz w:val="24"/>
          <w:szCs w:val="24"/>
          <w:lang w:val="en-US"/>
        </w:rPr>
        <w:t>7</w:t>
      </w:r>
      <w:r w:rsidRPr="00D7079E">
        <w:rPr>
          <w:bCs/>
          <w:i w:val="0"/>
          <w:iCs/>
          <w:color w:val="000000"/>
          <w:sz w:val="24"/>
          <w:szCs w:val="24"/>
          <w:lang w:val="en-US"/>
        </w:rPr>
        <w:t>.</w:t>
      </w:r>
      <w:r w:rsidRPr="00D7079E">
        <w:rPr>
          <w:b w:val="0"/>
          <w:i w:val="0"/>
          <w:iCs/>
          <w:color w:val="000000"/>
          <w:sz w:val="24"/>
          <w:szCs w:val="24"/>
          <w:lang w:val="en-US"/>
        </w:rPr>
        <w:t xml:space="preserve"> </w:t>
      </w:r>
      <w:r w:rsidRPr="00D7079E">
        <w:rPr>
          <w:i w:val="0"/>
          <w:iCs/>
          <w:color w:val="000000"/>
          <w:sz w:val="24"/>
          <w:szCs w:val="24"/>
          <w:lang w:val="en-US"/>
        </w:rPr>
        <w:t xml:space="preserve">Flow </w:t>
      </w:r>
      <w:r w:rsidR="00FB4B39" w:rsidRPr="00D7079E">
        <w:rPr>
          <w:i w:val="0"/>
          <w:iCs/>
          <w:color w:val="000000"/>
          <w:sz w:val="24"/>
          <w:szCs w:val="24"/>
          <w:lang w:val="en-US"/>
        </w:rPr>
        <w:t>cy</w:t>
      </w:r>
      <w:r w:rsidRPr="00D7079E">
        <w:rPr>
          <w:i w:val="0"/>
          <w:iCs/>
          <w:color w:val="000000"/>
          <w:sz w:val="24"/>
          <w:szCs w:val="24"/>
          <w:lang w:val="en-US"/>
        </w:rPr>
        <w:t>tometry</w:t>
      </w:r>
      <w:r w:rsidR="00FB4B39" w:rsidRPr="00D7079E">
        <w:rPr>
          <w:i w:val="0"/>
          <w:iCs/>
          <w:color w:val="000000"/>
          <w:sz w:val="24"/>
          <w:szCs w:val="24"/>
          <w:lang w:val="en-US"/>
        </w:rPr>
        <w:t xml:space="preserve"> a</w:t>
      </w:r>
      <w:r w:rsidRPr="00D7079E">
        <w:rPr>
          <w:i w:val="0"/>
          <w:iCs/>
          <w:color w:val="000000"/>
          <w:sz w:val="24"/>
          <w:szCs w:val="24"/>
          <w:lang w:val="en-US"/>
        </w:rPr>
        <w:t xml:space="preserve">nalysis </w:t>
      </w:r>
      <w:r w:rsidR="00FB4B39" w:rsidRPr="00D7079E">
        <w:rPr>
          <w:i w:val="0"/>
          <w:iCs/>
          <w:color w:val="000000"/>
          <w:sz w:val="24"/>
          <w:szCs w:val="24"/>
          <w:lang w:val="en-US"/>
        </w:rPr>
        <w:t>p</w:t>
      </w:r>
      <w:r w:rsidRPr="00D7079E">
        <w:rPr>
          <w:i w:val="0"/>
          <w:iCs/>
          <w:color w:val="000000"/>
          <w:sz w:val="24"/>
          <w:szCs w:val="24"/>
          <w:lang w:val="en-US"/>
        </w:rPr>
        <w:t xml:space="preserve">rofile of the </w:t>
      </w:r>
      <w:r w:rsidR="00FB4B39" w:rsidRPr="00D7079E">
        <w:rPr>
          <w:i w:val="0"/>
          <w:iCs/>
          <w:color w:val="000000"/>
          <w:sz w:val="24"/>
          <w:szCs w:val="24"/>
          <w:lang w:val="en-US"/>
        </w:rPr>
        <w:t>c</w:t>
      </w:r>
      <w:r w:rsidRPr="00D7079E">
        <w:rPr>
          <w:i w:val="0"/>
          <w:iCs/>
          <w:color w:val="000000"/>
          <w:sz w:val="24"/>
          <w:szCs w:val="24"/>
          <w:lang w:val="en-US"/>
        </w:rPr>
        <w:t xml:space="preserve">ultured </w:t>
      </w:r>
      <w:r w:rsidR="00FB4B39" w:rsidRPr="00D7079E">
        <w:rPr>
          <w:i w:val="0"/>
          <w:iCs/>
          <w:color w:val="000000"/>
          <w:sz w:val="24"/>
          <w:szCs w:val="24"/>
          <w:lang w:val="en-US"/>
        </w:rPr>
        <w:t>h</w:t>
      </w:r>
      <w:r w:rsidRPr="00D7079E">
        <w:rPr>
          <w:i w:val="0"/>
          <w:iCs/>
          <w:color w:val="000000"/>
          <w:sz w:val="24"/>
          <w:szCs w:val="24"/>
          <w:lang w:val="en-US"/>
        </w:rPr>
        <w:t xml:space="preserve">uman IPS </w:t>
      </w:r>
      <w:r w:rsidR="00FB4B39" w:rsidRPr="00D7079E">
        <w:rPr>
          <w:i w:val="0"/>
          <w:iCs/>
          <w:color w:val="000000"/>
          <w:sz w:val="24"/>
          <w:szCs w:val="24"/>
          <w:lang w:val="en-US"/>
        </w:rPr>
        <w:t>c</w:t>
      </w:r>
      <w:r w:rsidRPr="00D7079E">
        <w:rPr>
          <w:i w:val="0"/>
          <w:iCs/>
          <w:color w:val="000000"/>
          <w:sz w:val="24"/>
          <w:szCs w:val="24"/>
          <w:lang w:val="en-US"/>
        </w:rPr>
        <w:t>ells</w:t>
      </w:r>
      <w:r w:rsidR="00FB4B39" w:rsidRPr="00D7079E">
        <w:rPr>
          <w:i w:val="0"/>
          <w:iCs/>
          <w:color w:val="000000"/>
          <w:sz w:val="24"/>
          <w:szCs w:val="24"/>
          <w:lang w:val="en-US"/>
        </w:rPr>
        <w:t xml:space="preserve"> at</w:t>
      </w:r>
      <w:r w:rsidRPr="00D7079E">
        <w:rPr>
          <w:i w:val="0"/>
          <w:iCs/>
          <w:color w:val="000000"/>
          <w:sz w:val="24"/>
          <w:szCs w:val="24"/>
          <w:lang w:val="en-US"/>
        </w:rPr>
        <w:t xml:space="preserve"> passage 39</w:t>
      </w:r>
      <w:r w:rsidRPr="00D7079E">
        <w:rPr>
          <w:b w:val="0"/>
          <w:bCs/>
          <w:i w:val="0"/>
          <w:iCs/>
          <w:color w:val="000000"/>
          <w:sz w:val="24"/>
          <w:szCs w:val="24"/>
          <w:lang w:val="en-US"/>
        </w:rPr>
        <w:t xml:space="preserve">: (A) Flow cytometry plots of unstained human IPSCs; (B) </w:t>
      </w:r>
      <w:r w:rsidR="00FB4B39" w:rsidRPr="00D7079E">
        <w:rPr>
          <w:b w:val="0"/>
          <w:bCs/>
          <w:i w:val="0"/>
          <w:iCs/>
          <w:color w:val="000000"/>
          <w:sz w:val="24"/>
          <w:szCs w:val="24"/>
          <w:lang w:val="en-US"/>
        </w:rPr>
        <w:t>f</w:t>
      </w:r>
      <w:r w:rsidRPr="00D7079E">
        <w:rPr>
          <w:b w:val="0"/>
          <w:bCs/>
          <w:i w:val="0"/>
          <w:iCs/>
          <w:color w:val="000000"/>
          <w:sz w:val="24"/>
          <w:szCs w:val="24"/>
          <w:lang w:val="en-US"/>
        </w:rPr>
        <w:t>low cytometry plots of the isotope control; (C) The plot shows the percentage of double positive cells stained with internal protein Nanog-PE and cell surface protein SSEA4-APC</w:t>
      </w:r>
    </w:p>
    <w:p w14:paraId="6B1F7982" w14:textId="77777777" w:rsidR="000F1616" w:rsidRPr="00D7079E" w:rsidRDefault="000F1616" w:rsidP="00E644A7">
      <w:pPr>
        <w:pStyle w:val="Tamador1"/>
        <w:rPr>
          <w:b w:val="0"/>
          <w:bCs/>
          <w:i w:val="0"/>
          <w:iCs/>
          <w:color w:val="000000"/>
          <w:sz w:val="24"/>
          <w:szCs w:val="24"/>
          <w:lang w:val="en-US"/>
        </w:rPr>
      </w:pPr>
    </w:p>
    <w:p w14:paraId="4AE0E027" w14:textId="50EB1107" w:rsidR="00E644A7" w:rsidRPr="00D7079E" w:rsidRDefault="00E644A7">
      <w:pPr>
        <w:rPr>
          <w:color w:val="000000"/>
          <w:lang w:val="en-US"/>
        </w:rPr>
      </w:pPr>
    </w:p>
    <w:p w14:paraId="64F91A46" w14:textId="4371DC60" w:rsidR="00E644A7" w:rsidRPr="00D7079E" w:rsidRDefault="00E644A7">
      <w:pPr>
        <w:rPr>
          <w:color w:val="000000"/>
          <w:lang w:val="en-US"/>
        </w:rPr>
      </w:pPr>
    </w:p>
    <w:p w14:paraId="02202CC4" w14:textId="2761FF2C" w:rsidR="00E644A7" w:rsidRPr="00D7079E" w:rsidRDefault="00E644A7">
      <w:pPr>
        <w:rPr>
          <w:color w:val="000000"/>
          <w:lang w:val="en-US"/>
        </w:rPr>
      </w:pPr>
    </w:p>
    <w:p w14:paraId="41470FCD" w14:textId="77777777" w:rsidR="00E644A7" w:rsidRPr="00D7079E" w:rsidRDefault="00E644A7">
      <w:pPr>
        <w:rPr>
          <w:color w:val="000000"/>
          <w:lang w:val="en-US"/>
        </w:rPr>
      </w:pPr>
    </w:p>
    <w:p w14:paraId="50B71366" w14:textId="5C58B439" w:rsidR="00E644A7" w:rsidRPr="00D7079E" w:rsidRDefault="00E644A7">
      <w:pPr>
        <w:rPr>
          <w:color w:val="000000"/>
          <w:lang w:val="en-US"/>
        </w:rPr>
      </w:pPr>
    </w:p>
    <w:p w14:paraId="5206E17F" w14:textId="6D05A977" w:rsidR="00E644A7" w:rsidRPr="00D7079E" w:rsidRDefault="00E644A7">
      <w:pPr>
        <w:rPr>
          <w:color w:val="000000"/>
          <w:lang w:val="en-US"/>
        </w:rPr>
      </w:pPr>
    </w:p>
    <w:p w14:paraId="0D431C64" w14:textId="77777777" w:rsidR="00E644A7" w:rsidRPr="00D7079E" w:rsidRDefault="00E644A7">
      <w:pPr>
        <w:rPr>
          <w:color w:val="000000"/>
          <w:lang w:val="en-US"/>
        </w:rPr>
      </w:pPr>
    </w:p>
    <w:sectPr w:rsidR="00E644A7" w:rsidRPr="00D707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A7"/>
    <w:rsid w:val="00062A6F"/>
    <w:rsid w:val="000F1616"/>
    <w:rsid w:val="001118EB"/>
    <w:rsid w:val="00224894"/>
    <w:rsid w:val="00332BBD"/>
    <w:rsid w:val="0033604D"/>
    <w:rsid w:val="003B5B0A"/>
    <w:rsid w:val="005F5F16"/>
    <w:rsid w:val="00652909"/>
    <w:rsid w:val="007839D9"/>
    <w:rsid w:val="00881F2C"/>
    <w:rsid w:val="00BA59BF"/>
    <w:rsid w:val="00BF1C1F"/>
    <w:rsid w:val="00C803CD"/>
    <w:rsid w:val="00CF472D"/>
    <w:rsid w:val="00D7079E"/>
    <w:rsid w:val="00E40BFC"/>
    <w:rsid w:val="00E466D4"/>
    <w:rsid w:val="00E644A7"/>
    <w:rsid w:val="00F53DD5"/>
    <w:rsid w:val="00FB4B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9991"/>
  <w15:chartTrackingRefBased/>
  <w15:docId w15:val="{BA46EA8E-201C-4366-93A3-5CD0D215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4A7"/>
  </w:style>
  <w:style w:type="paragraph" w:styleId="Heading1">
    <w:name w:val="heading 1"/>
    <w:basedOn w:val="Normal"/>
    <w:next w:val="Normal"/>
    <w:link w:val="Heading1Char"/>
    <w:uiPriority w:val="9"/>
    <w:qFormat/>
    <w:rsid w:val="00E644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44A7"/>
    <w:rPr>
      <w:sz w:val="16"/>
      <w:szCs w:val="16"/>
    </w:rPr>
  </w:style>
  <w:style w:type="paragraph" w:styleId="CommentText">
    <w:name w:val="annotation text"/>
    <w:basedOn w:val="Normal"/>
    <w:link w:val="CommentTextChar"/>
    <w:uiPriority w:val="99"/>
    <w:unhideWhenUsed/>
    <w:rsid w:val="00E644A7"/>
    <w:pPr>
      <w:spacing w:line="240" w:lineRule="auto"/>
    </w:pPr>
    <w:rPr>
      <w:sz w:val="20"/>
      <w:szCs w:val="20"/>
    </w:rPr>
  </w:style>
  <w:style w:type="character" w:customStyle="1" w:styleId="CommentTextChar">
    <w:name w:val="Comment Text Char"/>
    <w:basedOn w:val="DefaultParagraphFont"/>
    <w:link w:val="CommentText"/>
    <w:uiPriority w:val="99"/>
    <w:rsid w:val="00E644A7"/>
    <w:rPr>
      <w:sz w:val="20"/>
      <w:szCs w:val="20"/>
    </w:rPr>
  </w:style>
  <w:style w:type="paragraph" w:customStyle="1" w:styleId="Tamador1">
    <w:name w:val="Tamador1"/>
    <w:basedOn w:val="Heading1"/>
    <w:qFormat/>
    <w:rsid w:val="00E644A7"/>
    <w:pPr>
      <w:spacing w:line="360" w:lineRule="auto"/>
      <w:jc w:val="both"/>
    </w:pPr>
    <w:rPr>
      <w:rFonts w:asciiTheme="minorHAnsi" w:hAnsiTheme="minorHAnsi"/>
      <w:b/>
      <w:i/>
      <w:color w:val="auto"/>
    </w:rPr>
  </w:style>
  <w:style w:type="character" w:customStyle="1" w:styleId="Heading1Char">
    <w:name w:val="Heading 1 Char"/>
    <w:basedOn w:val="DefaultParagraphFont"/>
    <w:link w:val="Heading1"/>
    <w:uiPriority w:val="9"/>
    <w:rsid w:val="00E644A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B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B3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B4B39"/>
    <w:rPr>
      <w:b/>
      <w:bCs/>
    </w:rPr>
  </w:style>
  <w:style w:type="character" w:customStyle="1" w:styleId="CommentSubjectChar">
    <w:name w:val="Comment Subject Char"/>
    <w:basedOn w:val="CommentTextChar"/>
    <w:link w:val="CommentSubject"/>
    <w:uiPriority w:val="99"/>
    <w:semiHidden/>
    <w:rsid w:val="00FB4B39"/>
    <w:rPr>
      <w:b/>
      <w:bCs/>
      <w:sz w:val="20"/>
      <w:szCs w:val="20"/>
    </w:rPr>
  </w:style>
  <w:style w:type="paragraph" w:styleId="Revision">
    <w:name w:val="Revision"/>
    <w:hidden/>
    <w:uiPriority w:val="99"/>
    <w:semiHidden/>
    <w:rsid w:val="003B5B0A"/>
    <w:pPr>
      <w:spacing w:after="0" w:line="240" w:lineRule="auto"/>
    </w:pPr>
  </w:style>
  <w:style w:type="paragraph" w:styleId="ListParagraph">
    <w:name w:val="List Paragraph"/>
    <w:basedOn w:val="Normal"/>
    <w:uiPriority w:val="34"/>
    <w:qFormat/>
    <w:rsid w:val="003B5B0A"/>
    <w:pPr>
      <w:ind w:left="720"/>
      <w:contextualSpacing/>
    </w:pPr>
  </w:style>
  <w:style w:type="paragraph" w:styleId="NormalWeb">
    <w:name w:val="Normal (Web)"/>
    <w:basedOn w:val="Normal"/>
    <w:uiPriority w:val="99"/>
    <w:semiHidden/>
    <w:unhideWhenUsed/>
    <w:rsid w:val="003B5B0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31">
    <w:name w:val="Plain Table 31"/>
    <w:basedOn w:val="TableNormal"/>
    <w:uiPriority w:val="43"/>
    <w:rsid w:val="00F53D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chart" Target="charts/chart1.xml"/><Relationship Id="rId15"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MTS%20EXP%20HVSN%20WITH%20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70" baseline="0">
                <a:solidFill>
                  <a:schemeClr val="dk1">
                    <a:lumMod val="50000"/>
                    <a:lumOff val="50000"/>
                  </a:schemeClr>
                </a:solidFill>
                <a:latin typeface="+mn-lt"/>
                <a:ea typeface="+mn-ea"/>
                <a:cs typeface="+mn-cs"/>
              </a:defRPr>
            </a:pPr>
            <a:r>
              <a:rPr lang="en-US"/>
              <a:t>MTS assay standard curve</a:t>
            </a:r>
          </a:p>
        </c:rich>
      </c:tx>
      <c:layout>
        <c:manualLayout>
          <c:xMode val="edge"/>
          <c:yMode val="edge"/>
          <c:x val="5.2433397901939571E-2"/>
          <c:y val="0"/>
        </c:manualLayout>
      </c:layout>
      <c:overlay val="0"/>
      <c:spPr>
        <a:noFill/>
        <a:ln>
          <a:noFill/>
        </a:ln>
        <a:effectLst/>
      </c:spPr>
      <c:txPr>
        <a:bodyPr rot="0" spcFirstLastPara="1" vertOverflow="ellipsis" vert="horz" wrap="square" anchor="ctr" anchorCtr="1"/>
        <a:lstStyle/>
        <a:p>
          <a:pPr>
            <a:defRPr sz="1600" b="1"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smoothMarker"/>
        <c:varyColors val="0"/>
        <c:ser>
          <c:idx val="0"/>
          <c:order val="0"/>
          <c:tx>
            <c:v>NSD</c:v>
          </c:tx>
          <c:spPr>
            <a:ln w="28575">
              <a:solidFill>
                <a:schemeClr val="bg1">
                  <a:lumMod val="50000"/>
                </a:schemeClr>
              </a:solidFill>
            </a:ln>
            <a:effectLst/>
          </c:spPr>
          <c:marker>
            <c:symbol val="circle"/>
            <c:size val="4"/>
            <c:spPr>
              <a:solidFill>
                <a:schemeClr val="accent1"/>
              </a:solidFill>
              <a:ln w="9525" cap="flat" cmpd="sng" algn="ctr">
                <a:solidFill>
                  <a:schemeClr val="tx1">
                    <a:alpha val="20000"/>
                  </a:schemeClr>
                </a:solidFill>
                <a:round/>
              </a:ln>
              <a:effectLst/>
            </c:spPr>
          </c:marker>
          <c:trendline>
            <c:spPr>
              <a:ln w="63500" cap="rnd" cmpd="sng" algn="ctr">
                <a:solidFill>
                  <a:schemeClr val="bg1">
                    <a:lumMod val="50000"/>
                    <a:alpha val="33000"/>
                  </a:schemeClr>
                </a:solidFill>
                <a:round/>
              </a:ln>
              <a:effectLst/>
            </c:spPr>
            <c:trendlineType val="linear"/>
            <c:dispRSqr val="1"/>
            <c:dispEq val="1"/>
            <c:trendlineLbl>
              <c:layout>
                <c:manualLayout>
                  <c:x val="0.20788075070224016"/>
                  <c:y val="-0.22797627121937247"/>
                </c:manualLayout>
              </c:layout>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y = 207032x - 9442.5</a:t>
                    </a:r>
                  </a:p>
                  <a:p>
                    <a:pPr>
                      <a:defRPr/>
                    </a:pPr>
                    <a:r>
                      <a:rPr lang="en-US"/>
                      <a:t>R² = 0.9798</a:t>
                    </a: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rendlineLbl>
          </c:trendline>
          <c:xVal>
            <c:numRef>
              <c:f>Sheet3!$B$12:$H$12</c:f>
              <c:numCache>
                <c:formatCode>General</c:formatCode>
                <c:ptCount val="7"/>
                <c:pt idx="0">
                  <c:v>5.0854122375000033E-2</c:v>
                </c:pt>
                <c:pt idx="1">
                  <c:v>5.6718569499999982E-2</c:v>
                </c:pt>
                <c:pt idx="2">
                  <c:v>0.12503181675000002</c:v>
                </c:pt>
                <c:pt idx="3">
                  <c:v>0.37633111250000012</c:v>
                </c:pt>
                <c:pt idx="4">
                  <c:v>0.5609316232499999</c:v>
                </c:pt>
                <c:pt idx="5">
                  <c:v>0.96340026374999987</c:v>
                </c:pt>
              </c:numCache>
            </c:numRef>
          </c:xVal>
          <c:yVal>
            <c:numRef>
              <c:f>Sheet3!$B$2:$H$2</c:f>
              <c:numCache>
                <c:formatCode>General</c:formatCode>
                <c:ptCount val="7"/>
                <c:pt idx="0">
                  <c:v>5000</c:v>
                </c:pt>
                <c:pt idx="1">
                  <c:v>10000</c:v>
                </c:pt>
                <c:pt idx="2">
                  <c:v>20000</c:v>
                </c:pt>
                <c:pt idx="3">
                  <c:v>50000</c:v>
                </c:pt>
                <c:pt idx="4">
                  <c:v>100000</c:v>
                </c:pt>
                <c:pt idx="5">
                  <c:v>200000</c:v>
                </c:pt>
                <c:pt idx="6">
                  <c:v>0</c:v>
                </c:pt>
              </c:numCache>
            </c:numRef>
          </c:yVal>
          <c:smooth val="1"/>
          <c:extLst>
            <c:ext xmlns:c16="http://schemas.microsoft.com/office/drawing/2014/chart" uri="{C3380CC4-5D6E-409C-BE32-E72D297353CC}">
              <c16:uniqueId val="{00000001-5ED1-404F-84BE-CD43E4C3D4F1}"/>
            </c:ext>
          </c:extLst>
        </c:ser>
        <c:dLbls>
          <c:showLegendKey val="0"/>
          <c:showVal val="0"/>
          <c:showCatName val="0"/>
          <c:showSerName val="0"/>
          <c:showPercent val="0"/>
          <c:showBubbleSize val="0"/>
        </c:dLbls>
        <c:axId val="238706048"/>
        <c:axId val="238724224"/>
      </c:scatterChart>
      <c:valAx>
        <c:axId val="238706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crossAx val="238724224"/>
        <c:crosses val="autoZero"/>
        <c:crossBetween val="midCat"/>
      </c:valAx>
      <c:valAx>
        <c:axId val="238724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crossAx val="23870604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b="1"/>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2-23T11:32:03.567"/>
    </inkml:context>
    <inkml:brush xml:id="br0">
      <inkml:brushProperty name="width" value="0.05" units="cm"/>
      <inkml:brushProperty name="height" value="0.05" units="cm"/>
    </inkml:brush>
  </inkml:definitions>
  <inkml:trace contextRef="#ctx0" brushRef="#br0">13 0 3223 0 0,'0'0'136'0'0,"0"430"40"0"0,-6-428-176 0 0,6-2 0 0 0,0 0 0 0 0,0 0 0 0 0,-7-1 1544 0 0,7 1 280 0 0,0 0 48 0 0,0 644 16 0 0,0-644-1728 0 0,0 0-336 0 0,0 0-72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2-23T11:32:03.568"/>
    </inkml:context>
    <inkml:brush xml:id="br0">
      <inkml:brushProperty name="width" value="0.05" units="cm"/>
      <inkml:brushProperty name="height" value="0.05" units="cm"/>
    </inkml:brush>
  </inkml:definitions>
  <inkml:trace contextRef="#ctx0" brushRef="#br0">1 50 8751 0 0,'0'0'776'0'0,"0"0"-616"0"0,0 0-160 0 0,0 0 0 0 0,0 0-256 0 0,0 0-88 0 0,0 0-8 0 0</inkml:trace>
  <inkml:trace contextRef="#ctx0" brushRef="#br0" timeOffset="1">122 0 10911 0 0,'0'0'480'0'0,"0"0"104"0"0,0 0-464 0 0,0 0-120 0 0,0 0 0 0 0,0 0 0 0 0,0 0-456 0 0,0 0-120 0 0,0 0-16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7ECDF-AB59-48E1-A709-0CB55184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Alsobaie</dc:creator>
  <cp:keywords/>
  <dc:description/>
  <cp:lastModifiedBy>Thadani, Lavina</cp:lastModifiedBy>
  <cp:revision>2</cp:revision>
  <dcterms:created xsi:type="dcterms:W3CDTF">2022-06-16T21:40:00Z</dcterms:created>
  <dcterms:modified xsi:type="dcterms:W3CDTF">2022-06-16T21:40:00Z</dcterms:modified>
</cp:coreProperties>
</file>