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71"/>
        <w:tblW w:w="5000" w:type="pct"/>
        <w:tblLook w:val="04A0" w:firstRow="1" w:lastRow="0" w:firstColumn="1" w:lastColumn="0" w:noHBand="0" w:noVBand="1"/>
      </w:tblPr>
      <w:tblGrid>
        <w:gridCol w:w="8306"/>
      </w:tblGrid>
      <w:tr w:rsidR="000A247A" w:rsidRPr="00C27E78" w14:paraId="442749E7" w14:textId="77777777" w:rsidTr="000A247A"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8B6827" w14:textId="77777777" w:rsidR="000A247A" w:rsidRPr="00C27E78" w:rsidRDefault="000A247A" w:rsidP="000A247A">
            <w:pPr>
              <w:widowControl w:val="0"/>
              <w:spacing w:beforeLines="50" w:before="156" w:afterLines="50" w:after="156" w:line="288" w:lineRule="auto"/>
              <w:jc w:val="center"/>
              <w:rPr>
                <w:rFonts w:eastAsia="宋体" w:cs="Arial"/>
                <w:b/>
                <w:bCs/>
                <w:kern w:val="2"/>
                <w:szCs w:val="20"/>
                <w:lang w:eastAsia="zh-CN"/>
              </w:rPr>
            </w:pPr>
            <w:r w:rsidRPr="00C27E78">
              <w:rPr>
                <w:rFonts w:eastAsia="宋体" w:cs="Arial"/>
                <w:b/>
                <w:bCs/>
                <w:kern w:val="2"/>
                <w:szCs w:val="20"/>
                <w:lang w:eastAsia="zh-CN"/>
              </w:rPr>
              <w:t>Center</w:t>
            </w:r>
          </w:p>
        </w:tc>
      </w:tr>
      <w:tr w:rsidR="000A247A" w:rsidRPr="00C27E78" w14:paraId="02CF44A4" w14:textId="77777777" w:rsidTr="000A247A">
        <w:tc>
          <w:tcPr>
            <w:tcW w:w="5000" w:type="pct"/>
            <w:tcBorders>
              <w:top w:val="single" w:sz="12" w:space="0" w:color="auto"/>
            </w:tcBorders>
            <w:shd w:val="clear" w:color="auto" w:fill="auto"/>
          </w:tcPr>
          <w:p w14:paraId="324B036D" w14:textId="77777777" w:rsidR="000A247A" w:rsidRPr="00C27E78" w:rsidRDefault="000A247A" w:rsidP="00CF4F72">
            <w:pPr>
              <w:widowControl w:val="0"/>
              <w:spacing w:beforeLines="50" w:before="156" w:afterLines="50" w:after="156"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>Guangdong Academy of Medical Sciences, Guangdong Provincial People’s Hospital, Guangzhou, China</w:t>
            </w:r>
          </w:p>
        </w:tc>
      </w:tr>
      <w:tr w:rsidR="000A247A" w:rsidRPr="00C27E78" w14:paraId="78899D6F" w14:textId="77777777" w:rsidTr="000A247A">
        <w:tc>
          <w:tcPr>
            <w:tcW w:w="5000" w:type="pct"/>
            <w:shd w:val="clear" w:color="auto" w:fill="auto"/>
          </w:tcPr>
          <w:p w14:paraId="64890B76" w14:textId="77777777" w:rsidR="000A247A" w:rsidRPr="00C27E78" w:rsidRDefault="000A247A" w:rsidP="00CF4F72">
            <w:pPr>
              <w:widowControl w:val="0"/>
              <w:spacing w:beforeLines="50" w:before="156" w:afterLines="50" w:after="156"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>Maoming People's Hospital, Maoming, China</w:t>
            </w:r>
          </w:p>
        </w:tc>
      </w:tr>
      <w:tr w:rsidR="000A247A" w:rsidRPr="00C27E78" w14:paraId="3B4227A7" w14:textId="77777777" w:rsidTr="000A247A">
        <w:tc>
          <w:tcPr>
            <w:tcW w:w="5000" w:type="pct"/>
            <w:shd w:val="clear" w:color="auto" w:fill="auto"/>
          </w:tcPr>
          <w:p w14:paraId="5269ADEC" w14:textId="77777777" w:rsidR="000A247A" w:rsidRPr="00C27E78" w:rsidRDefault="000A247A" w:rsidP="00CF4F72">
            <w:pPr>
              <w:widowControl w:val="0"/>
              <w:spacing w:beforeLines="50" w:before="156" w:afterLines="50" w:after="156"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>Shenzhen People's Hospital, Shenzhen, China</w:t>
            </w:r>
          </w:p>
        </w:tc>
      </w:tr>
      <w:tr w:rsidR="000A247A" w:rsidRPr="00C27E78" w14:paraId="0C547D9F" w14:textId="77777777" w:rsidTr="000A247A">
        <w:tc>
          <w:tcPr>
            <w:tcW w:w="5000" w:type="pct"/>
            <w:shd w:val="clear" w:color="auto" w:fill="auto"/>
          </w:tcPr>
          <w:p w14:paraId="73F8013D" w14:textId="77777777" w:rsidR="000A247A" w:rsidRPr="00C27E78" w:rsidRDefault="000A247A" w:rsidP="00CF4F72">
            <w:pPr>
              <w:widowControl w:val="0"/>
              <w:spacing w:beforeLines="50" w:before="156" w:afterLines="50" w:after="156"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proofErr w:type="spellStart"/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>Yangjiang</w:t>
            </w:r>
            <w:proofErr w:type="spellEnd"/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 xml:space="preserve"> People's Hospital, </w:t>
            </w:r>
            <w:proofErr w:type="spellStart"/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>Yangjiang</w:t>
            </w:r>
            <w:proofErr w:type="spellEnd"/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>, China</w:t>
            </w:r>
          </w:p>
        </w:tc>
      </w:tr>
      <w:tr w:rsidR="000A247A" w:rsidRPr="00C27E78" w14:paraId="3354F93B" w14:textId="77777777" w:rsidTr="000A247A">
        <w:tc>
          <w:tcPr>
            <w:tcW w:w="5000" w:type="pct"/>
            <w:tcBorders>
              <w:bottom w:val="single" w:sz="12" w:space="0" w:color="auto"/>
            </w:tcBorders>
            <w:shd w:val="clear" w:color="auto" w:fill="auto"/>
          </w:tcPr>
          <w:p w14:paraId="2063E500" w14:textId="77777777" w:rsidR="000A247A" w:rsidRPr="00C27E78" w:rsidRDefault="000A247A" w:rsidP="00CF4F72">
            <w:pPr>
              <w:widowControl w:val="0"/>
              <w:spacing w:beforeLines="50" w:before="156" w:afterLines="50" w:after="156" w:line="240" w:lineRule="auto"/>
              <w:jc w:val="center"/>
              <w:rPr>
                <w:rFonts w:eastAsia="宋体" w:cs="Arial"/>
                <w:kern w:val="2"/>
                <w:szCs w:val="20"/>
                <w:lang w:eastAsia="zh-CN"/>
              </w:rPr>
            </w:pPr>
            <w:r w:rsidRPr="00C27E78">
              <w:rPr>
                <w:rFonts w:eastAsia="宋体" w:cs="Arial"/>
                <w:kern w:val="2"/>
                <w:szCs w:val="20"/>
                <w:lang w:eastAsia="zh-CN"/>
              </w:rPr>
              <w:t>Longyan First Affiliated Hospital of Fujian Medical University, Longyan, China</w:t>
            </w:r>
          </w:p>
        </w:tc>
      </w:tr>
    </w:tbl>
    <w:p w14:paraId="18F282C4" w14:textId="16F7510A" w:rsidR="000A247A" w:rsidRPr="00C27E78" w:rsidRDefault="000A247A" w:rsidP="000A247A">
      <w:pPr>
        <w:rPr>
          <w:rFonts w:cs="Arial"/>
          <w:b/>
          <w:bCs/>
          <w:szCs w:val="20"/>
        </w:rPr>
      </w:pPr>
      <w:r w:rsidRPr="00C27E78">
        <w:rPr>
          <w:rFonts w:cs="Arial"/>
          <w:b/>
          <w:bCs/>
          <w:szCs w:val="20"/>
        </w:rPr>
        <w:t>Supplemental Table 1. Five south Chinese regional central tertiary teaching hospitals</w:t>
      </w:r>
    </w:p>
    <w:p w14:paraId="16CE99A7" w14:textId="77777777" w:rsidR="00CF4F72" w:rsidRPr="00C27E78" w:rsidRDefault="00CF4F72" w:rsidP="00CF4F72">
      <w:pPr>
        <w:widowControl w:val="0"/>
        <w:spacing w:line="240" w:lineRule="auto"/>
        <w:jc w:val="both"/>
        <w:rPr>
          <w:rFonts w:cs="Arial"/>
          <w:b/>
          <w:bCs/>
          <w:szCs w:val="20"/>
        </w:rPr>
      </w:pPr>
    </w:p>
    <w:p w14:paraId="27A22F36" w14:textId="77777777" w:rsidR="00CF4F72" w:rsidRPr="00C27E78" w:rsidRDefault="00CF4F72" w:rsidP="00CF4F72">
      <w:pPr>
        <w:widowControl w:val="0"/>
        <w:spacing w:line="240" w:lineRule="auto"/>
        <w:jc w:val="both"/>
        <w:rPr>
          <w:rFonts w:cs="Arial"/>
          <w:b/>
          <w:bCs/>
          <w:szCs w:val="20"/>
        </w:rPr>
      </w:pPr>
    </w:p>
    <w:p w14:paraId="28ECA74E" w14:textId="0EE94FAC" w:rsidR="00CF4F72" w:rsidRPr="00C27E78" w:rsidRDefault="00CF4F72" w:rsidP="00CF4F72">
      <w:pPr>
        <w:widowControl w:val="0"/>
        <w:spacing w:line="240" w:lineRule="auto"/>
        <w:jc w:val="both"/>
        <w:rPr>
          <w:rFonts w:cs="Arial"/>
          <w:b/>
          <w:bCs/>
          <w:szCs w:val="20"/>
        </w:rPr>
      </w:pPr>
      <w:r w:rsidRPr="00C27E78">
        <w:rPr>
          <w:rFonts w:cs="Arial"/>
          <w:b/>
          <w:bCs/>
          <w:szCs w:val="20"/>
        </w:rPr>
        <w:t>Supplemental Table 2. Association of SII with long-term all-cause mortality in multivariable Cox proportional hazard regression models.</w:t>
      </w:r>
    </w:p>
    <w:tbl>
      <w:tblPr>
        <w:tblpPr w:leftFromText="180" w:rightFromText="180" w:vertAnchor="page" w:horzAnchor="margin" w:tblpY="7450"/>
        <w:tblW w:w="7712" w:type="dxa"/>
        <w:tblLook w:val="04A0" w:firstRow="1" w:lastRow="0" w:firstColumn="1" w:lastColumn="0" w:noHBand="0" w:noVBand="1"/>
      </w:tblPr>
      <w:tblGrid>
        <w:gridCol w:w="2694"/>
        <w:gridCol w:w="2835"/>
        <w:gridCol w:w="2183"/>
      </w:tblGrid>
      <w:tr w:rsidR="00CF4F72" w:rsidRPr="00C27E78" w14:paraId="61570C55" w14:textId="77777777" w:rsidTr="00CF4F72">
        <w:trPr>
          <w:trHeight w:val="295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447438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Risk factors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B58E5" w14:textId="54F2734D" w:rsidR="00CF4F72" w:rsidRPr="00C27E78" w:rsidRDefault="006A391E" w:rsidP="00CF4F72">
            <w:pPr>
              <w:spacing w:line="276" w:lineRule="auto"/>
              <w:jc w:val="both"/>
              <w:rPr>
                <w:rFonts w:cs="Arial"/>
                <w:color w:val="000000"/>
                <w:szCs w:val="20"/>
                <w:lang w:eastAsia="zh-CN"/>
              </w:rPr>
            </w:pPr>
            <w:r>
              <w:rPr>
                <w:rFonts w:cs="Arial"/>
                <w:color w:val="000000"/>
                <w:szCs w:val="20"/>
                <w:lang w:eastAsia="zh-CN"/>
              </w:rPr>
              <w:t>H</w:t>
            </w:r>
            <w:r w:rsidR="00CF4F72" w:rsidRPr="00C27E78">
              <w:rPr>
                <w:rFonts w:cs="Arial"/>
                <w:color w:val="000000"/>
                <w:szCs w:val="20"/>
                <w:lang w:eastAsia="zh-CN"/>
              </w:rPr>
              <w:t>R (95%CI)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E06C8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P value</w:t>
            </w:r>
          </w:p>
        </w:tc>
      </w:tr>
      <w:tr w:rsidR="00CF4F72" w:rsidRPr="00C27E78" w14:paraId="6833BBAE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10560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Q1(SII≤404.5)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0E50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1.00(Ref</w:t>
            </w:r>
            <w:r w:rsidRPr="00C27E78">
              <w:rPr>
                <w:rFonts w:cs="Arial"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F61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-</w:t>
            </w:r>
          </w:p>
        </w:tc>
      </w:tr>
      <w:tr w:rsidR="00CF4F72" w:rsidRPr="00C27E78" w14:paraId="24AA105B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3F9CC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Q2(404.5</w:t>
            </w:r>
            <w:r w:rsidRPr="00C27E78">
              <w:rPr>
                <w:rFonts w:cs="Arial"/>
                <w:color w:val="000000"/>
                <w:szCs w:val="20"/>
                <w:lang w:eastAsia="zh-CN"/>
              </w:rPr>
              <w:t>＜</w:t>
            </w:r>
            <w:r w:rsidRPr="00C27E78">
              <w:rPr>
                <w:rFonts w:cs="Arial"/>
                <w:color w:val="000000"/>
                <w:szCs w:val="20"/>
                <w:lang w:eastAsia="zh-CN"/>
              </w:rPr>
              <w:t>SII≤631.7)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2DD0D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1.15(1.05,1.26)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722AD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4B6867F2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22DCE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Q3(631.7</w:t>
            </w:r>
            <w:r w:rsidRPr="00C27E78">
              <w:rPr>
                <w:rFonts w:cs="Arial"/>
                <w:color w:val="000000"/>
                <w:szCs w:val="20"/>
                <w:lang w:eastAsia="zh-CN"/>
              </w:rPr>
              <w:t>＜</w:t>
            </w:r>
            <w:r w:rsidRPr="00C27E78">
              <w:rPr>
                <w:rFonts w:cs="Arial"/>
                <w:color w:val="000000"/>
                <w:szCs w:val="20"/>
                <w:lang w:eastAsia="zh-CN"/>
              </w:rPr>
              <w:t>SII≤1082.8)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FAE6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1.31(1.19,1.43)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12D5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76B5030E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87E56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Q4(1082.8≤SII)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97C2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1.59(1.45,1.75)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EAAE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54F95D21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1504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bookmarkStart w:id="0" w:name="_Hlk101462176"/>
            <w:r w:rsidRPr="00C27E78">
              <w:rPr>
                <w:rFonts w:cs="Arial"/>
                <w:color w:val="000000"/>
                <w:szCs w:val="20"/>
                <w:lang w:eastAsia="zh-CN"/>
              </w:rPr>
              <w:t>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07B4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1.03(1.02,1.03)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68A4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bookmarkEnd w:id="0"/>
      <w:tr w:rsidR="00CF4F72" w:rsidRPr="00C27E78" w14:paraId="6B7129D2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9712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gender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96C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0.74(0.69,0.79)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540B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5B4FFCA8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58FE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CAD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0448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1.32(1.18,1.48)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094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3456366B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9485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HT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83D6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0.96(0.89,1.03)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9A8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0.210</w:t>
            </w:r>
          </w:p>
        </w:tc>
      </w:tr>
      <w:tr w:rsidR="00CF4F72" w:rsidRPr="00C27E78" w14:paraId="6FF3E701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71D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PCI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7165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0.74(0.68,0.81)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136C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4C367152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0A38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DM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0619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1.09(1.06,1.12)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BB62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2C322DE6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4502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eGFR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3EFD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0.99(0.99,0.99)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1A8C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55BB94B2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9D82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CHF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4C9B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1.55(1.43,1.67)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C1FB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666E23EA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45AB1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IABP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EC9B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1.25(1.04,1.5)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A18A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0.022</w:t>
            </w:r>
          </w:p>
        </w:tc>
      </w:tr>
      <w:tr w:rsidR="00CF4F72" w:rsidRPr="00C27E78" w14:paraId="29420074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C0B8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AMI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1E38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0.97(0.89,1.05)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4034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0.441</w:t>
            </w:r>
          </w:p>
        </w:tc>
      </w:tr>
      <w:tr w:rsidR="00CF4F72" w:rsidRPr="00C27E78" w14:paraId="637E8EE4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3BC1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anemia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3E3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1.25(1.17,1.34)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B647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59C08760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BD83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proofErr w:type="spellStart"/>
            <w:r w:rsidRPr="00C27E78">
              <w:rPr>
                <w:rFonts w:cs="Arial"/>
                <w:color w:val="000000"/>
                <w:szCs w:val="20"/>
                <w:lang w:eastAsia="zh-CN"/>
              </w:rPr>
              <w:t>Cmv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07A7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1.00(1.00,1.01)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934B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&lt;0.001</w:t>
            </w:r>
          </w:p>
        </w:tc>
      </w:tr>
      <w:tr w:rsidR="00CF4F72" w:rsidRPr="00C27E78" w14:paraId="6CDE6A69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53A1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LDL-C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1497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1.02(0.99,1.06)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BB2D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0.201</w:t>
            </w:r>
          </w:p>
        </w:tc>
      </w:tr>
      <w:tr w:rsidR="00CF4F72" w:rsidRPr="00C27E78" w14:paraId="73AEC31F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3FC6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statins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4BB1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0.93(0.84,1.03)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D16C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0.181</w:t>
            </w:r>
          </w:p>
        </w:tc>
      </w:tr>
      <w:tr w:rsidR="00CF4F72" w:rsidRPr="00C27E78" w14:paraId="4C5D9A13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6085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ACEI/ARB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834A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0.95(0.89,1.02)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97D5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0.182</w:t>
            </w:r>
          </w:p>
        </w:tc>
      </w:tr>
      <w:tr w:rsidR="00CF4F72" w:rsidRPr="00C27E78" w14:paraId="67B5A828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A09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β-blocker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C5C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0.97(0.90,1.05)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6C12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0.483</w:t>
            </w:r>
          </w:p>
        </w:tc>
      </w:tr>
      <w:tr w:rsidR="00CF4F72" w:rsidRPr="00C27E78" w14:paraId="21D22C39" w14:textId="77777777" w:rsidTr="00CF4F72">
        <w:trPr>
          <w:trHeight w:val="295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0FA85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CCB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7A10D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1.07(0.99,1.15)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A364F" w14:textId="77777777" w:rsidR="00CF4F72" w:rsidRPr="00C27E78" w:rsidRDefault="00CF4F72" w:rsidP="00CF4F72">
            <w:pPr>
              <w:spacing w:line="276" w:lineRule="auto"/>
              <w:rPr>
                <w:rFonts w:cs="Arial"/>
                <w:color w:val="000000"/>
                <w:szCs w:val="20"/>
                <w:lang w:eastAsia="zh-CN"/>
              </w:rPr>
            </w:pPr>
            <w:r w:rsidRPr="00C27E78">
              <w:rPr>
                <w:rFonts w:cs="Arial"/>
                <w:color w:val="000000"/>
                <w:szCs w:val="20"/>
                <w:lang w:eastAsia="zh-CN"/>
              </w:rPr>
              <w:t>0.093</w:t>
            </w:r>
          </w:p>
        </w:tc>
      </w:tr>
    </w:tbl>
    <w:p w14:paraId="5229E0CE" w14:textId="77777777" w:rsidR="00CF4F72" w:rsidRPr="00C27E78" w:rsidRDefault="00CF4F72" w:rsidP="00CF4F72">
      <w:pPr>
        <w:widowControl w:val="0"/>
        <w:spacing w:line="240" w:lineRule="auto"/>
        <w:jc w:val="both"/>
        <w:rPr>
          <w:rFonts w:cs="Arial"/>
          <w:b/>
          <w:bCs/>
          <w:szCs w:val="20"/>
        </w:rPr>
      </w:pPr>
    </w:p>
    <w:p w14:paraId="07BB7271" w14:textId="77777777" w:rsidR="00CF4F72" w:rsidRPr="00C27E78" w:rsidRDefault="00CF4F72" w:rsidP="00CF4F72">
      <w:pPr>
        <w:widowControl w:val="0"/>
        <w:spacing w:line="240" w:lineRule="auto"/>
        <w:jc w:val="both"/>
        <w:rPr>
          <w:rFonts w:cs="Arial"/>
          <w:b/>
          <w:bCs/>
          <w:szCs w:val="20"/>
        </w:rPr>
      </w:pPr>
    </w:p>
    <w:p w14:paraId="3E935252" w14:textId="4FA99C99" w:rsidR="00351C1C" w:rsidRPr="00C27E78" w:rsidRDefault="003F35A7">
      <w:pPr>
        <w:rPr>
          <w:rFonts w:cs="Arial"/>
          <w:szCs w:val="20"/>
        </w:rPr>
      </w:pPr>
    </w:p>
    <w:p w14:paraId="7C761D65" w14:textId="78D0E7DC" w:rsidR="00FC080E" w:rsidRPr="00C27E78" w:rsidRDefault="00FC080E" w:rsidP="00FC080E">
      <w:pPr>
        <w:rPr>
          <w:rFonts w:cs="Arial"/>
          <w:szCs w:val="20"/>
        </w:rPr>
      </w:pPr>
      <w:bookmarkStart w:id="1" w:name="_Hlk101619041"/>
      <w:r w:rsidRPr="00C27E78">
        <w:rPr>
          <w:rFonts w:cs="Arial"/>
          <w:b/>
          <w:bCs/>
          <w:szCs w:val="20"/>
        </w:rPr>
        <w:lastRenderedPageBreak/>
        <w:t xml:space="preserve">Abbreviation: </w:t>
      </w:r>
      <w:r w:rsidRPr="00C27E78">
        <w:rPr>
          <w:rFonts w:cs="Arial"/>
          <w:szCs w:val="20"/>
        </w:rPr>
        <w:t xml:space="preserve">AMI = acute myocardial infarction; CAD= coronary artery disease; HT=hypertension; DM= diabetes mellitus; CHF=congestive heart failure; IABP= intra-aortic </w:t>
      </w:r>
      <w:proofErr w:type="spellStart"/>
      <w:r w:rsidRPr="00C27E78">
        <w:rPr>
          <w:rFonts w:cs="Arial"/>
          <w:szCs w:val="20"/>
        </w:rPr>
        <w:t>ballon</w:t>
      </w:r>
      <w:proofErr w:type="spellEnd"/>
      <w:r w:rsidRPr="00C27E78">
        <w:rPr>
          <w:rFonts w:cs="Arial"/>
          <w:szCs w:val="20"/>
        </w:rPr>
        <w:t xml:space="preserve"> pump; PCI= percutaneous interventions; </w:t>
      </w:r>
      <w:bookmarkStart w:id="2" w:name="_Hlk101463708"/>
      <w:r w:rsidRPr="00C27E78">
        <w:rPr>
          <w:rFonts w:cs="Arial"/>
          <w:szCs w:val="20"/>
        </w:rPr>
        <w:t xml:space="preserve">LDL-C=low density lipoprotein cholesterol; </w:t>
      </w:r>
      <w:bookmarkEnd w:id="2"/>
      <w:r w:rsidRPr="00C27E78">
        <w:rPr>
          <w:rFonts w:cs="Arial"/>
          <w:szCs w:val="20"/>
        </w:rPr>
        <w:t>eGFR=</w:t>
      </w:r>
      <w:bookmarkStart w:id="3" w:name="_Hlk101119711"/>
      <w:r w:rsidRPr="00C27E78">
        <w:rPr>
          <w:rFonts w:cs="Arial"/>
          <w:szCs w:val="20"/>
        </w:rPr>
        <w:t>estimated glomerular filtration rate</w:t>
      </w:r>
      <w:bookmarkEnd w:id="3"/>
      <w:r w:rsidRPr="00C27E78">
        <w:rPr>
          <w:rFonts w:cs="Arial"/>
          <w:szCs w:val="20"/>
        </w:rPr>
        <w:t>; ACEI/ARB= angiotensin-converting enzyme inhibitor/angiotensin receptor blocker; CCB=calcium channel blocker; CMV= contrast media volume;</w:t>
      </w:r>
    </w:p>
    <w:bookmarkEnd w:id="1"/>
    <w:p w14:paraId="03DAD332" w14:textId="77777777" w:rsidR="00FC080E" w:rsidRPr="00C27E78" w:rsidRDefault="00FC080E" w:rsidP="00CF4F72">
      <w:pPr>
        <w:rPr>
          <w:rFonts w:cs="Arial"/>
          <w:szCs w:val="20"/>
        </w:rPr>
      </w:pPr>
    </w:p>
    <w:p w14:paraId="6695B719" w14:textId="175A63B0" w:rsidR="00CF4F72" w:rsidRPr="00C27E78" w:rsidRDefault="00CF4F72" w:rsidP="00CF4F72">
      <w:pPr>
        <w:rPr>
          <w:rFonts w:cs="Arial"/>
          <w:szCs w:val="20"/>
        </w:rPr>
      </w:pPr>
      <w:r w:rsidRPr="00C27E78">
        <w:rPr>
          <w:rFonts w:cs="Arial"/>
          <w:b/>
          <w:bCs/>
          <w:szCs w:val="20"/>
        </w:rPr>
        <w:t>Supplemental Fig</w:t>
      </w:r>
      <w:r w:rsidRPr="00C27E78">
        <w:rPr>
          <w:rFonts w:cs="Arial"/>
          <w:b/>
          <w:bCs/>
          <w:szCs w:val="20"/>
          <w:lang w:eastAsia="zh-CN"/>
        </w:rPr>
        <w:t>ure</w:t>
      </w:r>
      <w:r w:rsidRPr="00C27E78">
        <w:rPr>
          <w:rFonts w:cs="Arial"/>
          <w:b/>
          <w:bCs/>
          <w:szCs w:val="20"/>
        </w:rPr>
        <w:t xml:space="preserve">. 1. Flow of patients through the study. </w:t>
      </w:r>
      <w:r w:rsidRPr="00C27E78">
        <w:rPr>
          <w:rFonts w:cs="Arial"/>
          <w:szCs w:val="20"/>
        </w:rPr>
        <w:t>SII: systemic immune inflammation index</w:t>
      </w:r>
    </w:p>
    <w:p w14:paraId="01AF24B8" w14:textId="5F96CF2D" w:rsidR="005D6548" w:rsidRPr="00C27E78" w:rsidRDefault="00897662" w:rsidP="00CF4F72">
      <w:pPr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76146AD6" wp14:editId="28D2A9A4">
            <wp:extent cx="5274310" cy="29667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8B947" w14:textId="77777777" w:rsidR="00CF4F72" w:rsidRPr="00C27E78" w:rsidRDefault="00CF4F72" w:rsidP="00CF4F72">
      <w:pPr>
        <w:rPr>
          <w:rFonts w:cs="Arial"/>
          <w:b/>
          <w:bCs/>
          <w:szCs w:val="20"/>
        </w:rPr>
      </w:pPr>
    </w:p>
    <w:p w14:paraId="43D663F5" w14:textId="15125DB5" w:rsidR="00CF4F72" w:rsidRPr="00C27E78" w:rsidRDefault="00CF4F72" w:rsidP="00CF4F72">
      <w:pPr>
        <w:rPr>
          <w:rFonts w:cs="Arial"/>
          <w:szCs w:val="20"/>
        </w:rPr>
      </w:pPr>
      <w:r w:rsidRPr="00C27E78">
        <w:rPr>
          <w:rFonts w:cs="Arial"/>
          <w:b/>
          <w:bCs/>
          <w:szCs w:val="20"/>
        </w:rPr>
        <w:t xml:space="preserve">Supplemental Fig. 2. Subgroup analyses of preprocedural SII on the risk of CA-AKI. </w:t>
      </w:r>
      <w:r w:rsidRPr="00C27E78">
        <w:rPr>
          <w:rFonts w:cs="Arial"/>
          <w:szCs w:val="20"/>
        </w:rPr>
        <w:t>Subgroup analyses were conducted by stratifying different variables including age≥65, gender, PCI, AMI and CHF.</w:t>
      </w:r>
    </w:p>
    <w:p w14:paraId="7CA19555" w14:textId="3D4873B7" w:rsidR="00001113" w:rsidRPr="00C27E78" w:rsidRDefault="00685175" w:rsidP="00CF4F72">
      <w:pPr>
        <w:rPr>
          <w:rFonts w:cs="Arial"/>
          <w:szCs w:val="20"/>
        </w:rPr>
      </w:pPr>
      <w:r>
        <w:rPr>
          <w:noProof/>
        </w:rPr>
        <w:lastRenderedPageBreak/>
        <w:drawing>
          <wp:inline distT="0" distB="0" distL="0" distR="0" wp14:anchorId="1DC58C23" wp14:editId="7ADCBD1A">
            <wp:extent cx="5274310" cy="48748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7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4AAE5" w14:textId="3E1024E1" w:rsidR="00CF4F72" w:rsidRPr="00C27E78" w:rsidRDefault="00CF4F72" w:rsidP="00CF4F72">
      <w:pPr>
        <w:rPr>
          <w:rFonts w:cs="Arial"/>
          <w:szCs w:val="20"/>
        </w:rPr>
      </w:pPr>
    </w:p>
    <w:p w14:paraId="1FC76366" w14:textId="77777777" w:rsidR="00CF4F72" w:rsidRPr="00C27E78" w:rsidRDefault="00CF4F72">
      <w:pPr>
        <w:rPr>
          <w:rFonts w:cs="Arial"/>
          <w:szCs w:val="20"/>
        </w:rPr>
      </w:pPr>
    </w:p>
    <w:sectPr w:rsidR="00CF4F72" w:rsidRPr="00C27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E68D" w14:textId="77777777" w:rsidR="003F35A7" w:rsidRDefault="003F35A7" w:rsidP="000A247A">
      <w:pPr>
        <w:spacing w:line="240" w:lineRule="auto"/>
      </w:pPr>
      <w:r>
        <w:separator/>
      </w:r>
    </w:p>
  </w:endnote>
  <w:endnote w:type="continuationSeparator" w:id="0">
    <w:p w14:paraId="0CA60D0B" w14:textId="77777777" w:rsidR="003F35A7" w:rsidRDefault="003F35A7" w:rsidP="000A2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C6ADE" w14:textId="77777777" w:rsidR="003F35A7" w:rsidRDefault="003F35A7" w:rsidP="000A247A">
      <w:pPr>
        <w:spacing w:line="240" w:lineRule="auto"/>
      </w:pPr>
      <w:r>
        <w:separator/>
      </w:r>
    </w:p>
  </w:footnote>
  <w:footnote w:type="continuationSeparator" w:id="0">
    <w:p w14:paraId="487DCA3D" w14:textId="77777777" w:rsidR="003F35A7" w:rsidRDefault="003F35A7" w:rsidP="000A24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NDOwMDU2NTazNDRX0lEKTi0uzszPAykwqwUAOHcCyywAAAA="/>
  </w:docVars>
  <w:rsids>
    <w:rsidRoot w:val="00C940D0"/>
    <w:rsid w:val="00001113"/>
    <w:rsid w:val="000A247A"/>
    <w:rsid w:val="001C2750"/>
    <w:rsid w:val="002F4623"/>
    <w:rsid w:val="002F72E7"/>
    <w:rsid w:val="003F35A7"/>
    <w:rsid w:val="00593A7A"/>
    <w:rsid w:val="005D6548"/>
    <w:rsid w:val="00685175"/>
    <w:rsid w:val="006A391E"/>
    <w:rsid w:val="006C33BF"/>
    <w:rsid w:val="007B29F4"/>
    <w:rsid w:val="00897662"/>
    <w:rsid w:val="00A726FE"/>
    <w:rsid w:val="00AA29D3"/>
    <w:rsid w:val="00C27E78"/>
    <w:rsid w:val="00C940D0"/>
    <w:rsid w:val="00CF4F72"/>
    <w:rsid w:val="00F72761"/>
    <w:rsid w:val="00FC080E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E5F0"/>
  <w15:chartTrackingRefBased/>
  <w15:docId w15:val="{646C5C2A-4C3E-4973-9614-C56CEDBF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47A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0A24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247A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0A2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文广</dc:creator>
  <cp:keywords/>
  <dc:description/>
  <cp:lastModifiedBy>赖 文广</cp:lastModifiedBy>
  <cp:revision>32</cp:revision>
  <dcterms:created xsi:type="dcterms:W3CDTF">2022-03-02T12:01:00Z</dcterms:created>
  <dcterms:modified xsi:type="dcterms:W3CDTF">2022-04-26T15:52:00Z</dcterms:modified>
</cp:coreProperties>
</file>