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92" w:rsidRPr="001E0033" w:rsidRDefault="003E4F92" w:rsidP="003E4F92">
      <w:pPr>
        <w:ind w:right="-858"/>
      </w:pPr>
      <w:r w:rsidRPr="00A46E23">
        <w:rPr>
          <w:b/>
          <w:bCs/>
        </w:rPr>
        <w:t>S</w:t>
      </w:r>
      <w:r>
        <w:rPr>
          <w:b/>
          <w:bCs/>
        </w:rPr>
        <w:t>upplementary</w:t>
      </w:r>
      <w:r w:rsidRPr="00A46E23">
        <w:rPr>
          <w:b/>
          <w:bCs/>
        </w:rPr>
        <w:t xml:space="preserve"> </w:t>
      </w:r>
      <w:r>
        <w:rPr>
          <w:b/>
          <w:bCs/>
        </w:rPr>
        <w:t>T</w:t>
      </w:r>
      <w:r w:rsidRPr="00A46E23">
        <w:rPr>
          <w:b/>
          <w:bCs/>
        </w:rPr>
        <w:t>able I.</w:t>
      </w:r>
      <w:r>
        <w:t xml:space="preserve"> </w:t>
      </w:r>
      <w:r w:rsidRPr="00A46E23">
        <w:t xml:space="preserve">Final items retained </w:t>
      </w:r>
      <w:r>
        <w:t xml:space="preserve"> </w:t>
      </w:r>
    </w:p>
    <w:tbl>
      <w:tblPr>
        <w:tblW w:w="954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264"/>
        <w:gridCol w:w="7281"/>
      </w:tblGrid>
      <w:tr w:rsidR="003E4F92" w:rsidRPr="00A34161" w:rsidTr="00AD5FAF">
        <w:trPr>
          <w:cantSplit/>
          <w:trHeight w:val="132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bookmarkStart w:id="0" w:name="_GoBack"/>
            <w:bookmarkEnd w:id="0"/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Objectives of the educational program </w:t>
            </w:r>
          </w:p>
        </w:tc>
      </w:tr>
      <w:tr w:rsidR="003E4F92" w:rsidRPr="00A34161" w:rsidTr="00AD5FAF">
        <w:trPr>
          <w:cantSplit/>
          <w:trHeight w:val="246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Normal swallowing vs. difficulty swallowing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Explain the normal mechanism of swallowing.</w:t>
            </w:r>
          </w:p>
        </w:tc>
      </w:tr>
      <w:tr w:rsidR="003E4F92" w:rsidRPr="00A34161" w:rsidTr="00AD5FAF">
        <w:trPr>
          <w:cantSplit/>
          <w:trHeight w:val="960"/>
        </w:trPr>
        <w:tc>
          <w:tcPr>
            <w:tcW w:w="22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MediumGrid1-Accent21"/>
              <w:spacing w:after="0"/>
              <w:ind w:left="0"/>
              <w:contextualSpacing/>
              <w:jc w:val="both"/>
              <w:rPr>
                <w:rFonts w:asciiTheme="minorBidi" w:hAnsiTheme="minorBidi" w:cstheme="minorBidi"/>
                <w:i/>
                <w:iCs/>
                <w:color w:val="00000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000000"/>
                <w:lang w:val="en-AU"/>
              </w:rPr>
              <w:t xml:space="preserve">Explain the role of coordination between breathing and swallowing and recognize the impact of the underlying cause of dysphagia on the </w:t>
            </w:r>
            <w:r w:rsidRPr="00A34161">
              <w:rPr>
                <w:rFonts w:asciiTheme="minorBidi" w:hAnsiTheme="minorBidi" w:cstheme="minorBidi"/>
                <w:lang w:val="en-AU"/>
              </w:rPr>
              <w:t>breathing mechanism.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Explanation: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 xml:space="preserve"> during swallowing, breathing is interrupted for about a second. Stopping breathing constitutes one of the systems of protection against aspiration.</w:t>
            </w:r>
          </w:p>
        </w:tc>
      </w:tr>
      <w:tr w:rsidR="003E4F92" w:rsidRPr="00A34161" w:rsidTr="00AD5FAF">
        <w:trPr>
          <w:cantSplit/>
          <w:trHeight w:val="717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Identify possible places of disturbance during the passage of food between the mouth and the stomach.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Explanation: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the place of disturbance would be presented specifically for each patient.</w:t>
            </w:r>
          </w:p>
        </w:tc>
      </w:tr>
      <w:tr w:rsidR="003E4F92" w:rsidRPr="00A34161" w:rsidTr="00AD5FAF">
        <w:trPr>
          <w:cantSplit/>
          <w:trHeight w:val="1247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3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Aspiration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MediumGrid1-Accent21"/>
              <w:spacing w:after="0"/>
              <w:ind w:left="0"/>
              <w:contextualSpacing/>
              <w:jc w:val="both"/>
              <w:rPr>
                <w:rFonts w:asciiTheme="minorBidi" w:hAnsiTheme="minorBidi" w:cstheme="minorBidi"/>
                <w:b/>
                <w:bCs/>
                <w:color w:val="00000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000000"/>
                <w:lang w:val="en-AU"/>
              </w:rPr>
              <w:t xml:space="preserve">Apply suitable actions to deal with aspiration. </w:t>
            </w:r>
          </w:p>
          <w:p w:rsidR="003E4F92" w:rsidRPr="00A34161" w:rsidRDefault="003E4F92" w:rsidP="00AD5FAF">
            <w:pPr>
              <w:spacing w:line="240" w:lineRule="auto"/>
              <w:jc w:val="both"/>
              <w:rPr>
                <w:rFonts w:asciiTheme="minorBidi" w:hAnsiTheme="minorBidi" w:cstheme="minorBidi"/>
                <w:szCs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Cs w:val="20"/>
                <w:lang w:val="en-AU"/>
              </w:rPr>
              <w:t>For example:  </w:t>
            </w:r>
            <w:r w:rsidRPr="00A34161">
              <w:rPr>
                <w:rFonts w:asciiTheme="minorBidi" w:hAnsiTheme="minorBidi" w:cstheme="minorBidi"/>
                <w:i/>
                <w:iCs/>
                <w:szCs w:val="20"/>
                <w:lang w:val="en-AU"/>
              </w:rPr>
              <w:t xml:space="preserve">reassure, promote relaxation and carry out slight ventilation without trying to take in a large amount of air; stop breathing and cough hard; if the person is choking and cannot speak, apply first aid procedures such as the Heimlich </w:t>
            </w:r>
            <w:proofErr w:type="spellStart"/>
            <w:r w:rsidRPr="00A34161">
              <w:rPr>
                <w:rFonts w:asciiTheme="minorBidi" w:hAnsiTheme="minorBidi" w:cstheme="minorBidi"/>
                <w:i/>
                <w:iCs/>
                <w:szCs w:val="20"/>
                <w:lang w:val="en-AU"/>
              </w:rPr>
              <w:t>maneuver</w:t>
            </w:r>
            <w:proofErr w:type="spellEnd"/>
            <w:r w:rsidRPr="00A34161">
              <w:rPr>
                <w:rFonts w:asciiTheme="minorBidi" w:hAnsiTheme="minorBidi" w:cstheme="minorBidi"/>
                <w:i/>
                <w:iCs/>
                <w:szCs w:val="20"/>
                <w:lang w:val="en-AU"/>
              </w:rPr>
              <w:t>.</w:t>
            </w:r>
          </w:p>
        </w:tc>
      </w:tr>
      <w:tr w:rsidR="003E4F92" w:rsidRPr="00A34161" w:rsidTr="00AD5FAF">
        <w:trPr>
          <w:cantSplit/>
          <w:trHeight w:val="320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Distinguish and recognize wrong attitudes when dealing with aspiration.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 xml:space="preserve">For example: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giving a drink, patting on the back, giving a piece of bread are wrong attitudes.</w:t>
            </w:r>
          </w:p>
        </w:tc>
      </w:tr>
      <w:tr w:rsidR="003E4F92" w:rsidRPr="00A34161" w:rsidTr="00AD5FAF">
        <w:trPr>
          <w:cantSplit/>
          <w:trHeight w:val="560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2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567" w:hanging="207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Symptoms</w:t>
            </w: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 xml:space="preserve"> of </w:t>
            </w:r>
            <w:r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OD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Describe and locate the different signs and symptoms of oropharyngeal dysphagia.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choking, suffocation, sweating, coughing, change of skin</w:t>
            </w:r>
            <w:r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,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 xml:space="preserve"> or lip </w:t>
            </w:r>
            <w:proofErr w:type="spellStart"/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color</w:t>
            </w:r>
            <w:proofErr w:type="spellEnd"/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.</w:t>
            </w:r>
          </w:p>
        </w:tc>
      </w:tr>
      <w:tr w:rsidR="003E4F92" w:rsidRPr="00A34161" w:rsidTr="00AD5FAF">
        <w:trPr>
          <w:cantSplit/>
          <w:trHeight w:val="257"/>
        </w:trPr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2"/>
              </w:numPr>
              <w:tabs>
                <w:tab w:val="left" w:pos="0"/>
              </w:tabs>
              <w:suppressAutoHyphens/>
              <w:ind w:left="567" w:hanging="207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Consequences of OD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List the consequences of oropharyngeal dysphagia.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pneumonia, weight loss, malnutrition, dehydration.</w:t>
            </w:r>
          </w:p>
        </w:tc>
      </w:tr>
      <w:tr w:rsidR="003E4F92" w:rsidRPr="00A34161" w:rsidTr="00AD5FAF">
        <w:trPr>
          <w:cantSplit/>
          <w:trHeight w:val="222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2"/>
              </w:numPr>
              <w:tabs>
                <w:tab w:val="left" w:pos="0"/>
              </w:tabs>
              <w:suppressAutoHyphens/>
              <w:ind w:left="709"/>
              <w:rPr>
                <w:rFonts w:asciiTheme="minorBidi" w:hAnsiTheme="minorBidi" w:cstheme="minorBidi"/>
                <w:color w:val="FF0000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Oral hygiene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Explain the link between good oral</w:t>
            </w:r>
            <w:r>
              <w:rPr>
                <w:rFonts w:asciiTheme="minorBidi" w:hAnsiTheme="minorBidi" w:cstheme="minorBidi"/>
                <w:sz w:val="20"/>
                <w:lang w:val="en-AU"/>
              </w:rPr>
              <w:t>/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dental hygiene and swallowing disorder.</w:t>
            </w:r>
          </w:p>
        </w:tc>
      </w:tr>
      <w:tr w:rsidR="003E4F92" w:rsidRPr="00A34161" w:rsidTr="00AD5FAF">
        <w:trPr>
          <w:cantSplit/>
          <w:trHeight w:val="320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Choose the appropriate tool and apply the gestures effectively to achieve good oral and dental hygiene.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 xml:space="preserve">For example: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choose from i) a toothbrush and/or toothpaste, ii) mouthwash, iii) a tongue depressor and/or gauze.</w:t>
            </w:r>
          </w:p>
        </w:tc>
      </w:tr>
      <w:tr w:rsidR="003E4F92" w:rsidRPr="00A34161" w:rsidTr="00AD5FAF">
        <w:trPr>
          <w:cantSplit/>
          <w:trHeight w:val="607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2"/>
              </w:numPr>
              <w:tabs>
                <w:tab w:val="left" w:pos="0"/>
              </w:tabs>
              <w:suppressAutoHyphens/>
              <w:ind w:left="426"/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Specific rehabilitation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360"/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Apply specific rehabilitation exercises to improve swallowing.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the Masako exercise, the effortful swallow exercise, the Shaker exercise</w:t>
            </w:r>
          </w:p>
        </w:tc>
      </w:tr>
      <w:tr w:rsidR="003E4F92" w:rsidRPr="00A34161" w:rsidTr="00AD5FAF">
        <w:trPr>
          <w:cantSplit/>
          <w:trHeight w:val="841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/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Compensatory strategies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spacing w:line="240" w:lineRule="auto"/>
              <w:jc w:val="both"/>
              <w:rPr>
                <w:rFonts w:asciiTheme="minorBidi" w:hAnsiTheme="minorBidi" w:cstheme="minorBidi"/>
                <w:szCs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Cs w:val="20"/>
                <w:lang w:val="en-AU"/>
              </w:rPr>
              <w:t xml:space="preserve">Identify and correct environmental adaptations and the </w:t>
            </w:r>
            <w:proofErr w:type="spellStart"/>
            <w:r w:rsidRPr="00A34161">
              <w:rPr>
                <w:rFonts w:asciiTheme="minorBidi" w:hAnsiTheme="minorBidi" w:cstheme="minorBidi"/>
                <w:szCs w:val="20"/>
                <w:lang w:val="en-AU"/>
              </w:rPr>
              <w:t>behavior</w:t>
            </w:r>
            <w:proofErr w:type="spellEnd"/>
            <w:r w:rsidRPr="00A34161">
              <w:rPr>
                <w:rFonts w:asciiTheme="minorBidi" w:hAnsiTheme="minorBidi" w:cstheme="minorBidi"/>
                <w:szCs w:val="20"/>
                <w:lang w:val="en-AU"/>
              </w:rPr>
              <w:t xml:space="preserve"> of the surrounding for a safe meal. </w:t>
            </w:r>
          </w:p>
          <w:p w:rsidR="003E4F92" w:rsidRPr="00A34161" w:rsidRDefault="003E4F92" w:rsidP="00AD5FAF">
            <w:pPr>
              <w:spacing w:line="240" w:lineRule="auto"/>
              <w:jc w:val="both"/>
              <w:rPr>
                <w:rFonts w:asciiTheme="minorBidi" w:hAnsiTheme="minorBidi" w:cstheme="minorBidi"/>
                <w:szCs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Cs w:val="20"/>
                <w:lang w:val="en-AU"/>
              </w:rPr>
              <w:t>For example:</w:t>
            </w:r>
            <w:r w:rsidRPr="00A34161">
              <w:rPr>
                <w:rFonts w:asciiTheme="minorBidi" w:hAnsiTheme="minorBidi" w:cstheme="minorBidi"/>
                <w:szCs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Cs w:val="20"/>
                <w:lang w:val="en-AU"/>
              </w:rPr>
              <w:t>do not talk while eating, do not watch TV while eating, give attention to meal presentation, adjust the patient's posture. </w:t>
            </w:r>
          </w:p>
        </w:tc>
      </w:tr>
      <w:tr w:rsidR="003E4F92" w:rsidRPr="00A34161" w:rsidTr="00AD5FAF">
        <w:trPr>
          <w:cantSplit/>
          <w:trHeight w:val="673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spacing w:line="240" w:lineRule="auto"/>
              <w:jc w:val="both"/>
              <w:rPr>
                <w:rFonts w:asciiTheme="minorBidi" w:hAnsiTheme="minorBidi" w:cstheme="minorBidi"/>
                <w:szCs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Cs w:val="20"/>
                <w:lang w:val="en-AU"/>
              </w:rPr>
              <w:t>Know how to efficiently prepare food textures and make the right choice according to the patient's needs.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example: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grind food in the machine or mash it with a fork, add sauce to food.</w:t>
            </w:r>
          </w:p>
        </w:tc>
      </w:tr>
      <w:tr w:rsidR="003E4F92" w:rsidRPr="00A34161" w:rsidTr="00AD5FAF">
        <w:trPr>
          <w:cantSplit/>
          <w:trHeight w:val="116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Choose foods and drinks to get the recommended calorie and water intake.</w:t>
            </w:r>
          </w:p>
        </w:tc>
      </w:tr>
      <w:tr w:rsidR="003E4F92" w:rsidRPr="00A34161" w:rsidTr="00AD5FAF">
        <w:trPr>
          <w:cantSplit/>
          <w:trHeight w:val="253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C0392B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Tracheostomy cannula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  <w:r w:rsidRPr="00F81235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14"/>
                <w:szCs w:val="14"/>
                <w:lang w:val="en-AU"/>
              </w:rPr>
              <w:t>The objectives are exclusively addressed according to the case and the needs of each patient and their caregiver.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Explain the potential benefits of tracheostomy.</w:t>
            </w:r>
          </w:p>
        </w:tc>
      </w:tr>
      <w:tr w:rsidR="003E4F92" w:rsidRPr="00A34161" w:rsidTr="00AD5FAF">
        <w:trPr>
          <w:cantSplit/>
          <w:trHeight w:val="463"/>
        </w:trPr>
        <w:tc>
          <w:tcPr>
            <w:tcW w:w="226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eastAsia="Calibr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Demonstrate the tracheostomy cannula care process.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example: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how to clean the cannula, how and when to inflate</w:t>
            </w:r>
            <w:r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/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deflate the cuff.</w:t>
            </w:r>
          </w:p>
        </w:tc>
      </w:tr>
      <w:tr w:rsidR="003E4F92" w:rsidRPr="00A34161" w:rsidTr="00AD5FAF">
        <w:trPr>
          <w:cantSplit/>
          <w:trHeight w:val="320"/>
        </w:trPr>
        <w:tc>
          <w:tcPr>
            <w:tcW w:w="226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Carry out the technical gestures related to tracheotomized patients during meals.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example: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how and when to inflate</w:t>
            </w:r>
            <w:r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/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deflate the cuff, aspiration of residues.</w:t>
            </w:r>
          </w:p>
        </w:tc>
      </w:tr>
      <w:tr w:rsidR="003E4F92" w:rsidRPr="00A34161" w:rsidTr="00AD5FAF">
        <w:trPr>
          <w:cantSplit/>
          <w:trHeight w:val="364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/>
              <w:jc w:val="center"/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Enteral feeding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F81235">
              <w:rPr>
                <w:rFonts w:asciiTheme="minorBidi" w:hAnsiTheme="minorBidi" w:cstheme="minorBidi"/>
                <w:b/>
                <w:bCs/>
                <w:i/>
                <w:iCs/>
                <w:color w:val="FF0000"/>
                <w:sz w:val="14"/>
                <w:szCs w:val="14"/>
                <w:lang w:val="en-AU"/>
              </w:rPr>
              <w:t>The objectives are exclusively addressed according to the case and the needs of each patient and their caregiver.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eastAsia="Calibri Bold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Identify complications of enteral feeding </w:t>
            </w:r>
          </w:p>
          <w:p w:rsidR="003E4F92" w:rsidRPr="00A34161" w:rsidRDefault="003E4F92" w:rsidP="00AD5FAF">
            <w:pPr>
              <w:pStyle w:val="TableGrid1"/>
              <w:tabs>
                <w:tab w:val="left" w:pos="0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eastAsia="Calibri" w:hAnsiTheme="minorBidi" w:cstheme="minorBidi"/>
                <w:i/>
                <w:iCs/>
                <w:sz w:val="20"/>
                <w:lang w:val="en-AU"/>
              </w:rPr>
            </w:pPr>
            <w:r w:rsidRPr="00A34161">
              <w:rPr>
                <w:rFonts w:asciiTheme="minorBidi" w:eastAsia="Calibri Bold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proofErr w:type="spellStart"/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diarrhea</w:t>
            </w:r>
            <w:proofErr w:type="spellEnd"/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, reflux, nausea, vomiting.</w:t>
            </w:r>
          </w:p>
        </w:tc>
      </w:tr>
      <w:tr w:rsidR="003E4F92" w:rsidRPr="00A34161" w:rsidTr="00AD5FAF">
        <w:trPr>
          <w:cantSplit/>
          <w:trHeight w:val="1260"/>
        </w:trPr>
        <w:tc>
          <w:tcPr>
            <w:tcW w:w="22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Understand how to apply tips to better manage enteral feeding.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: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administer medication through the gastrostomy tube, rinse the gastrostomy tube with water before and after meals, clean around the gastrostomy tube or nasogastric tube.</w:t>
            </w:r>
          </w:p>
        </w:tc>
      </w:tr>
      <w:tr w:rsidR="003E4F92" w:rsidRPr="00A34161" w:rsidTr="00AD5FAF">
        <w:trPr>
          <w:cantSplit/>
          <w:trHeight w:val="840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426"/>
              <w:jc w:val="center"/>
              <w:rPr>
                <w:rFonts w:asciiTheme="minorBidi" w:hAnsiTheme="minorBidi" w:cstheme="minorBidi"/>
                <w:color w:val="2E74B5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2E74B5"/>
                <w:sz w:val="20"/>
                <w:lang w:val="en-AU"/>
              </w:rPr>
              <w:lastRenderedPageBreak/>
              <w:t>Communication of health needs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color w:val="FF0000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Communicate health needs with your health professional. </w:t>
            </w:r>
          </w:p>
          <w:p w:rsidR="003E4F92" w:rsidRPr="00A34161" w:rsidRDefault="003E4F92" w:rsidP="00AD5FAF">
            <w:pPr>
              <w:spacing w:line="240" w:lineRule="auto"/>
              <w:jc w:val="both"/>
              <w:rPr>
                <w:rFonts w:asciiTheme="minorBidi" w:hAnsiTheme="minorBidi" w:cstheme="minorBidi"/>
                <w:szCs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Cs w:val="20"/>
                <w:lang w:val="en-AU"/>
              </w:rPr>
              <w:t>For example </w:t>
            </w:r>
            <w:r w:rsidRPr="00A34161">
              <w:rPr>
                <w:rFonts w:asciiTheme="minorBidi" w:hAnsiTheme="minorBidi" w:cstheme="minorBidi"/>
                <w:i/>
                <w:iCs/>
                <w:szCs w:val="20"/>
                <w:lang w:val="en-AU"/>
              </w:rPr>
              <w:t>communication of the need to ask a nutritionist to quantify the patient's calorie and water intake, communication of the need to have an attentive caregiver, communication of difficulties in applying therapeutic recommendations on a day-to-day basis, expressing to the speech therapist that one did not understand, for example how to perform the exercise.</w:t>
            </w:r>
          </w:p>
        </w:tc>
      </w:tr>
      <w:tr w:rsidR="003E4F92" w:rsidRPr="00A34161" w:rsidTr="00AD5FAF">
        <w:trPr>
          <w:cantSplit/>
          <w:trHeight w:val="1120"/>
        </w:trPr>
        <w:tc>
          <w:tcPr>
            <w:tcW w:w="2264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1"/>
              </w:numPr>
              <w:tabs>
                <w:tab w:val="left" w:pos="0"/>
              </w:tabs>
              <w:suppressAutoHyphens/>
              <w:ind w:left="284"/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Help and support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360"/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Identify and solicit the people who support the patient with dysphagia and</w:t>
            </w:r>
            <w:r w:rsidRPr="00A34161">
              <w:rPr>
                <w:rFonts w:asciiTheme="minorBidi" w:hAnsiTheme="minorBidi" w:cstheme="minorBidi"/>
                <w:color w:val="000000" w:themeColor="text1"/>
                <w:sz w:val="20"/>
                <w:lang w:val="en-AU"/>
              </w:rPr>
              <w:t xml:space="preserve"> their 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caregiver.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</w:t>
            </w:r>
            <w:r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,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a medical or paramedical professional or a psychologist, family, relatives, support groups on social networks, associations, ask for help to assert their health rights, such as social or financial assistance ...</w:t>
            </w:r>
          </w:p>
        </w:tc>
      </w:tr>
      <w:tr w:rsidR="003E4F92" w:rsidRPr="00A34161" w:rsidTr="00AD5FAF">
        <w:trPr>
          <w:cantSplit/>
          <w:trHeight w:val="1272"/>
        </w:trPr>
        <w:tc>
          <w:tcPr>
            <w:tcW w:w="22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360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MediumGrid1-Accent21"/>
              <w:spacing w:after="0" w:line="240" w:lineRule="auto"/>
              <w:ind w:left="0"/>
              <w:contextualSpacing/>
              <w:jc w:val="both"/>
              <w:rPr>
                <w:rFonts w:asciiTheme="minorBidi" w:hAnsiTheme="minorBidi" w:cstheme="minorBidi"/>
                <w:lang w:val="en-AU"/>
              </w:rPr>
            </w:pPr>
            <w:r w:rsidRPr="00A34161">
              <w:rPr>
                <w:rFonts w:asciiTheme="minorBidi" w:hAnsiTheme="minorBidi" w:cstheme="minorBidi"/>
                <w:lang w:val="en-AU"/>
              </w:rPr>
              <w:t>Identify and use resources of the healthcare system by the patient with dysphagia and his/her caregiver.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example: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> 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knowing who</w:t>
            </w:r>
            <w:r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m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 xml:space="preserve"> to contact to set the calorie intake and water required and organize the diet like the nutritionist, know where to go to treat cases of suffocation</w:t>
            </w:r>
            <w:r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,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 xml:space="preserve"> or identify the development of dysphagia like the ENT doctor if necessary.</w:t>
            </w:r>
          </w:p>
        </w:tc>
      </w:tr>
      <w:tr w:rsidR="003E4F92" w:rsidRPr="00A34161" w:rsidTr="00AD5FAF">
        <w:trPr>
          <w:cantSplit/>
          <w:trHeight w:val="597"/>
        </w:trPr>
        <w:tc>
          <w:tcPr>
            <w:tcW w:w="22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1"/>
              </w:num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ind w:left="284"/>
              <w:jc w:val="center"/>
              <w:rPr>
                <w:rFonts w:asciiTheme="minorBidi" w:hAnsiTheme="minorBidi" w:cstheme="minorBidi"/>
                <w:color w:val="355BB7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Managing stress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0"/>
              </w:tabs>
              <w:suppressAutoHyphens/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Mastering strategies to help manage the stress that accompanies dysphagia. 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sz w:val="20"/>
                <w:lang w:val="en-AU"/>
              </w:rPr>
              <w:t>For example:</w:t>
            </w: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how to solve problems related to dysphagia, time management during the day, relaxation.</w:t>
            </w:r>
          </w:p>
        </w:tc>
      </w:tr>
      <w:tr w:rsidR="003E4F92" w:rsidRPr="00A34161" w:rsidTr="00AD5FAF">
        <w:trPr>
          <w:cantSplit/>
          <w:trHeight w:val="877"/>
        </w:trPr>
        <w:tc>
          <w:tcPr>
            <w:tcW w:w="2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E4F92" w:rsidRPr="00A34161" w:rsidRDefault="003E4F92" w:rsidP="003E4F92">
            <w:pPr>
              <w:pStyle w:val="TableGrid1"/>
              <w:numPr>
                <w:ilvl w:val="0"/>
                <w:numId w:val="1"/>
              </w:numPr>
              <w:tabs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284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ind w:left="142"/>
              <w:jc w:val="center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color w:val="355BB7"/>
                <w:sz w:val="20"/>
                <w:lang w:val="en-AU"/>
              </w:rPr>
              <w:t>Appropriation of dysphagia</w:t>
            </w:r>
          </w:p>
        </w:tc>
        <w:tc>
          <w:tcPr>
            <w:tcW w:w="7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0" w:type="dxa"/>
              <w:left w:w="0" w:type="dxa"/>
              <w:bottom w:w="0" w:type="dxa"/>
              <w:right w:w="0" w:type="dxa"/>
            </w:tcMar>
          </w:tcPr>
          <w:p w:rsidR="003E4F92" w:rsidRPr="00A34161" w:rsidRDefault="003E4F92" w:rsidP="00AD5FAF">
            <w:pPr>
              <w:pStyle w:val="TableGrid1"/>
              <w:tabs>
                <w:tab w:val="left" w:pos="28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uppressAutoHyphens/>
              <w:jc w:val="both"/>
              <w:rPr>
                <w:rFonts w:asciiTheme="minorBidi" w:hAnsiTheme="minorBidi" w:cstheme="minorBidi"/>
                <w:b/>
                <w:bCs/>
                <w:i/>
                <w:iCs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sz w:val="20"/>
                <w:lang w:val="en-AU"/>
              </w:rPr>
              <w:t xml:space="preserve">Describe your story experience from the onset of dysphagia and plan your life project. </w:t>
            </w:r>
          </w:p>
          <w:p w:rsidR="003E4F92" w:rsidRPr="00A34161" w:rsidRDefault="003E4F92" w:rsidP="00AD5FAF">
            <w:pPr>
              <w:pStyle w:val="TableGrid1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281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jc w:val="both"/>
              <w:rPr>
                <w:rFonts w:asciiTheme="minorBidi" w:hAnsiTheme="minorBidi" w:cstheme="minorBidi"/>
                <w:sz w:val="20"/>
                <w:lang w:val="en-AU"/>
              </w:rPr>
            </w:pPr>
            <w:r w:rsidRPr="00A34161">
              <w:rPr>
                <w:rFonts w:asciiTheme="minorBidi" w:hAnsiTheme="minorBidi" w:cstheme="minorBidi"/>
                <w:b/>
                <w:bCs/>
                <w:i/>
                <w:iCs/>
                <w:sz w:val="20"/>
                <w:lang w:val="en-AU"/>
              </w:rPr>
              <w:t xml:space="preserve">Explanation: </w:t>
            </w:r>
            <w:r w:rsidRPr="00A34161">
              <w:rPr>
                <w:rFonts w:asciiTheme="minorBidi" w:hAnsiTheme="minorBidi" w:cstheme="minorBidi"/>
                <w:i/>
                <w:iCs/>
                <w:sz w:val="20"/>
                <w:lang w:val="en-AU"/>
              </w:rPr>
              <w:t>how to envision life and mourn certain projects or ideas as well as rebuild your life project.</w:t>
            </w:r>
          </w:p>
        </w:tc>
      </w:tr>
    </w:tbl>
    <w:p w:rsidR="003E4F92" w:rsidRPr="00431388" w:rsidRDefault="003E4F92" w:rsidP="003E4F92"/>
    <w:p w:rsidR="00A00D59" w:rsidRDefault="00A00D59"/>
    <w:sectPr w:rsidR="00A00D59" w:rsidSect="009358BD">
      <w:footerReference w:type="even" r:id="rId5"/>
      <w:footerReference w:type="default" r:id="rId6"/>
      <w:pgSz w:w="12240" w:h="15840"/>
      <w:pgMar w:top="1134" w:right="1800" w:bottom="1440" w:left="1800" w:header="720" w:footer="720" w:gutter="0"/>
      <w:lnNumType w:countBy="1" w:restart="continuous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libri Bold">
    <w:panose1 w:val="020F07020304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C1" w:rsidRDefault="003E4F9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812C1" w:rsidRDefault="003E4F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2C1" w:rsidRDefault="003E4F92" w:rsidP="00FF2660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812C1" w:rsidRDefault="003E4F92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17A08"/>
    <w:multiLevelType w:val="hybridMultilevel"/>
    <w:tmpl w:val="1A7208EC"/>
    <w:lvl w:ilvl="0" w:tplc="97A87BE6">
      <w:start w:val="3"/>
      <w:numFmt w:val="decimal"/>
      <w:lvlText w:val="%1."/>
      <w:lvlJc w:val="left"/>
      <w:pPr>
        <w:ind w:left="720" w:hanging="360"/>
      </w:pPr>
      <w:rPr>
        <w:rFonts w:hint="default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05A1"/>
    <w:multiLevelType w:val="hybridMultilevel"/>
    <w:tmpl w:val="19DEB3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539CA"/>
    <w:multiLevelType w:val="hybridMultilevel"/>
    <w:tmpl w:val="9A2AA40C"/>
    <w:lvl w:ilvl="0" w:tplc="EA4AB492">
      <w:start w:val="7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olor w:val="2F5496" w:themeColor="accent5" w:themeShade="B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NDA3NTMwMzU2NzM1sjRW0lEKTi0uzszPAykwrAUA1sqYaSwAAAA="/>
  </w:docVars>
  <w:rsids>
    <w:rsidRoot w:val="003E4F92"/>
    <w:rsid w:val="003E4F92"/>
    <w:rsid w:val="004C0E40"/>
    <w:rsid w:val="0073090F"/>
    <w:rsid w:val="009273FE"/>
    <w:rsid w:val="00A00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F5116"/>
  <w15:chartTrackingRefBased/>
  <w15:docId w15:val="{37E4194D-DE8E-49D4-AB20-E91C44DF0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4F92"/>
    <w:pPr>
      <w:spacing w:after="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3E4F9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E4F92"/>
    <w:rPr>
      <w:rFonts w:ascii="Arial" w:eastAsia="Times New Roman" w:hAnsi="Arial" w:cs="Times New Roman"/>
      <w:sz w:val="20"/>
      <w:szCs w:val="24"/>
      <w:lang w:val="en-US"/>
    </w:rPr>
  </w:style>
  <w:style w:type="character" w:styleId="PageNumber">
    <w:name w:val="page number"/>
    <w:basedOn w:val="DefaultParagraphFont"/>
    <w:rsid w:val="003E4F92"/>
  </w:style>
  <w:style w:type="paragraph" w:customStyle="1" w:styleId="TableGrid1">
    <w:name w:val="Table Grid1"/>
    <w:rsid w:val="003E4F92"/>
    <w:pPr>
      <w:spacing w:after="0" w:line="240" w:lineRule="auto"/>
    </w:pPr>
    <w:rPr>
      <w:rFonts w:ascii="Calibri" w:eastAsia="ヒラギノ角ゴ Pro W3" w:hAnsi="Calibri" w:cs="Times New Roman"/>
      <w:color w:val="000000"/>
      <w:szCs w:val="20"/>
    </w:rPr>
  </w:style>
  <w:style w:type="paragraph" w:customStyle="1" w:styleId="MediumGrid1-Accent21">
    <w:name w:val="Medium Grid 1 - Accent 21"/>
    <w:qFormat/>
    <w:rsid w:val="003E4F92"/>
    <w:pPr>
      <w:suppressAutoHyphens/>
      <w:spacing w:line="254" w:lineRule="auto"/>
      <w:ind w:left="720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3E4F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750</Words>
  <Characters>4278</Characters>
  <Application>Microsoft Office Word</Application>
  <DocSecurity>0</DocSecurity>
  <Lines>35</Lines>
  <Paragraphs>10</Paragraphs>
  <ScaleCrop>false</ScaleCrop>
  <Company/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ZaYa</dc:creator>
  <cp:keywords/>
  <dc:description/>
  <cp:lastModifiedBy>ZaYa</cp:lastModifiedBy>
  <cp:revision>1</cp:revision>
  <dcterms:created xsi:type="dcterms:W3CDTF">2022-03-03T04:41:00Z</dcterms:created>
  <dcterms:modified xsi:type="dcterms:W3CDTF">2022-03-03T04:41:00Z</dcterms:modified>
</cp:coreProperties>
</file>