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AEFA" w14:textId="77777777" w:rsidR="006E47C7" w:rsidRDefault="00A60A2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Methods</w:t>
      </w:r>
    </w:p>
    <w:p w14:paraId="3B1E99D7" w14:textId="77777777" w:rsidR="006E47C7" w:rsidRDefault="00A60A2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2"/>
        </w:rPr>
        <w:t>West</w:t>
      </w:r>
      <w:r>
        <w:rPr>
          <w:rFonts w:ascii="Times New Roman" w:hAnsi="Times New Roman" w:cs="Times New Roman"/>
          <w:b/>
          <w:bCs/>
          <w:color w:val="000000"/>
          <w:sz w:val="22"/>
        </w:rPr>
        <w:t>ern blot</w:t>
      </w:r>
    </w:p>
    <w:p w14:paraId="2000B209" w14:textId="137EA245" w:rsidR="006E47C7" w:rsidRPr="00A60A22" w:rsidRDefault="00A60A22">
      <w:pPr>
        <w:spacing w:line="360" w:lineRule="auto"/>
        <w:rPr>
          <w:rFonts w:ascii="Times New Roman" w:hAnsi="Times New Roman" w:cs="Times New Roman"/>
          <w:sz w:val="22"/>
        </w:rPr>
      </w:pPr>
      <w:r w:rsidRPr="00A60A22">
        <w:rPr>
          <w:rFonts w:ascii="Times New Roman" w:eastAsia="等线" w:hAnsi="Times New Roman" w:cs="Times New Roman"/>
          <w:sz w:val="22"/>
        </w:rPr>
        <w:t xml:space="preserve">Equal amounts </w:t>
      </w:r>
      <w:r w:rsidRPr="00A60A22">
        <w:rPr>
          <w:rFonts w:ascii="Times New Roman" w:hAnsi="Times New Roman" w:cs="Times New Roman"/>
          <w:sz w:val="22"/>
        </w:rPr>
        <w:t>of protein were separated by SDS–PAGE and transferred to nitrocellulose membranes. Membranes were blocked with 5% skim milk powder for 1 hour, followed by incubation with primary antibodies in 5% skim milk-TBS-T at 4 °C overnight</w:t>
      </w:r>
      <w:r w:rsidR="00CF7CFE">
        <w:rPr>
          <w:rFonts w:ascii="Times New Roman" w:hAnsi="Times New Roman" w:cs="Times New Roman"/>
          <w:sz w:val="22"/>
        </w:rPr>
        <w:t xml:space="preserve"> with gentle shaking</w:t>
      </w:r>
      <w:r w:rsidRPr="00A60A22">
        <w:rPr>
          <w:rFonts w:ascii="Times New Roman" w:hAnsi="Times New Roman" w:cs="Times New Roman"/>
          <w:sz w:val="22"/>
        </w:rPr>
        <w:t xml:space="preserve">. Primary antibodies against STAT1 (14994, CST, dilution 1:2000), phospho-STAT1 (Tyr701) (9167, CST, dilution 1:2000), STAT3 (D3Z2G) (12640, CST, dilution 1:2000), phospho-STAT3 (Tyr705) (9145, CST, dilution 1:2000), </w:t>
      </w:r>
      <w:r w:rsidRPr="00A60A22">
        <w:rPr>
          <w:rFonts w:ascii="Times New Roman" w:eastAsia="等线" w:hAnsi="Times New Roman" w:cs="Times New Roman"/>
          <w:sz w:val="22"/>
        </w:rPr>
        <w:t>and GAPDH</w:t>
      </w:r>
      <w:r w:rsidRPr="00A60A22">
        <w:rPr>
          <w:rFonts w:ascii="Times New Roman" w:hAnsi="Times New Roman" w:cs="Times New Roman"/>
          <w:sz w:val="22"/>
        </w:rPr>
        <w:t xml:space="preserve"> (D16H11) (5174, CST, dilution 1:2000) were used. After three washes with TBS-T, the membrane was incubated with horseradish peroxidase-conjugated anti-rabbit secondary antibody (7074, CST</w:t>
      </w:r>
      <w:r w:rsidR="00CF7CFE">
        <w:rPr>
          <w:rFonts w:ascii="Times New Roman" w:hAnsi="Times New Roman" w:cs="Times New Roman"/>
          <w:sz w:val="22"/>
        </w:rPr>
        <w:t>, 1:2 000</w:t>
      </w:r>
      <w:r w:rsidRPr="00A60A22">
        <w:rPr>
          <w:rFonts w:ascii="Times New Roman" w:hAnsi="Times New Roman" w:cs="Times New Roman"/>
          <w:sz w:val="22"/>
        </w:rPr>
        <w:t>) in 5% skim milk-TBS-T. The respective proteins were visualized by using</w:t>
      </w:r>
      <w:r w:rsidRPr="00A60A22">
        <w:rPr>
          <w:rFonts w:ascii="Times New Roman" w:eastAsia="等线" w:hAnsi="Times New Roman" w:cs="Times New Roman"/>
          <w:sz w:val="22"/>
        </w:rPr>
        <w:t xml:space="preserve"> a</w:t>
      </w:r>
      <w:r w:rsidRPr="00A60A22">
        <w:rPr>
          <w:rFonts w:ascii="Times New Roman" w:hAnsi="Times New Roman" w:cs="Times New Roman"/>
          <w:sz w:val="22"/>
        </w:rPr>
        <w:t xml:space="preserve"> chemiluminescence assay (</w:t>
      </w:r>
      <w:proofErr w:type="spellStart"/>
      <w:r w:rsidRPr="00A60A22">
        <w:rPr>
          <w:rFonts w:ascii="Times New Roman" w:hAnsi="Times New Roman" w:cs="Times New Roman"/>
          <w:sz w:val="22"/>
        </w:rPr>
        <w:t>Thermo</w:t>
      </w:r>
      <w:proofErr w:type="spellEnd"/>
      <w:r w:rsidRPr="00A60A22">
        <w:rPr>
          <w:rFonts w:ascii="Times New Roman" w:hAnsi="Times New Roman" w:cs="Times New Roman"/>
          <w:sz w:val="22"/>
        </w:rPr>
        <w:t xml:space="preserve"> Scientific, USA).</w:t>
      </w:r>
    </w:p>
    <w:p w14:paraId="55BAD072" w14:textId="77777777" w:rsidR="006E47C7" w:rsidRPr="00A60A22" w:rsidRDefault="006E47C7">
      <w:pPr>
        <w:spacing w:line="360" w:lineRule="auto"/>
        <w:rPr>
          <w:rFonts w:ascii="Times New Roman" w:hAnsi="Times New Roman" w:cs="Times New Roman"/>
          <w:sz w:val="22"/>
        </w:rPr>
      </w:pPr>
    </w:p>
    <w:p w14:paraId="7ADB82B2" w14:textId="06771F4F" w:rsidR="006E47C7" w:rsidRDefault="00A21F64" w:rsidP="00A60A2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</w:rPr>
      </w:pPr>
      <w:r w:rsidRPr="00A60A22">
        <w:rPr>
          <w:rFonts w:ascii="Times New Roman" w:hAnsi="Times New Roman" w:cs="Times New Roman"/>
          <w:b/>
          <w:bCs/>
          <w:color w:val="000000"/>
          <w:sz w:val="22"/>
        </w:rPr>
        <w:t>Supplementary Figure</w:t>
      </w:r>
    </w:p>
    <w:p w14:paraId="22F8C59C" w14:textId="60FBCBD3" w:rsidR="00A60A22" w:rsidRPr="00A60A22" w:rsidRDefault="00A60A22" w:rsidP="00A60A2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noProof/>
        </w:rPr>
        <w:drawing>
          <wp:inline distT="0" distB="0" distL="0" distR="0" wp14:anchorId="1EABF33F" wp14:editId="2518B3B9">
            <wp:extent cx="5342586" cy="2130421"/>
            <wp:effectExtent l="0" t="0" r="0" b="3810"/>
            <wp:docPr id="1" name="图片 1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Word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" t="15184" r="3004" b="17670"/>
                    <a:stretch/>
                  </pic:blipFill>
                  <pic:spPr bwMode="auto">
                    <a:xfrm>
                      <a:off x="0" y="0"/>
                      <a:ext cx="5356358" cy="213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501B0" w14:textId="088D73F7" w:rsidR="00A60A22" w:rsidRPr="00A60A22" w:rsidRDefault="00A60A22" w:rsidP="00A60A22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A60A22">
        <w:rPr>
          <w:rFonts w:ascii="Times New Roman" w:hAnsi="Times New Roman" w:cs="Times New Roman"/>
          <w:b/>
          <w:bCs/>
          <w:sz w:val="22"/>
        </w:rPr>
        <w:t xml:space="preserve">Supplementary Figure 1: Gating strategy for flow cytometry </w:t>
      </w:r>
    </w:p>
    <w:p w14:paraId="51E3CD48" w14:textId="61ABC99A" w:rsidR="00A21F64" w:rsidRPr="00A60A22" w:rsidRDefault="00A60A22" w:rsidP="00A60A22">
      <w:pPr>
        <w:spacing w:line="480" w:lineRule="auto"/>
        <w:rPr>
          <w:rFonts w:ascii="Times New Roman" w:hAnsi="Times New Roman" w:cs="Times New Roman"/>
          <w:sz w:val="22"/>
        </w:rPr>
      </w:pPr>
      <w:r w:rsidRPr="00A60A22">
        <w:rPr>
          <w:rFonts w:ascii="Times New Roman" w:hAnsi="Times New Roman" w:cs="Times New Roman" w:hint="eastAsia"/>
          <w:sz w:val="22"/>
        </w:rPr>
        <w:t xml:space="preserve">PBMCs were stimulated for overnight or expanded for 10 days after stimulation with </w:t>
      </w:r>
      <w:r w:rsidRPr="00A60A22">
        <w:rPr>
          <w:rFonts w:ascii="Times New Roman" w:eastAsia="宋体" w:hAnsi="Times New Roman" w:cs="Times New Roman"/>
          <w:color w:val="000000"/>
          <w:sz w:val="22"/>
        </w:rPr>
        <w:t>M1</w:t>
      </w:r>
      <w:r w:rsidRPr="00A60A22">
        <w:rPr>
          <w:rFonts w:ascii="Times New Roman" w:eastAsia="宋体" w:hAnsi="Times New Roman" w:cs="Times New Roman"/>
          <w:color w:val="000000"/>
          <w:sz w:val="22"/>
          <w:vertAlign w:val="subscript"/>
        </w:rPr>
        <w:t>58−66</w:t>
      </w:r>
      <w:r w:rsidRPr="00A60A22">
        <w:rPr>
          <w:rFonts w:ascii="Times New Roman" w:eastAsia="宋体" w:hAnsi="Times New Roman" w:cs="Times New Roman"/>
          <w:color w:val="000000"/>
          <w:sz w:val="22"/>
        </w:rPr>
        <w:t xml:space="preserve"> peptide or </w:t>
      </w:r>
      <w:r w:rsidRPr="00A60A22">
        <w:rPr>
          <w:rFonts w:ascii="Times New Roman" w:hAnsi="Times New Roman" w:cs="Times New Roman"/>
          <w:sz w:val="22"/>
        </w:rPr>
        <w:t xml:space="preserve">heat-killed </w:t>
      </w:r>
      <w:r w:rsidRPr="00A60A22">
        <w:rPr>
          <w:rFonts w:ascii="Times New Roman" w:hAnsi="Times New Roman" w:cs="Times New Roman"/>
          <w:i/>
          <w:iCs/>
          <w:sz w:val="22"/>
        </w:rPr>
        <w:t>T. marneffei</w:t>
      </w:r>
      <w:r w:rsidRPr="00A60A22">
        <w:rPr>
          <w:rFonts w:ascii="Times New Roman" w:hAnsi="Times New Roman" w:cs="Times New Roman" w:hint="eastAsia"/>
          <w:sz w:val="22"/>
        </w:rPr>
        <w:t xml:space="preserve"> and then were immuno-stained for surface and intracellular. Live CD3</w:t>
      </w:r>
      <w:r w:rsidR="00CF7CFE">
        <w:rPr>
          <w:rFonts w:ascii="Times New Roman" w:hAnsi="Times New Roman" w:cs="Times New Roman" w:hint="eastAsia"/>
          <w:sz w:val="22"/>
        </w:rPr>
        <w:t>+</w:t>
      </w:r>
      <w:r w:rsidR="00CF7CFE">
        <w:rPr>
          <w:rFonts w:ascii="Times New Roman" w:hAnsi="Times New Roman" w:cs="Times New Roman"/>
          <w:sz w:val="22"/>
        </w:rPr>
        <w:t xml:space="preserve"> cells</w:t>
      </w:r>
      <w:r w:rsidRPr="00A60A22">
        <w:rPr>
          <w:rFonts w:ascii="Times New Roman" w:hAnsi="Times New Roman" w:cs="Times New Roman" w:hint="eastAsia"/>
          <w:sz w:val="22"/>
        </w:rPr>
        <w:t xml:space="preserve"> were gated from singlets derived from lymphocytes</w:t>
      </w:r>
      <w:r w:rsidR="00CF7CFE">
        <w:rPr>
          <w:rFonts w:ascii="Times New Roman" w:hAnsi="Times New Roman" w:cs="Times New Roman"/>
          <w:sz w:val="22"/>
        </w:rPr>
        <w:t>.</w:t>
      </w:r>
      <w:r w:rsidR="00CF7CFE" w:rsidRPr="00A60A22">
        <w:rPr>
          <w:rFonts w:ascii="Times New Roman" w:hAnsi="Times New Roman" w:cs="Times New Roman" w:hint="eastAsia"/>
          <w:sz w:val="22"/>
        </w:rPr>
        <w:t xml:space="preserve"> </w:t>
      </w:r>
      <w:r w:rsidR="00CF7CFE">
        <w:rPr>
          <w:rFonts w:ascii="Times New Roman" w:hAnsi="Times New Roman" w:cs="Times New Roman"/>
          <w:sz w:val="22"/>
        </w:rPr>
        <w:t xml:space="preserve">Thereafter, </w:t>
      </w:r>
      <w:r w:rsidRPr="00A60A22">
        <w:rPr>
          <w:rFonts w:ascii="Times New Roman" w:hAnsi="Times New Roman" w:cs="Times New Roman" w:hint="eastAsia"/>
          <w:sz w:val="22"/>
        </w:rPr>
        <w:t>CD4</w:t>
      </w:r>
      <w:r w:rsidR="00CF7CFE">
        <w:rPr>
          <w:rFonts w:ascii="Times New Roman" w:hAnsi="Times New Roman" w:cs="Times New Roman"/>
          <w:sz w:val="22"/>
        </w:rPr>
        <w:t>+</w:t>
      </w:r>
      <w:r w:rsidRPr="00A60A22">
        <w:rPr>
          <w:rFonts w:ascii="Times New Roman" w:hAnsi="Times New Roman" w:cs="Times New Roman" w:hint="eastAsia"/>
          <w:sz w:val="22"/>
        </w:rPr>
        <w:t xml:space="preserve"> and CD8</w:t>
      </w:r>
      <w:r w:rsidR="00CF7CFE">
        <w:rPr>
          <w:rFonts w:ascii="Times New Roman" w:hAnsi="Times New Roman" w:cs="Times New Roman"/>
          <w:sz w:val="22"/>
        </w:rPr>
        <w:t>+ T cells were gated and responsive T cells</w:t>
      </w:r>
      <w:r w:rsidRPr="00A60A22">
        <w:rPr>
          <w:rFonts w:ascii="Times New Roman" w:hAnsi="Times New Roman" w:cs="Times New Roman" w:hint="eastAsia"/>
          <w:sz w:val="22"/>
        </w:rPr>
        <w:t xml:space="preserve"> were </w:t>
      </w:r>
      <w:r w:rsidR="00CF7CFE">
        <w:rPr>
          <w:rFonts w:ascii="Times New Roman" w:hAnsi="Times New Roman" w:cs="Times New Roman"/>
          <w:sz w:val="22"/>
        </w:rPr>
        <w:t>identified as cells expressing</w:t>
      </w:r>
      <w:r w:rsidRPr="00A60A22">
        <w:rPr>
          <w:rFonts w:ascii="Times New Roman" w:hAnsi="Times New Roman" w:cs="Times New Roman" w:hint="eastAsia"/>
          <w:sz w:val="22"/>
        </w:rPr>
        <w:t xml:space="preserve"> IFN</w:t>
      </w:r>
      <w:r w:rsidRPr="00A60A22">
        <w:rPr>
          <w:rFonts w:ascii="Times New Roman" w:hAnsi="Times New Roman" w:cs="Times New Roman" w:hint="eastAsia"/>
          <w:sz w:val="22"/>
        </w:rPr>
        <w:t>γ</w:t>
      </w:r>
      <w:r w:rsidRPr="00A60A22">
        <w:rPr>
          <w:rFonts w:ascii="Times New Roman" w:hAnsi="Times New Roman" w:cs="Times New Roman" w:hint="eastAsia"/>
          <w:sz w:val="22"/>
        </w:rPr>
        <w:t>and TNF. The gating strategy was applied to generation of data at Figure1-3.</w:t>
      </w:r>
    </w:p>
    <w:sectPr w:rsidR="00A21F64" w:rsidRPr="00A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8A19" w14:textId="77777777" w:rsidR="002D5840" w:rsidRDefault="002D5840" w:rsidP="00CF7CFE">
      <w:r>
        <w:separator/>
      </w:r>
    </w:p>
  </w:endnote>
  <w:endnote w:type="continuationSeparator" w:id="0">
    <w:p w14:paraId="191D6749" w14:textId="77777777" w:rsidR="002D5840" w:rsidRDefault="002D5840" w:rsidP="00CF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2935" w14:textId="77777777" w:rsidR="002D5840" w:rsidRDefault="002D5840" w:rsidP="00CF7CFE">
      <w:r>
        <w:separator/>
      </w:r>
    </w:p>
  </w:footnote>
  <w:footnote w:type="continuationSeparator" w:id="0">
    <w:p w14:paraId="01C9DD0A" w14:textId="77777777" w:rsidR="002D5840" w:rsidRDefault="002D5840" w:rsidP="00CF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98"/>
    <w:rsid w:val="002D5840"/>
    <w:rsid w:val="00381EC1"/>
    <w:rsid w:val="006E47C7"/>
    <w:rsid w:val="007A1D2D"/>
    <w:rsid w:val="007C753A"/>
    <w:rsid w:val="008F01C6"/>
    <w:rsid w:val="00932EF2"/>
    <w:rsid w:val="00A12CD8"/>
    <w:rsid w:val="00A21F64"/>
    <w:rsid w:val="00A60A22"/>
    <w:rsid w:val="00AE36E1"/>
    <w:rsid w:val="00B31985"/>
    <w:rsid w:val="00B71202"/>
    <w:rsid w:val="00BB0B2E"/>
    <w:rsid w:val="00CA2998"/>
    <w:rsid w:val="00CF7CFE"/>
    <w:rsid w:val="00E63C28"/>
    <w:rsid w:val="00F50A42"/>
    <w:rsid w:val="00FA1F74"/>
    <w:rsid w:val="06F6670F"/>
    <w:rsid w:val="09624552"/>
    <w:rsid w:val="240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47AE1"/>
  <w15:docId w15:val="{A6A016C4-5247-4311-98FB-1824A686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rFonts w:ascii="Tahoma" w:hAnsi="Tahoma" w:cs="Tahoma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qFormat/>
    <w:rPr>
      <w:rFonts w:ascii="Tahoma" w:hAnsi="Tahoma" w:cs="Tahoma"/>
      <w:sz w:val="16"/>
      <w:szCs w:val="16"/>
      <w:u w:val="non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 w:cs="Tahoma"/>
      <w:sz w:val="16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ahoma" w:hAnsi="Tahoma" w:cs="Tahoma"/>
      <w:b/>
      <w:bCs/>
      <w:sz w:val="16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CF7CF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zhaoming</dc:creator>
  <cp:lastModifiedBy>Chen Zhaoming</cp:lastModifiedBy>
  <cp:revision>12</cp:revision>
  <dcterms:created xsi:type="dcterms:W3CDTF">2021-09-28T01:22:00Z</dcterms:created>
  <dcterms:modified xsi:type="dcterms:W3CDTF">2022-05-14T11:31:00Z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2021-10-08T14:46:49Z</vt:filetime>
  </property>
  <property fmtid="{D5CDD505-2E9C-101B-9397-08002B2CF9AE}" pid="3" name="KSOProductBuildVer">
    <vt:lpwstr>2052-11.1.0.11045</vt:lpwstr>
  </property>
  <property fmtid="{D5CDD505-2E9C-101B-9397-08002B2CF9AE}" pid="4" name="ICV">
    <vt:lpwstr>0DA78075B7C14C3DBF6CA511A4AEDD72</vt:lpwstr>
  </property>
</Properties>
</file>