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25" w:after="225" w:line="480" w:lineRule="auto"/>
        <w:jc w:val="left"/>
        <w:rPr>
          <w:rFonts w:ascii="Times New Roman" w:hAnsi="Times New Roman" w:eastAsia="ITC Stone Sans" w:cs="Times New Roman"/>
          <w:color w:val="auto"/>
          <w:kern w:val="0"/>
          <w:sz w:val="24"/>
          <w:highlight w:val="none"/>
        </w:rPr>
      </w:pPr>
      <w:r>
        <w:rPr>
          <w:rFonts w:ascii="Times New Roman" w:hAnsi="Times New Roman" w:eastAsia="ITC Stone Sans" w:cs="Times New Roman"/>
          <w:b/>
          <w:bCs/>
          <w:color w:val="auto"/>
          <w:kern w:val="0"/>
          <w:sz w:val="24"/>
          <w:highlight w:val="none"/>
        </w:rPr>
        <w:t xml:space="preserve">Supplement Table 1. </w:t>
      </w:r>
      <w:r>
        <w:rPr>
          <w:rFonts w:ascii="Times New Roman" w:hAnsi="Times New Roman" w:eastAsia="ITC Stone Sans" w:cs="Times New Roman"/>
          <w:color w:val="auto"/>
          <w:kern w:val="0"/>
          <w:sz w:val="24"/>
          <w:highlight w:val="none"/>
        </w:rPr>
        <w:t>Univariable and Multivariable Cox Proportional Hazards Regression Analyses for PFS and OS of the first-line therapy subgroup.</w:t>
      </w:r>
    </w:p>
    <w:tbl>
      <w:tblPr>
        <w:tblStyle w:val="9"/>
        <w:tblpPr w:leftFromText="180" w:rightFromText="180" w:vertAnchor="text" w:horzAnchor="page" w:tblpX="807" w:tblpY="16"/>
        <w:tblOverlap w:val="never"/>
        <w:tblW w:w="109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638"/>
        <w:gridCol w:w="1000"/>
        <w:gridCol w:w="638"/>
        <w:gridCol w:w="690"/>
        <w:gridCol w:w="1195"/>
        <w:gridCol w:w="702"/>
        <w:gridCol w:w="638"/>
        <w:gridCol w:w="1125"/>
        <w:gridCol w:w="625"/>
        <w:gridCol w:w="575"/>
        <w:gridCol w:w="1025"/>
        <w:gridCol w:w="616"/>
        <w:gridCol w:w="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exact"/>
        </w:trPr>
        <w:tc>
          <w:tcPr>
            <w:tcW w:w="1429" w:type="dxa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3" w:type="dxa"/>
            <w:gridSpan w:val="6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PFS</w:t>
            </w:r>
          </w:p>
        </w:tc>
        <w:tc>
          <w:tcPr>
            <w:tcW w:w="4667" w:type="dxa"/>
            <w:gridSpan w:val="7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OS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exact"/>
        </w:trPr>
        <w:tc>
          <w:tcPr>
            <w:tcW w:w="1429" w:type="dxa"/>
            <w:tcBorders>
              <w:bottom w:val="single" w:color="auto" w:sz="4" w:space="0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276" w:type="dxa"/>
            <w:gridSpan w:val="3"/>
            <w:tcBorders>
              <w:bottom w:val="single" w:color="auto" w:sz="4" w:space="0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Univariable</w:t>
            </w:r>
          </w:p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</w:p>
        </w:tc>
        <w:tc>
          <w:tcPr>
            <w:tcW w:w="2587" w:type="dxa"/>
            <w:gridSpan w:val="3"/>
            <w:tcBorders>
              <w:bottom w:val="single" w:color="auto" w:sz="4" w:space="0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Multivariable</w:t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</w:p>
        </w:tc>
        <w:tc>
          <w:tcPr>
            <w:tcW w:w="2388" w:type="dxa"/>
            <w:gridSpan w:val="3"/>
            <w:tcBorders>
              <w:bottom w:val="single" w:color="auto" w:sz="4" w:space="0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Univariable</w:t>
            </w:r>
          </w:p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</w:p>
        </w:tc>
        <w:tc>
          <w:tcPr>
            <w:tcW w:w="2279" w:type="dxa"/>
            <w:gridSpan w:val="4"/>
            <w:tcBorders>
              <w:bottom w:val="single" w:color="auto" w:sz="4" w:space="0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Multivariable</w:t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663" w:hRule="exact"/>
        </w:trPr>
        <w:tc>
          <w:tcPr>
            <w:tcW w:w="1429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Variables</w:t>
            </w:r>
          </w:p>
        </w:tc>
        <w:tc>
          <w:tcPr>
            <w:tcW w:w="638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HR</w:t>
            </w:r>
          </w:p>
        </w:tc>
        <w:tc>
          <w:tcPr>
            <w:tcW w:w="100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95% CI</w:t>
            </w:r>
          </w:p>
        </w:tc>
        <w:tc>
          <w:tcPr>
            <w:tcW w:w="638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P-values</w:t>
            </w:r>
          </w:p>
        </w:tc>
        <w:tc>
          <w:tcPr>
            <w:tcW w:w="69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HR</w:t>
            </w:r>
          </w:p>
        </w:tc>
        <w:tc>
          <w:tcPr>
            <w:tcW w:w="119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95% CI</w:t>
            </w:r>
          </w:p>
        </w:tc>
        <w:tc>
          <w:tcPr>
            <w:tcW w:w="70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P-values</w:t>
            </w:r>
          </w:p>
        </w:tc>
        <w:tc>
          <w:tcPr>
            <w:tcW w:w="638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HR</w:t>
            </w:r>
          </w:p>
        </w:tc>
        <w:tc>
          <w:tcPr>
            <w:tcW w:w="112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95% CI</w:t>
            </w:r>
          </w:p>
        </w:tc>
        <w:tc>
          <w:tcPr>
            <w:tcW w:w="62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P-values</w:t>
            </w:r>
          </w:p>
        </w:tc>
        <w:tc>
          <w:tcPr>
            <w:tcW w:w="57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HR</w:t>
            </w:r>
          </w:p>
        </w:tc>
        <w:tc>
          <w:tcPr>
            <w:tcW w:w="102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95% CI</w:t>
            </w:r>
          </w:p>
        </w:tc>
        <w:tc>
          <w:tcPr>
            <w:tcW w:w="616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7"/>
                <w:szCs w:val="17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7"/>
                <w:szCs w:val="17"/>
                <w:highlight w:val="none"/>
              </w:rPr>
              <w:t>P-values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before="3" w:line="240" w:lineRule="auto"/>
              <w:ind w:right="117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auto"/>
                <w:sz w:val="16"/>
                <w:szCs w:val="16"/>
                <w:highlight w:val="none"/>
                <w:lang w:eastAsia="zh-CN"/>
              </w:rPr>
              <w:t>Age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1.01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(0.99, 1.02)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0.452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1.01</w:t>
            </w:r>
          </w:p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(1.00, 1.03)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0.153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5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Gender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19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Male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1.00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19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Female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1.01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(0.74, 1.37)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0.956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1.03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(0.73, 1.45)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sz w:val="15"/>
                <w:szCs w:val="15"/>
                <w:highlight w:val="none"/>
                <w:lang w:eastAsia="zh-CN"/>
              </w:rPr>
              <w:t>0.869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94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宋体" w:cs="Times New Roman"/>
                <w:b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ECOG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w w:val="120"/>
                <w:sz w:val="16"/>
                <w:szCs w:val="16"/>
                <w:highlight w:val="none"/>
                <w:lang w:eastAsia="zh-CN"/>
              </w:rPr>
              <w:t xml:space="preserve"> PS</w:t>
            </w:r>
          </w:p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before="148" w:line="240" w:lineRule="auto"/>
              <w:ind w:left="103"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19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395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w w:val="105"/>
                <w:sz w:val="16"/>
                <w:szCs w:val="16"/>
                <w:highlight w:val="none"/>
              </w:rPr>
              <w:t>0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before="148" w:line="240" w:lineRule="auto"/>
              <w:ind w:right="103"/>
              <w:jc w:val="center"/>
              <w:rPr>
                <w:rFonts w:hint="default"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1.00</w:t>
            </w:r>
            <w:bookmarkStart w:id="0" w:name="_GoBack"/>
            <w:bookmarkEnd w:id="0"/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1.00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w w:val="105"/>
                <w:sz w:val="16"/>
                <w:szCs w:val="16"/>
                <w:highlight w:val="none"/>
              </w:rPr>
              <w:t>1-2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1.31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(0.92, 1.87)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0.129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1.56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(1.07, 2.28)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sz w:val="15"/>
                <w:szCs w:val="15"/>
                <w:highlight w:val="none"/>
              </w:rPr>
              <w:t>0.022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1.64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(1.04, 2.57)</w:t>
            </w: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0.033</w:t>
            </w:r>
          </w:p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  <w:lang w:eastAsia="zh-CN"/>
              </w:rPr>
              <w:t>HBV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19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egative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0.182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1.00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0.259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ositive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0.804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(0.53,1.23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0.314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0.688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(0.24,1.99)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0.490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Missing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1.873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(0.65,5.37)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0.243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0.521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(0.19,1.44)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0.208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24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Primary tumor location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 xml:space="preserve">ICC 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1.00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Others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1.27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(0.91, 1.76)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0.156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1.06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(0.74, 1.53)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0.753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Differentiation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Well differentiated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0.140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19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0.345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1.00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0.438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Moderately differentiated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0.350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(0.12,1.02)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0.054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0.345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(0.12,1.03)</w:t>
            </w: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0.057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0.813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(0.26,2.52)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0.719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Low / moderately differentiation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0.493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(0.18,1.38)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0.179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0.057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(0.16,1.24)</w:t>
            </w: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0.119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1.157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(0.39,3.45)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0.794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Undifferentiated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0.491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(0.16,1.55)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0.224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0.119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(0.12,1.21)</w:t>
            </w: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0.100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1.132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(0.34,3.77)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0.840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Missing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0.327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(0.112,0.96)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0.042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0.100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(0.12,1.04)</w:t>
            </w: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0.058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0.746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(0.24,2.33)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right"/>
              <w:textAlignment w:val="top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0.615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Metastatic organs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No metastasis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1.00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Intrahepatic metastasis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0.88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(0.41, 1.88)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0.739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1.05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(0.44, 2.51)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0.911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Intrahepatic and other organs metastasis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1.16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(0.63, 2.12)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0.633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1.07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(0.53, 2.16)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0.851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72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Other organs metastasis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0.89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(0.48, 1.66)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0.722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1.04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(0.51, 2.11)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  <w:t>0.918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550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ind w:right="119"/>
              <w:jc w:val="left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  <w:lang w:eastAsia="zh-CN"/>
              </w:rPr>
              <w:t>Number of metastatic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  <w:lang w:eastAsia="zh-CN"/>
              </w:rPr>
              <w:t>organs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03" w:right="103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19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119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62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-56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(0.54, 1.85)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  <w:lang w:eastAsia="zh-CN"/>
              </w:rPr>
              <w:t>0.992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1.11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(0.54, 2.27)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sz w:val="15"/>
                <w:szCs w:val="15"/>
                <w:highlight w:val="none"/>
              </w:rPr>
              <w:t>0.771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27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2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1.03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-56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(0.55, 1.92)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  <w:lang w:eastAsia="zh-CN"/>
              </w:rPr>
              <w:t>0.930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0.91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(0.44, 1.89)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sz w:val="15"/>
                <w:szCs w:val="15"/>
                <w:highlight w:val="none"/>
              </w:rPr>
              <w:t>0.808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99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before="3" w:line="240" w:lineRule="auto"/>
              <w:ind w:right="11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3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0.90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tabs>
                <w:tab w:val="left" w:pos="840"/>
              </w:tabs>
              <w:spacing w:line="240" w:lineRule="auto"/>
              <w:ind w:right="-56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(0.46, 1.75)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  <w:lang w:eastAsia="zh-CN"/>
              </w:rPr>
              <w:t>0.762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1.05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(0.49, 2.23)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sz w:val="15"/>
                <w:szCs w:val="15"/>
                <w:highlight w:val="none"/>
              </w:rPr>
              <w:t>0.903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283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4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103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2.02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-56"/>
              <w:jc w:val="left"/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05"/>
                <w:sz w:val="15"/>
                <w:szCs w:val="15"/>
                <w:highlight w:val="none"/>
              </w:rPr>
              <w:t>(0.85, 4.82)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right"/>
              <w:rPr>
                <w:rFonts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05"/>
                <w:sz w:val="15"/>
                <w:szCs w:val="15"/>
                <w:highlight w:val="none"/>
                <w:lang w:eastAsia="zh-CN"/>
              </w:rPr>
              <w:t>0.111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2.35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(0.90, 6.15)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sz w:val="15"/>
                <w:szCs w:val="15"/>
                <w:highlight w:val="none"/>
              </w:rPr>
              <w:t>0.081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623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b/>
                <w:bCs/>
                <w:color w:val="auto"/>
                <w:w w:val="110"/>
                <w:sz w:val="15"/>
                <w:szCs w:val="15"/>
                <w:highlight w:val="none"/>
              </w:rPr>
              <w:t xml:space="preserve">The </w:t>
            </w:r>
            <w:r>
              <w:rPr>
                <w:rFonts w:ascii="Times New Roman" w:hAnsi="Times New Roman" w:eastAsia="华文宋体" w:cs="Times New Roman"/>
                <w:b/>
                <w:bCs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first-line therapy subgroup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436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First-line chemotherapy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1.00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  <w:t>1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  <w:p>
            <w:pPr>
              <w:spacing w:line="240" w:lineRule="auto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1000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First-line PD-1-mAb combined anti-angiogenesisTKI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0.45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</w:rPr>
              <w:t>(0.27, 0.74)</w:t>
            </w:r>
          </w:p>
          <w:p>
            <w:pPr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  <w:t>0.</w:t>
            </w: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</w:rPr>
              <w:t>02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 w:bidi="ar"/>
              </w:rPr>
              <w:t>0.468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 w:bidi="ar"/>
              </w:rPr>
              <w:t>(0.28,0.79)</w:t>
            </w: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 w:bidi="ar"/>
              </w:rPr>
              <w:t>0.005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0.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65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(0.3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, 1.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18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-11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0.156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0.71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(0.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39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 xml:space="preserve">, 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1.29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)</w:t>
            </w: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pStyle w:val="3"/>
              <w:tabs>
                <w:tab w:val="left" w:pos="3812"/>
                <w:tab w:val="left" w:pos="4352"/>
                <w:tab w:val="left" w:pos="5593"/>
              </w:tabs>
              <w:spacing w:line="240" w:lineRule="auto"/>
              <w:jc w:val="left"/>
              <w:rPr>
                <w:rFonts w:hAnsi="华文宋体" w:eastAsia="华文宋体" w:cs="华文宋体" w:asciiTheme="minorHAnsi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10"/>
                <w:sz w:val="15"/>
                <w:szCs w:val="15"/>
                <w:highlight w:val="none"/>
              </w:rPr>
              <w:t>0.</w:t>
            </w:r>
            <w:r>
              <w:rPr>
                <w:rFonts w:hint="eastAsia" w:hAnsi="华文宋体" w:eastAsia="华文宋体" w:cs="华文宋体" w:asciiTheme="minorHAnsi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257</w:t>
            </w:r>
          </w:p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3" w:type="dxa"/>
          <w:trHeight w:val="864" w:hRule="exact"/>
        </w:trPr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First-line PD-1-mAb combined chemotherapy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0.72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0.46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 xml:space="preserve">, 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1.13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)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0.155</w:t>
            </w:r>
          </w:p>
        </w:tc>
        <w:tc>
          <w:tcPr>
            <w:tcW w:w="690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 w:bidi="ar"/>
              </w:rPr>
              <w:t>0.756</w:t>
            </w:r>
          </w:p>
        </w:tc>
        <w:tc>
          <w:tcPr>
            <w:tcW w:w="1195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 w:bidi="ar"/>
              </w:rPr>
              <w:t>(0.47,1.21)</w:t>
            </w:r>
          </w:p>
        </w:tc>
        <w:tc>
          <w:tcPr>
            <w:tcW w:w="702" w:type="dxa"/>
            <w:tcBorders>
              <w:tl2br w:val="nil"/>
              <w:tr2bl w:val="nil"/>
            </w:tcBorders>
          </w:tcPr>
          <w:p>
            <w:pPr>
              <w:widowControl/>
              <w:spacing w:line="240" w:lineRule="auto"/>
              <w:jc w:val="left"/>
              <w:rPr>
                <w:rFonts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hAnsi="华文宋体" w:eastAsia="华文宋体" w:cs="华文宋体"/>
                <w:color w:val="auto"/>
                <w:w w:val="105"/>
                <w:sz w:val="15"/>
                <w:szCs w:val="15"/>
                <w:highlight w:val="none"/>
                <w:lang w:eastAsia="en-US" w:bidi="ar"/>
              </w:rPr>
              <w:t>0.24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0.53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ab/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(0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31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0.92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)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-420" w:leftChars="-200" w:right="47"/>
              <w:jc w:val="righ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10"/>
                <w:sz w:val="15"/>
                <w:szCs w:val="15"/>
                <w:highlight w:val="none"/>
              </w:rPr>
              <w:t>0.</w:t>
            </w:r>
            <w:r>
              <w:rPr>
                <w:rFonts w:hint="eastAsia" w:hAnsi="华文宋体" w:eastAsia="华文宋体" w:cs="华文宋体" w:asciiTheme="minorHAnsi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023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right="47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zh-CN"/>
              </w:rPr>
              <w:t>0.55</w:t>
            </w:r>
          </w:p>
        </w:tc>
        <w:tc>
          <w:tcPr>
            <w:tcW w:w="1025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lef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</w:pP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(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0.32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 xml:space="preserve">, </w:t>
            </w:r>
            <w:r>
              <w:rPr>
                <w:rFonts w:hint="eastAsia"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  <w:t>0.96</w:t>
            </w:r>
            <w:r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  <w:lang w:eastAsia="en-US"/>
              </w:rPr>
              <w:t>)</w:t>
            </w:r>
          </w:p>
        </w:tc>
        <w:tc>
          <w:tcPr>
            <w:tcW w:w="616" w:type="dxa"/>
            <w:tcBorders>
              <w:tl2br w:val="nil"/>
              <w:tr2bl w:val="nil"/>
            </w:tcBorders>
          </w:tcPr>
          <w:p>
            <w:pPr>
              <w:pStyle w:val="13"/>
              <w:spacing w:line="240" w:lineRule="auto"/>
              <w:ind w:left="-420" w:leftChars="-200" w:right="47"/>
              <w:jc w:val="right"/>
              <w:rPr>
                <w:rFonts w:ascii="Times New Roman" w:hAnsi="Times New Roman" w:eastAsia="华文宋体" w:cs="Times New Roman"/>
                <w:color w:val="auto"/>
                <w:w w:val="110"/>
                <w:sz w:val="15"/>
                <w:szCs w:val="15"/>
                <w:highlight w:val="none"/>
              </w:rPr>
            </w:pPr>
            <w:r>
              <w:rPr>
                <w:rFonts w:hint="eastAsia" w:hAnsi="华文宋体" w:eastAsia="华文宋体" w:cs="华文宋体" w:asciiTheme="minorHAnsi"/>
                <w:color w:val="auto"/>
                <w:w w:val="110"/>
                <w:sz w:val="15"/>
                <w:szCs w:val="15"/>
                <w:highlight w:val="none"/>
              </w:rPr>
              <w:t>0.034</w:t>
            </w:r>
            <w:r>
              <w:rPr>
                <w:rFonts w:hint="eastAsia" w:hAnsi="华文宋体" w:eastAsia="华文宋体" w:cs="华文宋体" w:asciiTheme="minorHAnsi"/>
                <w:color w:val="auto"/>
                <w:w w:val="110"/>
                <w:sz w:val="15"/>
                <w:szCs w:val="15"/>
                <w:highlight w:val="none"/>
              </w:rPr>
              <w:tab/>
            </w:r>
          </w:p>
        </w:tc>
      </w:tr>
    </w:tbl>
    <w:p>
      <w:pPr>
        <w:spacing w:line="240" w:lineRule="auto"/>
        <w:rPr>
          <w:rFonts w:hint="eastAsia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cs="Times New Roman"/>
          <w:color w:val="auto"/>
          <w:highlight w:val="none"/>
        </w:rPr>
        <w:t>Note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: P-value &lt; 0.05 is statistically significant in both univariate and multivariate analyses. </w:t>
      </w:r>
    </w:p>
    <w:p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</w:rPr>
        <w:t xml:space="preserve">Abbreviations: 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P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FS, disease-free survival; OS,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overall survival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; </w:t>
      </w:r>
      <w:r>
        <w:rPr>
          <w:rFonts w:hint="eastAsia" w:ascii="Times New Roman" w:hAnsi="Times New Roman" w:cs="Times New Roman"/>
          <w:color w:val="auto"/>
          <w:highlight w:val="none"/>
        </w:rPr>
        <w:t>HR, hazard rate; CI, confidence interval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; ECOG PS, eastern cooperative oncology group performance status; PD-1-mAb, programmed cell death-1 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monoclonal antibody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HBV, 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h</w:t>
      </w:r>
      <w:r>
        <w:rPr>
          <w:rFonts w:hint="eastAsia" w:ascii="Times New Roman" w:hAnsi="Times New Roman" w:cs="Times New Roman"/>
          <w:color w:val="auto"/>
          <w:highlight w:val="none"/>
        </w:rPr>
        <w:t>epatitis B virus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; ICC, Intrahepatic cholangiocarcinoma. </w:t>
      </w:r>
    </w:p>
    <w:p>
      <w:pPr>
        <w:spacing w:line="240" w:lineRule="auto"/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spacing w:line="480" w:lineRule="auto"/>
        <w:rPr>
          <w:rFonts w:ascii="Times New Roman" w:hAnsi="Times New Roman" w:eastAsia="ITC Stone Sans" w:cs="Times New Roman"/>
          <w:color w:val="auto"/>
          <w:kern w:val="0"/>
          <w:sz w:val="24"/>
          <w:highlight w:val="none"/>
        </w:rPr>
      </w:pPr>
      <w:r>
        <w:rPr>
          <w:rFonts w:ascii="Times New Roman" w:hAnsi="Times New Roman" w:eastAsia="ITC Stone Sans" w:cs="Times New Roman"/>
          <w:b/>
          <w:bCs/>
          <w:color w:val="auto"/>
          <w:kern w:val="0"/>
          <w:sz w:val="24"/>
          <w:highlight w:val="none"/>
        </w:rPr>
        <w:t xml:space="preserve">Supplement Table 2. </w:t>
      </w:r>
      <w:r>
        <w:rPr>
          <w:rFonts w:ascii="Times New Roman" w:hAnsi="Times New Roman" w:eastAsia="ITC Stone Sans" w:cs="Times New Roman"/>
          <w:color w:val="auto"/>
          <w:kern w:val="0"/>
          <w:sz w:val="24"/>
          <w:highlight w:val="none"/>
        </w:rPr>
        <w:t xml:space="preserve">Patient clinicopathological characteristics of the second-line therapy subgroups. </w:t>
      </w:r>
    </w:p>
    <w:tbl>
      <w:tblPr>
        <w:tblStyle w:val="8"/>
        <w:tblpPr w:leftFromText="180" w:rightFromText="180" w:vertAnchor="text" w:horzAnchor="page" w:tblpX="577" w:tblpY="315"/>
        <w:tblOverlap w:val="never"/>
        <w:tblW w:w="953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1"/>
        <w:gridCol w:w="1678"/>
        <w:gridCol w:w="1604"/>
        <w:gridCol w:w="1852"/>
        <w:gridCol w:w="1692"/>
        <w:gridCol w:w="8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82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3"/>
              <w:rPr>
                <w:rFonts w:ascii="Times New Roman" w:hAnsi="Times New Roman" w:cs="Times New Roman"/>
                <w:color w:val="auto"/>
                <w:sz w:val="12"/>
                <w:highlight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3"/>
              <w:spacing w:line="166" w:lineRule="exact"/>
              <w:ind w:left="104" w:right="104"/>
              <w:jc w:val="center"/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</w:rPr>
              <w:t>Total</w:t>
            </w:r>
          </w:p>
          <w:p>
            <w:pPr>
              <w:pStyle w:val="13"/>
              <w:spacing w:line="166" w:lineRule="exact"/>
              <w:ind w:left="104" w:right="104"/>
              <w:jc w:val="center"/>
              <w:rPr>
                <w:rFonts w:ascii="Times New Roman" w:hAnsi="Times New Roman" w:cs="Times New Roman" w:eastAsiaTheme="minorEastAsia"/>
                <w:b/>
                <w:color w:val="auto"/>
                <w:sz w:val="16"/>
                <w:highlight w:val="none"/>
                <w:lang w:eastAsia="zh-CN"/>
              </w:rPr>
            </w:pPr>
          </w:p>
        </w:tc>
        <w:tc>
          <w:tcPr>
            <w:tcW w:w="160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3"/>
              <w:spacing w:line="166" w:lineRule="exact"/>
              <w:ind w:left="104" w:right="104"/>
              <w:jc w:val="center"/>
              <w:rPr>
                <w:rFonts w:ascii="Times New Roman" w:hAnsi="Times New Roman" w:cs="Times New Roman" w:eastAsiaTheme="minorEastAsia"/>
                <w:b/>
                <w:color w:val="auto"/>
                <w:w w:val="125"/>
                <w:sz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 xml:space="preserve">Second-line PD-1-mAb 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>+</w:t>
            </w:r>
            <w:r>
              <w:rPr>
                <w:rFonts w:hint="eastAsia"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>anti-</w:t>
            </w: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>angiogenesis TKI</w:t>
            </w:r>
          </w:p>
        </w:tc>
        <w:tc>
          <w:tcPr>
            <w:tcW w:w="185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3"/>
              <w:spacing w:line="166" w:lineRule="exact"/>
              <w:ind w:left="104" w:right="104"/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 xml:space="preserve">Second-line </w:t>
            </w: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 xml:space="preserve">PD-1-mAb </w:t>
            </w:r>
            <w:r>
              <w:rPr>
                <w:rFonts w:hint="eastAsia"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>+chemotherapy</w:t>
            </w: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 xml:space="preserve"> </w:t>
            </w:r>
          </w:p>
        </w:tc>
        <w:tc>
          <w:tcPr>
            <w:tcW w:w="169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3"/>
              <w:spacing w:line="166" w:lineRule="exact"/>
              <w:ind w:left="104" w:right="104"/>
              <w:jc w:val="center"/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  <w:lang w:eastAsia="zh-CN"/>
              </w:rPr>
              <w:t>Second-line chemotherapy</w:t>
            </w:r>
          </w:p>
        </w:tc>
        <w:tc>
          <w:tcPr>
            <w:tcW w:w="89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3"/>
              <w:spacing w:line="166" w:lineRule="exact"/>
              <w:ind w:left="104" w:right="104"/>
              <w:jc w:val="center"/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5"/>
                <w:sz w:val="16"/>
                <w:highlight w:val="none"/>
              </w:rPr>
              <w:t>P-values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821" w:type="dxa"/>
            <w:tcBorders>
              <w:top w:val="single" w:color="000000" w:sz="4" w:space="0"/>
              <w:bottom w:val="nil"/>
            </w:tcBorders>
          </w:tcPr>
          <w:p>
            <w:pPr>
              <w:pStyle w:val="13"/>
              <w:spacing w:before="11" w:line="240" w:lineRule="auto"/>
              <w:ind w:left="104" w:right="105"/>
              <w:jc w:val="left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Age</w:t>
            </w:r>
          </w:p>
        </w:tc>
        <w:tc>
          <w:tcPr>
            <w:tcW w:w="1678" w:type="dxa"/>
            <w:tcBorders>
              <w:top w:val="single" w:color="000000" w:sz="4" w:space="0"/>
              <w:bottom w:val="nil"/>
            </w:tcBorders>
          </w:tcPr>
          <w:p>
            <w:pPr>
              <w:pStyle w:val="13"/>
              <w:spacing w:before="11" w:line="240" w:lineRule="auto"/>
              <w:ind w:left="104" w:right="105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bottom w:val="nil"/>
            </w:tcBorders>
          </w:tcPr>
          <w:p>
            <w:pPr>
              <w:pStyle w:val="13"/>
              <w:spacing w:before="11" w:line="240" w:lineRule="auto"/>
              <w:ind w:left="104" w:right="105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single" w:color="000000" w:sz="4" w:space="0"/>
              <w:bottom w:val="nil"/>
            </w:tcBorders>
          </w:tcPr>
          <w:p>
            <w:pPr>
              <w:pStyle w:val="13"/>
              <w:spacing w:before="11" w:line="240" w:lineRule="auto"/>
              <w:ind w:left="104" w:right="105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w w:val="110"/>
                <w:sz w:val="16"/>
                <w:highlight w:val="none"/>
                <w:lang w:eastAsia="zh-CN"/>
              </w:rPr>
              <w:t>343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5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Median (Range)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55.00(29.00, 88.00)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52.50(29.00, 88.00)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54.50(29.00, 70.00)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57.00(37.00, 76.00)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Times New Roman" w:cs="Times New Roman"/>
                <w:b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highlight w:val="none"/>
              </w:rPr>
              <w:t>Gender (n, %)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0.819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Male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55 (67.90)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14 (63.64)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12 (66.67)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29 (70.73)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Female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26 (32.10)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8 (36.36)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6 (33.33)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12 (29.27)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highlight w:val="none"/>
              </w:rPr>
              <w:t>ECOG PS (n, %)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0.188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0 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60 (74.07)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13 (59.09)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14 (77.78)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33 (80.49)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1-2 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21 (25.93)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9 (40.91)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4 (22.22)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8 (19.51)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Times New Roman" w:cs="Times New Roman"/>
                <w:b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highlight w:val="none"/>
              </w:rPr>
              <w:t>HBV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egative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54 (6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6.67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12 (54.55)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14 (77.78)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28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68.29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ositive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25 (3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0.86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10 (45.45)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4 (22.22)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11 (2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6.83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Missing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2(2.47)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0(0.0)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0(0.0)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2(4.88)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highlight w:val="none"/>
              </w:rPr>
              <w:t>Primary tumor location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0.857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 xml:space="preserve">ICC 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56 (69.14)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16 (72.73)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13 (72.22)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27 (65.85)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Others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25 (30.86)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6 (27.27)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 (27.78)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14 (34.15)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  <w:t>Differentiation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147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Well differentiated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0.94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 (0.00)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 (0.00)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 (2.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44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Moderately differentiated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24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22.64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7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31.82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27.78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12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29.27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Low / moderately differentiation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34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32.08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11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50.0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6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33.33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17 (4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1.46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Undifferentiated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6 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5.66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 (0.00)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 (0.00)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6 (1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4.63</w:t>
            </w: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</w:rPr>
              <w:t>Missing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26(24.52)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4(18.18)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7(38.89)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6"/>
                <w:highlight w:val="none"/>
                <w:lang w:eastAsia="zh-CN"/>
              </w:rPr>
              <w:t>15(36.59)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宋体" w:cs="Times New Roman"/>
                <w:color w:val="auto"/>
                <w:w w:val="99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  <w:t>Metastatic organs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  <w:lang w:eastAsia="zh-CN"/>
              </w:rPr>
              <w:t xml:space="preserve">              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w w:val="110"/>
                <w:sz w:val="16"/>
                <w:highlight w:val="none"/>
                <w:lang w:eastAsia="zh-CN"/>
              </w:rPr>
              <w:t>0.140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w w:val="99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No metastasis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3 (3.70)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 (0.00)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 (5.56)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w w:val="99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Intrahepatic metastasis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9 (11.11)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3 (13.64)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 (0.00)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w w:val="99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Intrahepatic and other organs metastasis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36 (44.44)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11 (50.00)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 (27.78)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eastAsia="宋体" w:cs="Times New Roman"/>
                <w:color w:val="auto"/>
                <w:w w:val="99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Other organs metastasis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33 (40.74)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8 (36.36)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12 (66.67)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Times New Roman" w:cs="Times New Roman"/>
                <w:b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Cs w:val="21"/>
                <w:highlight w:val="none"/>
              </w:rPr>
              <w:t>Number of metastatic organs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w w:val="110"/>
                <w:sz w:val="16"/>
                <w:highlight w:val="none"/>
                <w:lang w:eastAsia="zh-CN"/>
              </w:rPr>
              <w:t>226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0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3 (3.70)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0 (0.00)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 (5.56)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554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 (4.88)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28 (34.57)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6 (27.27)</w:t>
            </w:r>
          </w:p>
        </w:tc>
        <w:tc>
          <w:tcPr>
            <w:tcW w:w="1852" w:type="dxa"/>
            <w:tcBorders>
              <w:top w:val="nil"/>
              <w:bottom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8 (44.44)</w:t>
            </w:r>
          </w:p>
        </w:tc>
        <w:tc>
          <w:tcPr>
            <w:tcW w:w="1692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14 (34.15)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1821" w:type="dxa"/>
            <w:tcBorders>
              <w:top w:val="nil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678" w:type="dxa"/>
            <w:tcBorders>
              <w:top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26 (32.10)</w:t>
            </w:r>
          </w:p>
        </w:tc>
        <w:tc>
          <w:tcPr>
            <w:tcW w:w="1604" w:type="dxa"/>
            <w:tcBorders>
              <w:top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7 (31.82)</w:t>
            </w:r>
          </w:p>
        </w:tc>
        <w:tc>
          <w:tcPr>
            <w:tcW w:w="1852" w:type="dxa"/>
            <w:tcBorders>
              <w:top w:val="nil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4 (22.22)</w:t>
            </w:r>
          </w:p>
        </w:tc>
        <w:tc>
          <w:tcPr>
            <w:tcW w:w="1692" w:type="dxa"/>
            <w:tcBorders>
              <w:top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15 (36.59)</w:t>
            </w:r>
          </w:p>
        </w:tc>
        <w:tc>
          <w:tcPr>
            <w:tcW w:w="890" w:type="dxa"/>
            <w:tcBorders>
              <w:top w:val="nil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1821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678" w:type="dxa"/>
            <w:tcBorders>
              <w:top w:val="nil"/>
              <w:bottom w:val="single" w:color="auto" w:sz="4" w:space="0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21 (25.93)</w:t>
            </w:r>
          </w:p>
        </w:tc>
        <w:tc>
          <w:tcPr>
            <w:tcW w:w="1604" w:type="dxa"/>
            <w:tcBorders>
              <w:top w:val="nil"/>
              <w:bottom w:val="single" w:color="auto" w:sz="4" w:space="0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7 (31.82)</w:t>
            </w:r>
          </w:p>
        </w:tc>
        <w:tc>
          <w:tcPr>
            <w:tcW w:w="1852" w:type="dxa"/>
            <w:tcBorders>
              <w:top w:val="nil"/>
              <w:bottom w:val="single" w:color="auto" w:sz="4" w:space="0"/>
            </w:tcBorders>
          </w:tcPr>
          <w:p>
            <w:pPr>
              <w:pStyle w:val="13"/>
              <w:spacing w:before="11" w:line="240" w:lineRule="auto"/>
              <w:ind w:left="104" w:right="104"/>
              <w:jc w:val="center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5 (27.78)</w:t>
            </w:r>
          </w:p>
        </w:tc>
        <w:tc>
          <w:tcPr>
            <w:tcW w:w="1692" w:type="dxa"/>
            <w:tcBorders>
              <w:top w:val="nil"/>
              <w:bottom w:val="single" w:color="auto" w:sz="4" w:space="0"/>
            </w:tcBorders>
          </w:tcPr>
          <w:p>
            <w:pPr>
              <w:pStyle w:val="13"/>
              <w:spacing w:line="240" w:lineRule="auto"/>
              <w:ind w:left="512"/>
              <w:rPr>
                <w:rFonts w:ascii="Times New Roman" w:hAnsi="Times New Roman" w:cs="Times New Roman"/>
                <w:color w:val="auto"/>
                <w:sz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  <w:t>9 (21.95)</w:t>
            </w:r>
          </w:p>
        </w:tc>
        <w:tc>
          <w:tcPr>
            <w:tcW w:w="890" w:type="dxa"/>
            <w:tcBorders>
              <w:top w:val="nil"/>
              <w:bottom w:val="single" w:color="auto" w:sz="4" w:space="0"/>
            </w:tcBorders>
          </w:tcPr>
          <w:p>
            <w:pPr>
              <w:pStyle w:val="13"/>
              <w:spacing w:line="240" w:lineRule="auto"/>
              <w:ind w:left="470"/>
              <w:rPr>
                <w:rFonts w:ascii="Times New Roman" w:hAnsi="Times New Roman" w:cs="Times New Roman"/>
                <w:color w:val="auto"/>
                <w:w w:val="110"/>
                <w:sz w:val="16"/>
                <w:highlight w:val="none"/>
              </w:rPr>
            </w:pPr>
          </w:p>
        </w:tc>
      </w:tr>
    </w:tbl>
    <w:p>
      <w:pPr>
        <w:spacing w:line="240" w:lineRule="auto"/>
        <w:rPr>
          <w:rFonts w:hint="eastAsia"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hint="eastAsia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cs="Times New Roman"/>
          <w:color w:val="auto"/>
          <w:highlight w:val="none"/>
        </w:rPr>
        <w:t xml:space="preserve">Notes: values are presented as the median (range) or n (%). 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Abbreviations: </w:t>
      </w:r>
      <w:r>
        <w:rPr>
          <w:rFonts w:hint="eastAsia" w:ascii="Times New Roman" w:hAnsi="Times New Roman" w:cs="Times New Roman"/>
          <w:b w:val="0"/>
          <w:i w:val="0"/>
          <w:color w:val="auto"/>
          <w:kern w:val="2"/>
          <w:sz w:val="21"/>
          <w:szCs w:val="24"/>
          <w:highlight w:val="none"/>
          <w:lang w:val="en-US" w:eastAsia="zh-CN" w:bidi="ar-SA"/>
        </w:rPr>
        <w:t>PD-1-mAb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, programmed cell death-1 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monoclonal antibody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; ECOG PS, </w:t>
      </w:r>
      <w:r>
        <w:rPr>
          <w:rFonts w:hint="eastAsia" w:ascii="Times New Roman" w:hAnsi="Times New Roman" w:cs="Times New Roman"/>
          <w:b w:val="0"/>
          <w:i w:val="0"/>
          <w:color w:val="auto"/>
          <w:kern w:val="2"/>
          <w:sz w:val="21"/>
          <w:szCs w:val="24"/>
          <w:highlight w:val="none"/>
          <w:lang w:val="en-US" w:eastAsia="zh-CN" w:bidi="ar-SA"/>
        </w:rPr>
        <w:t>eastern cooperative oncology group performance status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;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 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TKI, tyrosine kinase inhibitor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; HBV ,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  <w:t>h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epatitis B virus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; 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ICC, Intrahepatic cholangiocarcinoma.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both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spacing w:line="240" w:lineRule="auto"/>
        <w:rPr>
          <w:rFonts w:ascii="Times New Roman" w:hAnsi="Times New Roman" w:cs="Times New Roman"/>
          <w:color w:val="auto"/>
          <w:highlight w:val="none"/>
        </w:rPr>
      </w:pPr>
    </w:p>
    <w:p>
      <w:pPr>
        <w:widowControl/>
        <w:adjustRightInd w:val="0"/>
        <w:snapToGrid w:val="0"/>
        <w:spacing w:line="480" w:lineRule="auto"/>
        <w:jc w:val="left"/>
        <w:rPr>
          <w:rFonts w:hint="eastAsia"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eastAsia="ITC Stone Sans" w:cs="Times New Roman"/>
          <w:b/>
          <w:bCs/>
          <w:color w:val="auto"/>
          <w:kern w:val="0"/>
          <w:sz w:val="24"/>
          <w:highlight w:val="none"/>
        </w:rPr>
        <w:t xml:space="preserve">Supplement Table 3. </w:t>
      </w:r>
      <w:r>
        <w:rPr>
          <w:rFonts w:ascii="Times New Roman" w:hAnsi="Times New Roman" w:eastAsia="ITC Stone Sans" w:cs="Times New Roman"/>
          <w:color w:val="auto"/>
          <w:kern w:val="0"/>
          <w:sz w:val="24"/>
          <w:highlight w:val="none"/>
        </w:rPr>
        <w:t>Univariable and Multivariable Cox Proportional Hazards</w:t>
      </w:r>
      <w:r>
        <w:rPr>
          <w:rFonts w:hint="eastAsia" w:ascii="Times New Roman" w:hAnsi="Times New Roman" w:eastAsia="ITC Stone Sans" w:cs="Times New Roman"/>
          <w:color w:val="auto"/>
          <w:kern w:val="0"/>
          <w:sz w:val="24"/>
          <w:highlight w:val="none"/>
          <w:lang w:val="en-US" w:eastAsia="zh-CN"/>
        </w:rPr>
        <w:t xml:space="preserve"> r</w:t>
      </w:r>
      <w:r>
        <w:rPr>
          <w:rFonts w:ascii="Times New Roman" w:hAnsi="Times New Roman" w:eastAsia="ITC Stone Sans" w:cs="Times New Roman"/>
          <w:color w:val="auto"/>
          <w:kern w:val="0"/>
          <w:sz w:val="24"/>
          <w:highlight w:val="none"/>
        </w:rPr>
        <w:t>egression Analyses for PFS and OS of the second-line therapy subgroup</w:t>
      </w:r>
      <w:r>
        <w:rPr>
          <w:rFonts w:hint="eastAsia" w:ascii="Times New Roman" w:hAnsi="Times New Roman" w:eastAsia="ITC Stone Sans" w:cs="Times New Roman"/>
          <w:color w:val="auto"/>
          <w:kern w:val="0"/>
          <w:sz w:val="24"/>
          <w:highlight w:val="none"/>
          <w:lang w:val="en-US" w:eastAsia="zh-CN"/>
        </w:rPr>
        <w:t>.</w:t>
      </w:r>
    </w:p>
    <w:tbl>
      <w:tblPr>
        <w:tblStyle w:val="9"/>
        <w:tblW w:w="105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639"/>
        <w:gridCol w:w="1091"/>
        <w:gridCol w:w="669"/>
        <w:gridCol w:w="599"/>
        <w:gridCol w:w="1018"/>
        <w:gridCol w:w="720"/>
        <w:gridCol w:w="650"/>
        <w:gridCol w:w="982"/>
        <w:gridCol w:w="78"/>
        <w:gridCol w:w="630"/>
        <w:gridCol w:w="528"/>
        <w:gridCol w:w="911"/>
        <w:gridCol w:w="57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exact"/>
          <w:jc w:val="center"/>
        </w:trPr>
        <w:tc>
          <w:tcPr>
            <w:tcW w:w="1429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36" w:type="dxa"/>
            <w:gridSpan w:val="6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PFS</w:t>
            </w:r>
          </w:p>
        </w:tc>
        <w:tc>
          <w:tcPr>
            <w:tcW w:w="4357" w:type="dxa"/>
            <w:gridSpan w:val="7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OS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exact"/>
          <w:jc w:val="center"/>
        </w:trPr>
        <w:tc>
          <w:tcPr>
            <w:tcW w:w="1429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99" w:type="dxa"/>
            <w:gridSpan w:val="3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Univariable</w:t>
            </w:r>
          </w:p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2337" w:type="dxa"/>
            <w:gridSpan w:val="3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Multivariable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2340" w:type="dxa"/>
            <w:gridSpan w:val="4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Univariable</w:t>
            </w:r>
          </w:p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2017" w:type="dxa"/>
            <w:gridSpan w:val="3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Multivariable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429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Variables</w:t>
            </w:r>
          </w:p>
        </w:tc>
        <w:tc>
          <w:tcPr>
            <w:tcW w:w="639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HR</w:t>
            </w:r>
          </w:p>
        </w:tc>
        <w:tc>
          <w:tcPr>
            <w:tcW w:w="1091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95% CI</w:t>
            </w:r>
          </w:p>
        </w:tc>
        <w:tc>
          <w:tcPr>
            <w:tcW w:w="669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P-values</w:t>
            </w:r>
          </w:p>
        </w:tc>
        <w:tc>
          <w:tcPr>
            <w:tcW w:w="599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HR</w:t>
            </w:r>
          </w:p>
        </w:tc>
        <w:tc>
          <w:tcPr>
            <w:tcW w:w="1018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95% CI</w:t>
            </w:r>
          </w:p>
        </w:tc>
        <w:tc>
          <w:tcPr>
            <w:tcW w:w="720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P-values</w:t>
            </w:r>
          </w:p>
        </w:tc>
        <w:tc>
          <w:tcPr>
            <w:tcW w:w="650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HR</w:t>
            </w:r>
          </w:p>
        </w:tc>
        <w:tc>
          <w:tcPr>
            <w:tcW w:w="982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95% CI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P-values</w:t>
            </w:r>
          </w:p>
        </w:tc>
        <w:tc>
          <w:tcPr>
            <w:tcW w:w="528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HR</w:t>
            </w:r>
          </w:p>
        </w:tc>
        <w:tc>
          <w:tcPr>
            <w:tcW w:w="911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95% CI</w:t>
            </w:r>
          </w:p>
        </w:tc>
        <w:tc>
          <w:tcPr>
            <w:tcW w:w="578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P-values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before="3" w:line="240" w:lineRule="auto"/>
              <w:ind w:right="117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  <w:t>Age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(0.98, 1.02)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0.732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1.01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(0.99, 1.03)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0.257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highlight w:val="none"/>
              </w:rPr>
              <w:t>Gender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Male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Female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1.31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(0.86, 2.01)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0.206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0.87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(0.54, 1.38)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0.545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rPr>
                <w:rFonts w:hint="default" w:ascii="Times New Roman" w:hAnsi="Times New Roman" w:eastAsia="宋体" w:cs="Times New Roman"/>
                <w:b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ECOG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w w:val="120"/>
                <w:sz w:val="16"/>
                <w:szCs w:val="16"/>
                <w:highlight w:val="none"/>
                <w:lang w:val="en-US" w:eastAsia="zh-CN"/>
              </w:rPr>
              <w:t xml:space="preserve"> PS</w:t>
            </w:r>
          </w:p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w w:val="105"/>
                <w:sz w:val="16"/>
                <w:szCs w:val="16"/>
                <w:highlight w:val="none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w w:val="105"/>
                <w:sz w:val="16"/>
                <w:szCs w:val="16"/>
                <w:highlight w:val="none"/>
              </w:rPr>
              <w:t>1-2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1.17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(0.73, 1.87)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0.508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1.32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(0.80, 2.15)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0.275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  <w:lang w:eastAsia="zh-CN"/>
              </w:rPr>
              <w:t>HBV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egative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0.984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1.00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0.829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ositive</w:t>
            </w:r>
          </w:p>
        </w:tc>
        <w:tc>
          <w:tcPr>
            <w:tcW w:w="63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(0.59,1.67)</w:t>
            </w: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0.985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eastAsia="zh-CN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(0.5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1.49)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0.604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Missing</w:t>
            </w:r>
          </w:p>
        </w:tc>
        <w:tc>
          <w:tcPr>
            <w:tcW w:w="63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1.13</w:t>
            </w:r>
          </w:p>
        </w:tc>
        <w:tc>
          <w:tcPr>
            <w:tcW w:w="1091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(0.27,4.84)</w:t>
            </w: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0.865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1.15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(0.27,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4.98)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0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Primary tumor location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 xml:space="preserve">ICC 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Others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1.10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(0.69, 1.74)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0.685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0.81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(0.49, 1.34)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0.407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Differentiation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Well differentiated</w:t>
            </w:r>
          </w:p>
        </w:tc>
        <w:tc>
          <w:tcPr>
            <w:tcW w:w="63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0.224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1.00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0.529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Moderately differentiated</w:t>
            </w:r>
          </w:p>
        </w:tc>
        <w:tc>
          <w:tcPr>
            <w:tcW w:w="63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2.32</w:t>
            </w:r>
          </w:p>
        </w:tc>
        <w:tc>
          <w:tcPr>
            <w:tcW w:w="1091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(0.30,17.7)</w:t>
            </w: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0.417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(0.27,16.31)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0.480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Low / moderately differentiation</w:t>
            </w:r>
          </w:p>
        </w:tc>
        <w:tc>
          <w:tcPr>
            <w:tcW w:w="63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eastAsia="zh-CN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3.3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91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(0.44,25.18)</w:t>
            </w: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0.244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2.87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(0.38,22.03)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0.310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Undifferentiated</w:t>
            </w:r>
          </w:p>
        </w:tc>
        <w:tc>
          <w:tcPr>
            <w:tcW w:w="63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eastAsia="zh-CN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3.3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91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(0.39,28.93)</w:t>
            </w: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0.273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3.37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(0.39,29.36)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0.271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  <w:highlight w:val="none"/>
              </w:rPr>
              <w:t>Missing</w:t>
            </w:r>
          </w:p>
        </w:tc>
        <w:tc>
          <w:tcPr>
            <w:tcW w:w="63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1091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(0.2,12.58)</w:t>
            </w:r>
          </w:p>
        </w:tc>
        <w:tc>
          <w:tcPr>
            <w:tcW w:w="6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0.658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eastAsia="zh-CN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3.4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(0.44,27.52)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 w:bidi="ar"/>
              </w:rPr>
              <w:t>0.237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Metastatic organs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No metastasis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Intrahepatic metastasis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1.01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(0.29, 3.46)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0.991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1.69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(0.43, 6.65)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0.451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Intrahepatic and other organs metastasis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1.42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(0.51, 3.97)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0.506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1.56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(0.47, 5.11)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0.464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widowControl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Other organs metastasis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1.08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(0.39, 3.05)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0.878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1.62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(0.49, 5.32)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0.429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  <w:lang w:eastAsia="zh-CN"/>
              </w:rPr>
              <w:t>Number of metastatic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w w:val="120"/>
                <w:sz w:val="16"/>
                <w:szCs w:val="16"/>
                <w:highlight w:val="none"/>
                <w:lang w:eastAsia="zh-CN"/>
              </w:rPr>
              <w:t>organs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/>
              </w:rPr>
              <w:t>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/>
              </w:rPr>
              <w:t>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  <w:t>1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1.14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(0.40, 3.22)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ab/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0.805</w:t>
            </w:r>
          </w:p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0.805</w:t>
            </w:r>
          </w:p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22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1.91</w:t>
            </w: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（0.56，6.52）</w:t>
            </w: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0.</w:t>
            </w: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30</w:t>
            </w: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1.63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(0.49, 5.38)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0.425</w:t>
            </w:r>
          </w:p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  <w:t>2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1.05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(0.37, 3.03)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0.923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1.64</w:t>
            </w: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（0.48，5.65）</w:t>
            </w: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.</w:t>
            </w: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43</w:t>
            </w: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1.37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(0.41, 4.62)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0.608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before="3" w:line="240" w:lineRule="auto"/>
              <w:ind w:right="117"/>
              <w:jc w:val="right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  <w:t>3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1.49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(0.51, 4.34)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0.466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2.68</w:t>
            </w: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（0.75，9.56）</w:t>
            </w: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0</w:t>
            </w: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.13</w:t>
            </w: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1.76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(0.51, 6.02)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0.371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  <w:jc w:val="center"/>
        </w:trPr>
        <w:tc>
          <w:tcPr>
            <w:tcW w:w="1429" w:type="dxa"/>
            <w:vAlign w:val="top"/>
          </w:tcPr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16"/>
                <w:szCs w:val="16"/>
                <w:highlight w:val="none"/>
                <w:lang w:eastAsia="zh-CN"/>
              </w:rPr>
              <w:t>4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3.73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(0.98, 14.15)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0.053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16.6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 xml:space="preserve"> </w:t>
            </w: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（2.8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 xml:space="preserve">, </w:t>
            </w: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98.4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 xml:space="preserve">) </w:t>
            </w:r>
          </w:p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.00</w:t>
            </w:r>
            <w:r>
              <w:rPr>
                <w:rFonts w:hint="eastAsia"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2</w:t>
            </w: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3.08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(0.68, 14.06)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0.146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4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b/>
                <w:color w:val="auto"/>
                <w:w w:val="120"/>
                <w:sz w:val="16"/>
                <w:szCs w:val="16"/>
                <w:highlight w:val="none"/>
              </w:rPr>
              <w:t>The second-line therapy subgroup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4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  <w:t>Second-line chemotherapy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1.00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4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cs="Times New Roman"/>
                <w:color w:val="auto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3"/>
                <w:szCs w:val="13"/>
                <w:highlight w:val="none"/>
              </w:rPr>
              <w:t>Second-line PD-1-mAb combined anti-</w:t>
            </w:r>
            <w:r>
              <w:rPr>
                <w:rFonts w:ascii="Arial" w:hAnsi="Arial" w:eastAsia="宋体" w:cs="Arial"/>
                <w:color w:val="auto"/>
                <w:sz w:val="13"/>
                <w:szCs w:val="13"/>
                <w:highlight w:val="none"/>
                <w:shd w:val="clear" w:color="auto" w:fill="FFFFFF"/>
              </w:rPr>
              <w:t>angiogenesis</w:t>
            </w:r>
            <w:r>
              <w:rPr>
                <w:rFonts w:ascii="Times New Roman" w:hAnsi="Times New Roman" w:cs="Times New Roman"/>
                <w:color w:val="auto"/>
                <w:sz w:val="13"/>
                <w:szCs w:val="13"/>
                <w:highlight w:val="none"/>
              </w:rPr>
              <w:t xml:space="preserve"> TKI group</w:t>
            </w:r>
          </w:p>
        </w:tc>
        <w:tc>
          <w:tcPr>
            <w:tcW w:w="63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0.45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25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0.82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 xml:space="preserve">)   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009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0.32</w:t>
            </w: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(0.16,0.62)</w:t>
            </w: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0.001</w:t>
            </w: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0.62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.33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1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17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val="en-US" w:eastAsia="zh-CN"/>
              </w:rPr>
              <w:t>0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142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3"/>
                <w:szCs w:val="13"/>
                <w:highlight w:val="none"/>
              </w:rPr>
              <w:t>Second-line PD-1-mAb combined chemotherapy group</w:t>
            </w:r>
          </w:p>
        </w:tc>
        <w:tc>
          <w:tcPr>
            <w:tcW w:w="639" w:type="dxa"/>
            <w:vAlign w:val="top"/>
          </w:tcPr>
          <w:p>
            <w:pPr>
              <w:pStyle w:val="13"/>
              <w:spacing w:line="240" w:lineRule="auto"/>
              <w:ind w:right="117"/>
              <w:jc w:val="right"/>
              <w:rPr>
                <w:rFonts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  <w:lang w:eastAsia="zh-CN"/>
              </w:rPr>
              <w:t>0.54</w:t>
            </w:r>
          </w:p>
        </w:tc>
        <w:tc>
          <w:tcPr>
            <w:tcW w:w="109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0.30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, 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0.98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)  </w:t>
            </w:r>
          </w:p>
        </w:tc>
        <w:tc>
          <w:tcPr>
            <w:tcW w:w="66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  0.0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44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 </w:t>
            </w:r>
          </w:p>
        </w:tc>
        <w:tc>
          <w:tcPr>
            <w:tcW w:w="599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0.49</w:t>
            </w:r>
          </w:p>
        </w:tc>
        <w:tc>
          <w:tcPr>
            <w:tcW w:w="101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(0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.25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,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.92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)</w:t>
            </w:r>
          </w:p>
        </w:tc>
        <w:tc>
          <w:tcPr>
            <w:tcW w:w="72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  <w:t>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.028</w:t>
            </w:r>
          </w:p>
        </w:tc>
        <w:tc>
          <w:tcPr>
            <w:tcW w:w="65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0.82</w:t>
            </w:r>
          </w:p>
        </w:tc>
        <w:tc>
          <w:tcPr>
            <w:tcW w:w="1060" w:type="dxa"/>
            <w:gridSpan w:val="2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(0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.42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1.60</w:t>
            </w: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)</w:t>
            </w:r>
          </w:p>
        </w:tc>
        <w:tc>
          <w:tcPr>
            <w:tcW w:w="630" w:type="dxa"/>
            <w:vAlign w:val="top"/>
          </w:tcPr>
          <w:p>
            <w:pPr>
              <w:spacing w:line="240" w:lineRule="auto"/>
              <w:rPr>
                <w:rFonts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</w:pPr>
            <w:r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  <w:lang w:eastAsia="en-US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w w:val="110"/>
                <w:sz w:val="13"/>
                <w:szCs w:val="13"/>
                <w:highlight w:val="none"/>
              </w:rPr>
              <w:t>.561</w:t>
            </w:r>
          </w:p>
        </w:tc>
        <w:tc>
          <w:tcPr>
            <w:tcW w:w="52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911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  <w:tc>
          <w:tcPr>
            <w:tcW w:w="578" w:type="dxa"/>
            <w:vAlign w:val="top"/>
          </w:tcPr>
          <w:p>
            <w:pPr>
              <w:spacing w:line="240" w:lineRule="auto"/>
              <w:rPr>
                <w:rFonts w:ascii="Times New Roman" w:hAnsi="Times New Roman" w:eastAsia="Palatino Linotype" w:cs="Times New Roman"/>
                <w:color w:val="auto"/>
                <w:w w:val="110"/>
                <w:sz w:val="13"/>
                <w:szCs w:val="13"/>
                <w:highlight w:val="none"/>
              </w:rPr>
            </w:pPr>
          </w:p>
        </w:tc>
      </w:tr>
    </w:tbl>
    <w:p>
      <w:pPr>
        <w:spacing w:line="240" w:lineRule="auto"/>
        <w:rPr>
          <w:rFonts w:hint="eastAsia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cs="Times New Roman"/>
          <w:color w:val="auto"/>
          <w:highlight w:val="none"/>
        </w:rPr>
        <w:t>Note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: P-value &lt; 0.05 is statistically significant in both univariate and multivariate analyses. </w:t>
      </w:r>
    </w:p>
    <w:p>
      <w:pPr>
        <w:spacing w:line="240" w:lineRule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</w:rPr>
        <w:t>Abbreviations: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 P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FS, disease-free survival; OS,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>overall survival</w:t>
      </w:r>
      <w:r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; </w:t>
      </w:r>
      <w:r>
        <w:rPr>
          <w:rFonts w:hint="eastAsia" w:ascii="Times New Roman" w:hAnsi="Times New Roman" w:cs="Times New Roman"/>
          <w:color w:val="auto"/>
          <w:highlight w:val="none"/>
        </w:rPr>
        <w:t>HR, hazard rate; CI, confidence interval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; ECOG PS, eastern cooperative oncology group performance status; PD-1-mAb, programmed cell death-1 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monoclonal antibody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HBV, 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h</w:t>
      </w:r>
      <w:r>
        <w:rPr>
          <w:rFonts w:hint="eastAsia" w:ascii="Times New Roman" w:hAnsi="Times New Roman" w:cs="Times New Roman"/>
          <w:color w:val="auto"/>
          <w:highlight w:val="none"/>
        </w:rPr>
        <w:t>epatitis B virus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; ICC, Intrahepatic cholangiocarcinoma. </w:t>
      </w:r>
    </w:p>
    <w:p>
      <w:pPr>
        <w:widowControl/>
        <w:spacing w:before="225" w:after="225" w:line="480" w:lineRule="auto"/>
        <w:jc w:val="left"/>
        <w:rPr>
          <w:rFonts w:ascii="Times New Roman" w:hAnsi="Times New Roman" w:cs="Times New Roman"/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ITC Stone Sans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D815EC"/>
    <w:rsid w:val="0003540D"/>
    <w:rsid w:val="0005653E"/>
    <w:rsid w:val="001640F2"/>
    <w:rsid w:val="00173AA1"/>
    <w:rsid w:val="00190BB2"/>
    <w:rsid w:val="00280A65"/>
    <w:rsid w:val="00285474"/>
    <w:rsid w:val="00484135"/>
    <w:rsid w:val="0051716F"/>
    <w:rsid w:val="005F6356"/>
    <w:rsid w:val="0064630A"/>
    <w:rsid w:val="006D2D89"/>
    <w:rsid w:val="006F405D"/>
    <w:rsid w:val="007327C4"/>
    <w:rsid w:val="007C5F34"/>
    <w:rsid w:val="0084681F"/>
    <w:rsid w:val="008B43BA"/>
    <w:rsid w:val="0092503F"/>
    <w:rsid w:val="009A04AB"/>
    <w:rsid w:val="009B416E"/>
    <w:rsid w:val="00AE5455"/>
    <w:rsid w:val="00B44469"/>
    <w:rsid w:val="00BE1EE8"/>
    <w:rsid w:val="00E02BE0"/>
    <w:rsid w:val="00E17D87"/>
    <w:rsid w:val="00E237AE"/>
    <w:rsid w:val="00E65214"/>
    <w:rsid w:val="00E85CFE"/>
    <w:rsid w:val="03C12A4A"/>
    <w:rsid w:val="05F048CF"/>
    <w:rsid w:val="07984E48"/>
    <w:rsid w:val="087403B2"/>
    <w:rsid w:val="08C034E0"/>
    <w:rsid w:val="09A04EC3"/>
    <w:rsid w:val="0A3A2FD8"/>
    <w:rsid w:val="0BD815EC"/>
    <w:rsid w:val="0C2905EE"/>
    <w:rsid w:val="0CC12815"/>
    <w:rsid w:val="0FB65B34"/>
    <w:rsid w:val="107A7C36"/>
    <w:rsid w:val="146615DB"/>
    <w:rsid w:val="15455863"/>
    <w:rsid w:val="1E516CA4"/>
    <w:rsid w:val="1EC16A91"/>
    <w:rsid w:val="200A4D70"/>
    <w:rsid w:val="20593582"/>
    <w:rsid w:val="21877D41"/>
    <w:rsid w:val="22C82EA7"/>
    <w:rsid w:val="25F36AF6"/>
    <w:rsid w:val="2A26106B"/>
    <w:rsid w:val="2A9649C7"/>
    <w:rsid w:val="2B5F08F7"/>
    <w:rsid w:val="2D0233AF"/>
    <w:rsid w:val="2F0B3ADC"/>
    <w:rsid w:val="2F1633C3"/>
    <w:rsid w:val="2F741A27"/>
    <w:rsid w:val="2FF2695F"/>
    <w:rsid w:val="313D1AE9"/>
    <w:rsid w:val="31717225"/>
    <w:rsid w:val="335E1823"/>
    <w:rsid w:val="3B7F6B97"/>
    <w:rsid w:val="3BAD1B4A"/>
    <w:rsid w:val="3D0F6919"/>
    <w:rsid w:val="3F0F69A9"/>
    <w:rsid w:val="44F55F64"/>
    <w:rsid w:val="453038BA"/>
    <w:rsid w:val="45D27441"/>
    <w:rsid w:val="50DA425F"/>
    <w:rsid w:val="53855A42"/>
    <w:rsid w:val="55310DCC"/>
    <w:rsid w:val="5C112D62"/>
    <w:rsid w:val="5CCB3729"/>
    <w:rsid w:val="5E620FB7"/>
    <w:rsid w:val="5EB72671"/>
    <w:rsid w:val="6041212C"/>
    <w:rsid w:val="605A109E"/>
    <w:rsid w:val="67943110"/>
    <w:rsid w:val="68FB7823"/>
    <w:rsid w:val="6C426C4D"/>
    <w:rsid w:val="6F075AA0"/>
    <w:rsid w:val="6FA348D8"/>
    <w:rsid w:val="708B64BC"/>
    <w:rsid w:val="71112883"/>
    <w:rsid w:val="7167584B"/>
    <w:rsid w:val="71DC47BE"/>
    <w:rsid w:val="73437F36"/>
    <w:rsid w:val="75283DBB"/>
    <w:rsid w:val="75892E3B"/>
    <w:rsid w:val="76474066"/>
    <w:rsid w:val="77B72B36"/>
    <w:rsid w:val="79E21CC4"/>
    <w:rsid w:val="79E5185F"/>
    <w:rsid w:val="7B8D5C57"/>
    <w:rsid w:val="7C090472"/>
    <w:rsid w:val="7CBE77D8"/>
    <w:rsid w:val="7DC324B5"/>
    <w:rsid w:val="7FAE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qFormat/>
    <w:uiPriority w:val="1"/>
    <w:rPr>
      <w:rFonts w:ascii="Palatino Linotype" w:hAnsi="Palatino Linotype" w:eastAsia="Palatino Linotype" w:cs="Palatino Linotype"/>
      <w:sz w:val="16"/>
      <w:szCs w:val="16"/>
      <w:lang w:eastAsia="en-US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2ECC71"/>
      <w:u w:val="none"/>
    </w:rPr>
  </w:style>
  <w:style w:type="character" w:styleId="12">
    <w:name w:val="Hyperlink"/>
    <w:basedOn w:val="10"/>
    <w:qFormat/>
    <w:uiPriority w:val="0"/>
    <w:rPr>
      <w:color w:val="2ECC71"/>
      <w:u w:val="none"/>
    </w:rPr>
  </w:style>
  <w:style w:type="paragraph" w:customStyle="1" w:styleId="13">
    <w:name w:val="Table Paragraph"/>
    <w:basedOn w:val="1"/>
    <w:qFormat/>
    <w:uiPriority w:val="1"/>
    <w:rPr>
      <w:rFonts w:ascii="Palatino Linotype" w:hAnsi="Palatino Linotype" w:eastAsia="Palatino Linotype" w:cs="Palatino Linotype"/>
      <w:lang w:eastAsia="en-US"/>
    </w:rPr>
  </w:style>
  <w:style w:type="character" w:customStyle="1" w:styleId="14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858</Words>
  <Characters>5554</Characters>
  <Lines>46</Lines>
  <Paragraphs>12</Paragraphs>
  <TotalTime>2</TotalTime>
  <ScaleCrop>false</ScaleCrop>
  <LinksUpToDate>false</LinksUpToDate>
  <CharactersWithSpaces>6400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2022-02-27T05:27:00Z</dcterms:created>
  <dc:creator>lizze</dc:creator>
  <cp:lastModifiedBy>lizze</cp:lastModifiedBy>
  <dcterms:modified xsi:type="dcterms:W3CDTF">2022-08-17T08:36:11Z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