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0AA3" w14:textId="607C07E5" w:rsidR="00DF737E" w:rsidRPr="00DF737E" w:rsidRDefault="00DF737E" w:rsidP="00DF737E">
      <w:pPr>
        <w:rPr>
          <w:b/>
          <w:bCs/>
          <w:sz w:val="24"/>
        </w:rPr>
      </w:pPr>
      <w:r w:rsidRPr="00DF737E">
        <w:rPr>
          <w:b/>
          <w:bCs/>
          <w:sz w:val="24"/>
        </w:rPr>
        <w:t>Supplementa</w:t>
      </w:r>
      <w:r w:rsidR="00AB09DB">
        <w:rPr>
          <w:b/>
          <w:bCs/>
          <w:sz w:val="24"/>
        </w:rPr>
        <w:t>ry</w:t>
      </w:r>
      <w:r w:rsidRPr="00DF737E">
        <w:rPr>
          <w:b/>
          <w:bCs/>
          <w:sz w:val="24"/>
        </w:rPr>
        <w:t xml:space="preserve"> Material</w:t>
      </w:r>
    </w:p>
    <w:p w14:paraId="005691A8" w14:textId="77777777" w:rsidR="0071687A" w:rsidRPr="0071687A" w:rsidRDefault="0071687A" w:rsidP="00DF737E"/>
    <w:p w14:paraId="3D3F84B5" w14:textId="22CA0266" w:rsidR="00160F3F" w:rsidRPr="006F4E96" w:rsidRDefault="00160F3F" w:rsidP="00160F3F">
      <w:pPr>
        <w:pStyle w:val="Title"/>
      </w:pPr>
      <w:r w:rsidRPr="006F4E96">
        <w:t>Patient Preference</w:t>
      </w:r>
      <w:r>
        <w:t xml:space="preserve"> Studies for </w:t>
      </w:r>
      <w:r w:rsidRPr="006F4E96">
        <w:t>Advanced Prostate Cancer</w:t>
      </w:r>
      <w:r>
        <w:t xml:space="preserve"> Treatment</w:t>
      </w:r>
      <w:r w:rsidRPr="006F4E96">
        <w:t xml:space="preserve"> </w:t>
      </w:r>
      <w:r w:rsidR="00646CDF">
        <w:t>Along</w:t>
      </w:r>
      <w:r w:rsidRPr="006F4E96">
        <w:t xml:space="preserve"> the Medi</w:t>
      </w:r>
      <w:r>
        <w:t>c</w:t>
      </w:r>
      <w:r w:rsidRPr="006F4E96">
        <w:t>al Product Life Cycle: Systematic Literature Review</w:t>
      </w:r>
    </w:p>
    <w:p w14:paraId="2215CEC6" w14:textId="77777777" w:rsidR="00197728" w:rsidRPr="00894A35" w:rsidRDefault="00197728" w:rsidP="00197728">
      <w:pPr>
        <w:rPr>
          <w:rFonts w:cstheme="minorHAnsi"/>
        </w:rPr>
      </w:pPr>
    </w:p>
    <w:p w14:paraId="2E4806BF" w14:textId="77777777" w:rsidR="00997BD1" w:rsidRDefault="00997BD1" w:rsidP="00997BD1">
      <w:pPr>
        <w:rPr>
          <w:rFonts w:cstheme="minorHAnsi"/>
        </w:rPr>
      </w:pPr>
      <w:r w:rsidRPr="00894A35">
        <w:rPr>
          <w:rFonts w:cstheme="minorHAnsi"/>
        </w:rPr>
        <w:t>Dominik Menges</w:t>
      </w:r>
      <w:r w:rsidRPr="00894A35">
        <w:rPr>
          <w:rFonts w:cstheme="minorHAnsi"/>
          <w:vertAlign w:val="superscript"/>
        </w:rPr>
        <w:t>1</w:t>
      </w:r>
      <w:r w:rsidRPr="00894A35">
        <w:rPr>
          <w:rFonts w:cstheme="minorHAnsi"/>
        </w:rPr>
        <w:t>, Michela C. Piatti</w:t>
      </w:r>
      <w:r w:rsidRPr="00894A35">
        <w:rPr>
          <w:rFonts w:cstheme="minorHAnsi"/>
          <w:vertAlign w:val="superscript"/>
        </w:rPr>
        <w:t>1</w:t>
      </w:r>
      <w:r w:rsidRPr="00894A35">
        <w:rPr>
          <w:rFonts w:cstheme="minorHAnsi"/>
        </w:rPr>
        <w:t>, Thomas Cerny</w:t>
      </w:r>
      <w:r w:rsidRPr="00894A35">
        <w:rPr>
          <w:rFonts w:cstheme="minorHAnsi"/>
          <w:vertAlign w:val="superscript"/>
        </w:rPr>
        <w:t>2,3</w:t>
      </w:r>
      <w:r w:rsidRPr="00894A35">
        <w:rPr>
          <w:rFonts w:cstheme="minorHAnsi"/>
        </w:rPr>
        <w:t>, Milo A. Puhan</w:t>
      </w:r>
      <w:r w:rsidRPr="00894A35">
        <w:rPr>
          <w:rFonts w:cstheme="minorHAnsi"/>
          <w:vertAlign w:val="superscript"/>
        </w:rPr>
        <w:t>1</w:t>
      </w:r>
    </w:p>
    <w:p w14:paraId="533CB807" w14:textId="77777777" w:rsidR="00197728" w:rsidRDefault="00197728" w:rsidP="00197728">
      <w:pPr>
        <w:rPr>
          <w:rFonts w:cstheme="minorHAnsi"/>
        </w:rPr>
      </w:pPr>
    </w:p>
    <w:p w14:paraId="45BD6C20" w14:textId="77777777" w:rsidR="003804AE" w:rsidRPr="0038210C" w:rsidRDefault="003804AE" w:rsidP="003804AE">
      <w:pPr>
        <w:rPr>
          <w:rFonts w:cs="Arial"/>
          <w:b/>
          <w:bCs/>
        </w:rPr>
      </w:pPr>
      <w:r w:rsidRPr="0038210C">
        <w:rPr>
          <w:rFonts w:cs="Arial"/>
          <w:b/>
          <w:bCs/>
        </w:rPr>
        <w:t>Affiliations</w:t>
      </w:r>
      <w:r>
        <w:rPr>
          <w:rFonts w:cs="Arial"/>
          <w:b/>
          <w:bCs/>
        </w:rPr>
        <w:t>:</w:t>
      </w:r>
    </w:p>
    <w:p w14:paraId="0EE9E510" w14:textId="60129656" w:rsidR="003804AE" w:rsidRPr="0038210C" w:rsidRDefault="003804AE" w:rsidP="003804AE">
      <w:pPr>
        <w:rPr>
          <w:rFonts w:cs="Arial"/>
          <w:i/>
          <w:iCs/>
        </w:rPr>
      </w:pPr>
      <w:r w:rsidRPr="0038210C">
        <w:rPr>
          <w:rFonts w:cs="Arial"/>
          <w:i/>
          <w:iCs/>
          <w:vertAlign w:val="superscript"/>
        </w:rPr>
        <w:t>1</w:t>
      </w:r>
      <w:r w:rsidRPr="0038210C">
        <w:rPr>
          <w:rFonts w:cs="Arial"/>
          <w:i/>
          <w:iCs/>
        </w:rPr>
        <w:t xml:space="preserve"> Epidemiology, Biostatistics and Prevention Institute (EBPI), University of Zurich (UZH), Zurich, Switzerland</w:t>
      </w:r>
      <w:r>
        <w:rPr>
          <w:rFonts w:cs="Arial"/>
          <w:i/>
          <w:iCs/>
        </w:rPr>
        <w:t xml:space="preserve">; </w:t>
      </w:r>
      <w:r w:rsidRPr="00FA178C">
        <w:rPr>
          <w:rFonts w:cs="Arial"/>
          <w:i/>
          <w:iCs/>
          <w:vertAlign w:val="superscript"/>
        </w:rPr>
        <w:t>2</w:t>
      </w:r>
      <w:r w:rsidRPr="00FA178C">
        <w:rPr>
          <w:rFonts w:cs="Arial"/>
          <w:i/>
          <w:iCs/>
        </w:rPr>
        <w:t xml:space="preserve"> </w:t>
      </w:r>
      <w:r w:rsidR="001C3B69">
        <w:rPr>
          <w:rFonts w:cs="Arial"/>
          <w:i/>
          <w:iCs/>
        </w:rPr>
        <w:t xml:space="preserve">Foundation Board, </w:t>
      </w:r>
      <w:r w:rsidRPr="00FA178C">
        <w:rPr>
          <w:rFonts w:cs="Arial"/>
          <w:i/>
          <w:iCs/>
        </w:rPr>
        <w:t xml:space="preserve">Cancer Research Switzerland (Krebsforschung Schweiz KFS), Bern, Switzerland; </w:t>
      </w:r>
      <w:r w:rsidRPr="0038210C">
        <w:rPr>
          <w:rFonts w:cs="Arial"/>
          <w:i/>
          <w:iCs/>
          <w:vertAlign w:val="superscript"/>
        </w:rPr>
        <w:t>3</w:t>
      </w:r>
      <w:r w:rsidRPr="0038210C">
        <w:rPr>
          <w:rFonts w:cs="Arial"/>
          <w:i/>
          <w:iCs/>
        </w:rPr>
        <w:t xml:space="preserve"> Human Medicines Expert Committee (HMEC), </w:t>
      </w:r>
      <w:r w:rsidR="00A42224" w:rsidRPr="0038210C">
        <w:rPr>
          <w:rFonts w:cs="Arial"/>
          <w:i/>
          <w:iCs/>
        </w:rPr>
        <w:t>Swissmedic</w:t>
      </w:r>
      <w:r w:rsidR="00A42224">
        <w:rPr>
          <w:rFonts w:cs="Arial"/>
          <w:i/>
          <w:iCs/>
        </w:rPr>
        <w:t>,</w:t>
      </w:r>
      <w:r w:rsidR="00A42224" w:rsidRPr="0038210C">
        <w:rPr>
          <w:rFonts w:cs="Arial"/>
          <w:i/>
          <w:iCs/>
        </w:rPr>
        <w:t xml:space="preserve"> </w:t>
      </w:r>
      <w:r w:rsidRPr="0038210C">
        <w:rPr>
          <w:rFonts w:cs="Arial"/>
          <w:i/>
          <w:iCs/>
        </w:rPr>
        <w:t>Bern, Switzerland</w:t>
      </w:r>
    </w:p>
    <w:p w14:paraId="3E055DB2" w14:textId="77777777" w:rsidR="003804AE" w:rsidRPr="0038210C" w:rsidRDefault="003804AE" w:rsidP="003804AE">
      <w:pPr>
        <w:rPr>
          <w:rFonts w:cs="Arial"/>
        </w:rPr>
      </w:pPr>
    </w:p>
    <w:p w14:paraId="6EE8490F" w14:textId="77777777" w:rsidR="003804AE" w:rsidRPr="0038210C" w:rsidRDefault="003804AE" w:rsidP="003804AE">
      <w:pPr>
        <w:rPr>
          <w:rFonts w:cs="Arial"/>
          <w:b/>
          <w:bCs/>
        </w:rPr>
      </w:pPr>
      <w:r>
        <w:rPr>
          <w:rFonts w:cs="Arial"/>
          <w:b/>
          <w:bCs/>
        </w:rPr>
        <w:t>Correspondence:</w:t>
      </w:r>
    </w:p>
    <w:p w14:paraId="6047A4A8" w14:textId="77777777" w:rsidR="003804AE" w:rsidRPr="0038210C" w:rsidRDefault="003804AE" w:rsidP="003804AE">
      <w:pPr>
        <w:rPr>
          <w:rFonts w:cs="Arial"/>
        </w:rPr>
      </w:pPr>
      <w:r w:rsidRPr="0038210C">
        <w:rPr>
          <w:rFonts w:cs="Arial"/>
        </w:rPr>
        <w:t>Dominik Menges, MD MPH</w:t>
      </w:r>
    </w:p>
    <w:p w14:paraId="3784A390" w14:textId="77777777" w:rsidR="003804AE" w:rsidRPr="0038210C" w:rsidRDefault="003804AE" w:rsidP="003804AE">
      <w:pPr>
        <w:rPr>
          <w:rFonts w:cs="Arial"/>
        </w:rPr>
      </w:pPr>
      <w:r w:rsidRPr="0038210C">
        <w:rPr>
          <w:rFonts w:cs="Arial"/>
        </w:rPr>
        <w:t xml:space="preserve">Epidemiology, Biostatistics and Prevention Institute (EBPI), University of Zurich (UZH), </w:t>
      </w:r>
    </w:p>
    <w:p w14:paraId="76839FAE" w14:textId="77777777" w:rsidR="003804AE" w:rsidRPr="0038210C" w:rsidRDefault="003804AE" w:rsidP="003804AE">
      <w:pPr>
        <w:rPr>
          <w:rFonts w:cs="Arial"/>
          <w:lang w:val="de-CH"/>
        </w:rPr>
      </w:pPr>
      <w:r w:rsidRPr="0038210C">
        <w:rPr>
          <w:rFonts w:cs="Arial"/>
          <w:lang w:val="de-CH"/>
        </w:rPr>
        <w:t>Hirschengraben 84, CH-8001 Zurich, Switzerland</w:t>
      </w:r>
    </w:p>
    <w:p w14:paraId="3291C448" w14:textId="77777777" w:rsidR="003804AE" w:rsidRPr="003804AE" w:rsidRDefault="003804AE" w:rsidP="003804AE">
      <w:pPr>
        <w:rPr>
          <w:rFonts w:cs="Arial"/>
          <w:lang w:val="de-CH"/>
        </w:rPr>
      </w:pPr>
      <w:r w:rsidRPr="003804AE">
        <w:rPr>
          <w:rFonts w:cs="Arial"/>
          <w:lang w:val="de-CH"/>
        </w:rPr>
        <w:t>Tel: +41 44 634 46 15</w:t>
      </w:r>
    </w:p>
    <w:p w14:paraId="1D23D18E" w14:textId="77777777" w:rsidR="003804AE" w:rsidRPr="006B5220" w:rsidRDefault="003804AE" w:rsidP="003804AE">
      <w:pPr>
        <w:rPr>
          <w:rFonts w:cs="Arial"/>
        </w:rPr>
      </w:pPr>
      <w:r w:rsidRPr="006B5220">
        <w:rPr>
          <w:rFonts w:cs="Arial"/>
        </w:rPr>
        <w:t>Email: dominik.menges@uzh.ch</w:t>
      </w:r>
    </w:p>
    <w:p w14:paraId="085850C1" w14:textId="440BCC41" w:rsidR="00197728" w:rsidRDefault="00197728" w:rsidP="00197728"/>
    <w:p w14:paraId="13A7A1B3" w14:textId="77777777" w:rsidR="0071687A" w:rsidRDefault="0071687A" w:rsidP="00197728"/>
    <w:p w14:paraId="26D7353E" w14:textId="77777777" w:rsidR="00197728" w:rsidRDefault="00197728" w:rsidP="00197728">
      <w:pPr>
        <w:spacing w:line="240" w:lineRule="auto"/>
        <w:jc w:val="left"/>
        <w:rPr>
          <w:rFonts w:eastAsiaTheme="majorEastAsia" w:cstheme="minorHAnsi"/>
          <w:b/>
          <w:szCs w:val="32"/>
        </w:rPr>
        <w:sectPr w:rsidR="00197728" w:rsidSect="00197728">
          <w:footerReference w:type="even" r:id="rId8"/>
          <w:footerReference w:type="default" r:id="rId9"/>
          <w:pgSz w:w="12240" w:h="15840"/>
          <w:pgMar w:top="1440" w:right="1440" w:bottom="1440" w:left="1440" w:header="709" w:footer="709" w:gutter="0"/>
          <w:cols w:space="708"/>
          <w:docGrid w:linePitch="360"/>
        </w:sectPr>
      </w:pPr>
    </w:p>
    <w:p w14:paraId="483CC19E" w14:textId="6BBFE291" w:rsidR="00953C77" w:rsidRPr="00894A35" w:rsidRDefault="00953C77" w:rsidP="00953C77">
      <w:r w:rsidRPr="00953C77">
        <w:rPr>
          <w:b/>
          <w:bCs/>
        </w:rPr>
        <w:lastRenderedPageBreak/>
        <w:t>Table S</w:t>
      </w:r>
      <w:r w:rsidR="001D4848">
        <w:rPr>
          <w:b/>
          <w:bCs/>
        </w:rPr>
        <w:t>1</w:t>
      </w:r>
      <w:r>
        <w:t xml:space="preserve">: Search strategy for </w:t>
      </w:r>
      <w:r w:rsidRPr="00894A35">
        <w:t>MEDLINE (accessed via PubMed)</w:t>
      </w:r>
    </w:p>
    <w:tbl>
      <w:tblPr>
        <w:tblStyle w:val="TableGrid"/>
        <w:tblW w:w="0" w:type="auto"/>
        <w:tblLook w:val="04A0" w:firstRow="1" w:lastRow="0" w:firstColumn="1" w:lastColumn="0" w:noHBand="0" w:noVBand="1"/>
      </w:tblPr>
      <w:tblGrid>
        <w:gridCol w:w="1156"/>
        <w:gridCol w:w="8194"/>
      </w:tblGrid>
      <w:tr w:rsidR="00953C77" w:rsidRPr="00894A35" w14:paraId="6E9CC519" w14:textId="77777777" w:rsidTr="00CF3AFF">
        <w:tc>
          <w:tcPr>
            <w:tcW w:w="1271" w:type="dxa"/>
          </w:tcPr>
          <w:p w14:paraId="5DDCA8CE" w14:textId="77777777" w:rsidR="00953C77" w:rsidRPr="00894A35" w:rsidRDefault="00953C77" w:rsidP="002E06C5">
            <w:pPr>
              <w:spacing w:before="40" w:after="40" w:line="276" w:lineRule="auto"/>
              <w:jc w:val="left"/>
              <w:rPr>
                <w:sz w:val="16"/>
                <w:szCs w:val="16"/>
              </w:rPr>
            </w:pPr>
            <w:r w:rsidRPr="00894A35">
              <w:rPr>
                <w:sz w:val="16"/>
                <w:szCs w:val="16"/>
              </w:rPr>
              <w:t>1</w:t>
            </w:r>
          </w:p>
        </w:tc>
        <w:tc>
          <w:tcPr>
            <w:tcW w:w="12157" w:type="dxa"/>
          </w:tcPr>
          <w:p w14:paraId="7544E1F1"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“patient preference”[mh] OR “patient preference”[tiab] OR “patient preferences”[tiab] OR “preference weight”[tiab] OR “treatment preference”[tiab] OR “treatment preferences”[tiab] OR “preferred treatment”[tiab] OR “preference”[tiab] OR “preferences”[tiab]</w:t>
            </w:r>
          </w:p>
        </w:tc>
      </w:tr>
      <w:tr w:rsidR="00953C77" w:rsidRPr="00894A35" w14:paraId="06A0726D" w14:textId="77777777" w:rsidTr="00CF3AFF">
        <w:tc>
          <w:tcPr>
            <w:tcW w:w="1271" w:type="dxa"/>
          </w:tcPr>
          <w:p w14:paraId="0F423550" w14:textId="77777777" w:rsidR="00953C77" w:rsidRPr="00894A35" w:rsidRDefault="00953C77" w:rsidP="002E06C5">
            <w:pPr>
              <w:spacing w:before="40" w:after="40" w:line="276" w:lineRule="auto"/>
              <w:jc w:val="left"/>
              <w:rPr>
                <w:sz w:val="16"/>
                <w:szCs w:val="16"/>
              </w:rPr>
            </w:pPr>
            <w:r w:rsidRPr="00894A35">
              <w:rPr>
                <w:sz w:val="16"/>
                <w:szCs w:val="16"/>
              </w:rPr>
              <w:t>2</w:t>
            </w:r>
          </w:p>
        </w:tc>
        <w:tc>
          <w:tcPr>
            <w:tcW w:w="12157" w:type="dxa"/>
          </w:tcPr>
          <w:p w14:paraId="7A0400D2" w14:textId="77777777" w:rsidR="00953C77" w:rsidRPr="00894A35" w:rsidRDefault="00953C77" w:rsidP="002E06C5">
            <w:pPr>
              <w:spacing w:before="40" w:after="40" w:line="276" w:lineRule="auto"/>
              <w:jc w:val="left"/>
              <w:rPr>
                <w:sz w:val="16"/>
                <w:szCs w:val="16"/>
              </w:rPr>
            </w:pPr>
            <w:r w:rsidRPr="00894A35">
              <w:rPr>
                <w:rFonts w:cs="Arial"/>
                <w:iCs/>
                <w:sz w:val="16"/>
                <w:szCs w:val="16"/>
              </w:rPr>
              <w:t>“risk assessment”[mh] OR “outcome and process assessment, health care”[mh] OR “risk-benefit assessment”[tiab] OR “risk-benefit assessments”[tiab] OR “benefit-risk assessment”[tiab] OR “benefit-risk assessments”[tiab] OR “benefit risk assessment”[tiab] OR “benefit risk assessments”[tiab] OR “risk benefit assessment”[tiab] OR “risk benefit assessments”[tiab] OR “risk assessment”[tiab] OR “risk assessments”[tiab] OR “risks and benefits”[tiab] OR “benefits and risks”[tiab] OR “risk”[tiab] OR “risks”[tiab] OR “trade-off”[tiab] OR “trade-offs”[tiab] OR “visual analog scale”[mh] OR “discrete choice experiment”[tiab] OR “discrete choice experiments”[tiab] OR “discrete choice model”[tiab] OR “discrete choice models”[tiab] OR “discrete choice analysis”[tiab] OR “discrete choice”[tiab] OR “best-worst scaling”[tiab] OR “best worst scaling”[tiab] OR “swing-weighting”[tiab] OR “swing weighting”[tiab] OR “conjoint analysis”[tiab] OR “conjoint analyses”[tiab] OR “visual analog scale”[tiab] OR “visual analog scales”[tiab] OR “visual analogue scale”[tiab] OR “visual analogue scales”[tiab] OR “time trade-off”[tiab] OR “time trade-offs”[tiab]</w:t>
            </w:r>
          </w:p>
        </w:tc>
      </w:tr>
      <w:tr w:rsidR="00953C77" w:rsidRPr="00894A35" w14:paraId="5EB3796B" w14:textId="77777777" w:rsidTr="00CF3AFF">
        <w:tc>
          <w:tcPr>
            <w:tcW w:w="1271" w:type="dxa"/>
          </w:tcPr>
          <w:p w14:paraId="54527612" w14:textId="77777777" w:rsidR="00953C77" w:rsidRPr="00894A35" w:rsidRDefault="00953C77" w:rsidP="002E06C5">
            <w:pPr>
              <w:spacing w:before="40" w:after="40" w:line="276" w:lineRule="auto"/>
              <w:jc w:val="left"/>
              <w:rPr>
                <w:sz w:val="16"/>
                <w:szCs w:val="16"/>
              </w:rPr>
            </w:pPr>
            <w:r w:rsidRPr="00894A35">
              <w:rPr>
                <w:sz w:val="16"/>
                <w:szCs w:val="16"/>
              </w:rPr>
              <w:t>3</w:t>
            </w:r>
          </w:p>
        </w:tc>
        <w:tc>
          <w:tcPr>
            <w:tcW w:w="12157" w:type="dxa"/>
          </w:tcPr>
          <w:p w14:paraId="7A886C66" w14:textId="77777777" w:rsidR="00953C77" w:rsidRPr="00894A35" w:rsidRDefault="00953C77" w:rsidP="002E06C5">
            <w:pPr>
              <w:spacing w:before="40" w:after="40" w:line="276" w:lineRule="auto"/>
              <w:jc w:val="left"/>
              <w:rPr>
                <w:sz w:val="16"/>
                <w:szCs w:val="16"/>
              </w:rPr>
            </w:pPr>
            <w:r w:rsidRPr="00894A35">
              <w:rPr>
                <w:rFonts w:cs="Arial"/>
                <w:iCs/>
                <w:sz w:val="16"/>
                <w:szCs w:val="16"/>
              </w:rPr>
              <w:t>“prostatic neoplasms”[mh] OR “prostatic neoplasm”[tiab] OR “prostatic neoplasms”[tiab] OR “prostate neoplasm”[tiab] OR “prostate neoplasms”[tiab] OR “prostate cancer”[tiab] OR “prostate cancers”[tiab] OR “prostate carcinoma”[tiab] OR “prostate carcinomas”[tiab] OR “prostate adenocarcinoma”[tiab] OR “prostate adenocarcinomas”[tiab] OR “cancer of prostate”[tiab] OR “cancer of the prostate”[tiab] OR “prostate tumor”[tiab] OR “prostate tumors”[tiab]</w:t>
            </w:r>
          </w:p>
        </w:tc>
      </w:tr>
      <w:tr w:rsidR="00953C77" w:rsidRPr="00894A35" w14:paraId="425D4FBE" w14:textId="77777777" w:rsidTr="00CF3AFF">
        <w:tc>
          <w:tcPr>
            <w:tcW w:w="1271" w:type="dxa"/>
          </w:tcPr>
          <w:p w14:paraId="2645DB29" w14:textId="77777777" w:rsidR="00953C77" w:rsidRPr="00894A35" w:rsidRDefault="00953C77" w:rsidP="002E06C5">
            <w:pPr>
              <w:spacing w:before="40" w:after="40" w:line="276" w:lineRule="auto"/>
              <w:jc w:val="left"/>
              <w:rPr>
                <w:sz w:val="16"/>
                <w:szCs w:val="16"/>
              </w:rPr>
            </w:pPr>
            <w:r w:rsidRPr="00894A35">
              <w:rPr>
                <w:sz w:val="16"/>
                <w:szCs w:val="16"/>
              </w:rPr>
              <w:t>4</w:t>
            </w:r>
          </w:p>
        </w:tc>
        <w:tc>
          <w:tcPr>
            <w:tcW w:w="12157" w:type="dxa"/>
          </w:tcPr>
          <w:p w14:paraId="60F56CD7" w14:textId="77777777" w:rsidR="00953C77" w:rsidRPr="00894A35" w:rsidRDefault="00953C77" w:rsidP="002E06C5">
            <w:pPr>
              <w:spacing w:before="40" w:after="40" w:line="276" w:lineRule="auto"/>
              <w:jc w:val="left"/>
              <w:rPr>
                <w:sz w:val="16"/>
                <w:szCs w:val="16"/>
              </w:rPr>
            </w:pPr>
            <w:r w:rsidRPr="00894A35">
              <w:rPr>
                <w:rFonts w:cs="Arial"/>
                <w:sz w:val="16"/>
                <w:szCs w:val="16"/>
              </w:rPr>
              <w:t>1 AND 2 AND 3</w:t>
            </w:r>
          </w:p>
        </w:tc>
      </w:tr>
      <w:tr w:rsidR="00953C77" w:rsidRPr="00894A35" w14:paraId="6C825631" w14:textId="77777777" w:rsidTr="00CF3AFF">
        <w:tc>
          <w:tcPr>
            <w:tcW w:w="1271" w:type="dxa"/>
          </w:tcPr>
          <w:p w14:paraId="10C90B7C" w14:textId="77777777" w:rsidR="00953C77" w:rsidRPr="00894A35" w:rsidRDefault="00953C77" w:rsidP="002E06C5">
            <w:pPr>
              <w:spacing w:before="40" w:after="40" w:line="276" w:lineRule="auto"/>
              <w:jc w:val="left"/>
              <w:rPr>
                <w:sz w:val="16"/>
                <w:szCs w:val="16"/>
              </w:rPr>
            </w:pPr>
            <w:r w:rsidRPr="00894A35">
              <w:rPr>
                <w:sz w:val="16"/>
                <w:szCs w:val="16"/>
              </w:rPr>
              <w:t>5</w:t>
            </w:r>
          </w:p>
        </w:tc>
        <w:tc>
          <w:tcPr>
            <w:tcW w:w="12157" w:type="dxa"/>
          </w:tcPr>
          <w:p w14:paraId="0BCA5743" w14:textId="77777777" w:rsidR="00953C77" w:rsidRPr="00894A35" w:rsidRDefault="00953C77" w:rsidP="002E06C5">
            <w:pPr>
              <w:spacing w:before="40" w:after="40" w:line="276" w:lineRule="auto"/>
              <w:jc w:val="left"/>
              <w:rPr>
                <w:sz w:val="16"/>
                <w:szCs w:val="16"/>
              </w:rPr>
            </w:pPr>
            <w:r w:rsidRPr="00894A35">
              <w:rPr>
                <w:rFonts w:cs="Arial"/>
                <w:sz w:val="16"/>
                <w:szCs w:val="16"/>
              </w:rPr>
              <w:t>"animals"[mh] NOT ("animals"[mh] AND "humans"[mh])</w:t>
            </w:r>
          </w:p>
        </w:tc>
      </w:tr>
      <w:tr w:rsidR="00953C77" w:rsidRPr="00894A35" w14:paraId="56F32874" w14:textId="77777777" w:rsidTr="00CF3AFF">
        <w:tc>
          <w:tcPr>
            <w:tcW w:w="1271" w:type="dxa"/>
          </w:tcPr>
          <w:p w14:paraId="5F31801F" w14:textId="77777777" w:rsidR="00953C77" w:rsidRPr="00894A35" w:rsidRDefault="00953C77" w:rsidP="002E06C5">
            <w:pPr>
              <w:spacing w:before="40" w:after="40" w:line="276" w:lineRule="auto"/>
              <w:jc w:val="left"/>
              <w:rPr>
                <w:sz w:val="16"/>
                <w:szCs w:val="16"/>
              </w:rPr>
            </w:pPr>
            <w:r w:rsidRPr="00894A35">
              <w:rPr>
                <w:sz w:val="16"/>
                <w:szCs w:val="16"/>
              </w:rPr>
              <w:t>6</w:t>
            </w:r>
          </w:p>
        </w:tc>
        <w:tc>
          <w:tcPr>
            <w:tcW w:w="12157" w:type="dxa"/>
          </w:tcPr>
          <w:p w14:paraId="090D1BE0" w14:textId="77777777" w:rsidR="00953C77" w:rsidRPr="00894A35" w:rsidRDefault="00953C77" w:rsidP="002E06C5">
            <w:pPr>
              <w:spacing w:before="40" w:after="40" w:line="276" w:lineRule="auto"/>
              <w:jc w:val="left"/>
              <w:rPr>
                <w:sz w:val="16"/>
                <w:szCs w:val="16"/>
              </w:rPr>
            </w:pPr>
            <w:r w:rsidRPr="00894A35">
              <w:rPr>
                <w:rFonts w:cs="Arial"/>
                <w:sz w:val="16"/>
                <w:szCs w:val="16"/>
              </w:rPr>
              <w:t>4 NOT 5</w:t>
            </w:r>
          </w:p>
        </w:tc>
      </w:tr>
      <w:tr w:rsidR="00953C77" w:rsidRPr="00894A35" w14:paraId="1017169F" w14:textId="77777777" w:rsidTr="00CF3AFF">
        <w:tc>
          <w:tcPr>
            <w:tcW w:w="1271" w:type="dxa"/>
          </w:tcPr>
          <w:p w14:paraId="4963E04D" w14:textId="77777777" w:rsidR="00953C77" w:rsidRPr="00894A35" w:rsidRDefault="00953C77" w:rsidP="002E06C5">
            <w:pPr>
              <w:spacing w:before="40" w:after="40" w:line="276" w:lineRule="auto"/>
              <w:jc w:val="left"/>
              <w:rPr>
                <w:sz w:val="16"/>
                <w:szCs w:val="16"/>
              </w:rPr>
            </w:pPr>
            <w:r w:rsidRPr="00894A35">
              <w:rPr>
                <w:sz w:val="16"/>
                <w:szCs w:val="16"/>
              </w:rPr>
              <w:t>Restriction</w:t>
            </w:r>
          </w:p>
        </w:tc>
        <w:tc>
          <w:tcPr>
            <w:tcW w:w="12157" w:type="dxa"/>
          </w:tcPr>
          <w:p w14:paraId="17A0D4F9" w14:textId="77777777" w:rsidR="00953C77" w:rsidRPr="00894A35" w:rsidRDefault="00953C77" w:rsidP="002E06C5">
            <w:pPr>
              <w:spacing w:before="40" w:after="40" w:line="276" w:lineRule="auto"/>
              <w:jc w:val="left"/>
              <w:rPr>
                <w:sz w:val="16"/>
                <w:szCs w:val="16"/>
              </w:rPr>
            </w:pPr>
            <w:r w:rsidRPr="00894A35">
              <w:rPr>
                <w:rFonts w:cs="Arial"/>
                <w:sz w:val="16"/>
                <w:szCs w:val="16"/>
              </w:rPr>
              <w:t>Timeframe: 01/01/2000 to 5/10/2020</w:t>
            </w:r>
          </w:p>
        </w:tc>
      </w:tr>
    </w:tbl>
    <w:p w14:paraId="693D8302" w14:textId="6BE886A3" w:rsidR="00953C77" w:rsidRDefault="00953C77" w:rsidP="00DC7951">
      <w:pPr>
        <w:spacing w:before="120"/>
        <w:rPr>
          <w:rFonts w:cs="Arial"/>
          <w:iCs/>
          <w:szCs w:val="20"/>
        </w:rPr>
      </w:pPr>
      <w:r w:rsidRPr="00894A35">
        <w:rPr>
          <w:rFonts w:cs="Arial"/>
          <w:iCs/>
          <w:szCs w:val="20"/>
        </w:rPr>
        <w:t>Date of search: 05 October 2020</w:t>
      </w:r>
      <w:r w:rsidR="00DC7951">
        <w:rPr>
          <w:rFonts w:cs="Arial"/>
          <w:iCs/>
          <w:szCs w:val="20"/>
        </w:rPr>
        <w:t xml:space="preserve">; </w:t>
      </w:r>
      <w:r w:rsidRPr="00894A35">
        <w:rPr>
          <w:rFonts w:cs="Arial"/>
          <w:iCs/>
          <w:szCs w:val="20"/>
        </w:rPr>
        <w:t>Search results: 471</w:t>
      </w:r>
    </w:p>
    <w:p w14:paraId="5E1CA6E0" w14:textId="6D711A95" w:rsidR="00953C77" w:rsidRDefault="00953C77" w:rsidP="00DC7951"/>
    <w:p w14:paraId="2E3F0AEE" w14:textId="02286C7E" w:rsidR="00953C77" w:rsidRPr="00894A35" w:rsidRDefault="00953C77" w:rsidP="00953C77">
      <w:r w:rsidRPr="00953C77">
        <w:rPr>
          <w:b/>
          <w:bCs/>
        </w:rPr>
        <w:t>Table S</w:t>
      </w:r>
      <w:r w:rsidR="001D4848">
        <w:rPr>
          <w:b/>
          <w:bCs/>
        </w:rPr>
        <w:t>2</w:t>
      </w:r>
      <w:r>
        <w:t xml:space="preserve">: Search strategy for </w:t>
      </w:r>
      <w:r w:rsidRPr="00894A35">
        <w:t>EMBASE (accessed via Elsevier)</w:t>
      </w:r>
    </w:p>
    <w:tbl>
      <w:tblPr>
        <w:tblStyle w:val="TableGrid"/>
        <w:tblW w:w="0" w:type="auto"/>
        <w:tblLook w:val="04A0" w:firstRow="1" w:lastRow="0" w:firstColumn="1" w:lastColumn="0" w:noHBand="0" w:noVBand="1"/>
      </w:tblPr>
      <w:tblGrid>
        <w:gridCol w:w="951"/>
        <w:gridCol w:w="8399"/>
      </w:tblGrid>
      <w:tr w:rsidR="00953C77" w:rsidRPr="00894A35" w14:paraId="31FC2DE4" w14:textId="77777777" w:rsidTr="00CF3AFF">
        <w:tc>
          <w:tcPr>
            <w:tcW w:w="1271" w:type="dxa"/>
          </w:tcPr>
          <w:p w14:paraId="43931D02"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#1</w:t>
            </w:r>
          </w:p>
        </w:tc>
        <w:tc>
          <w:tcPr>
            <w:tcW w:w="12157" w:type="dxa"/>
          </w:tcPr>
          <w:p w14:paraId="7DCCB9AD"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‘patient preference’/de OR ‘patient preference*’:ti,ab OR ‘preference weight’:ti,ab OR ‘treatment preference*’:ti,ab OR ‘preferred treatment’:ti,ab OR ‘preference*’:ti,ab</w:t>
            </w:r>
          </w:p>
        </w:tc>
      </w:tr>
      <w:tr w:rsidR="00953C77" w:rsidRPr="00894A35" w14:paraId="6ECAF7C7" w14:textId="77777777" w:rsidTr="00CF3AFF">
        <w:tc>
          <w:tcPr>
            <w:tcW w:w="1271" w:type="dxa"/>
          </w:tcPr>
          <w:p w14:paraId="32794A09"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#2</w:t>
            </w:r>
          </w:p>
        </w:tc>
        <w:tc>
          <w:tcPr>
            <w:tcW w:w="12157" w:type="dxa"/>
          </w:tcPr>
          <w:p w14:paraId="721A1CAC"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‘risk assessment’/de OR ‘risk-benefit assessment*’:ti,ab OR ‘benefit-risk assessment*’:ti,ab OR ‘risk benefit assessment*’:ti,ab OR ‘benefit risk assessment*’:ti,ab OR ‘risk assessment*’:ti,ab OR ‘risks and benefits’:ti,ab OR ‘benefits and risks’:ti,ab OR ‘risk*’:ti,ab OR ‘trade-off*’:ti,ab OR ‘visual analog scale’/de OR ‘discrete choice experiment*’:ti,ab OR ‘discrete choice model*’:ti,ab OR ‘discrete choice analysis’:ti,ab OR ‘discrete choice’:ti,ab OR ‘best-worst scaling’:ti,ab OR ‘best worst scaling’:ti,ab OR ‘swing-weighting’:ti,ab OR ‘swing weighting’:ti,ab OR ‘conjoint analysis’:ti,ab OR ‘conjoint analyses’:ti,ab OR ‘visual analog scale*’:ti,ab OR ‘visual analogue scale*’:ti,ab OR ‘time trade-off*’:ti,ab</w:t>
            </w:r>
          </w:p>
        </w:tc>
      </w:tr>
      <w:tr w:rsidR="00953C77" w:rsidRPr="00894A35" w14:paraId="235C10AA" w14:textId="77777777" w:rsidTr="00CF3AFF">
        <w:tc>
          <w:tcPr>
            <w:tcW w:w="1271" w:type="dxa"/>
          </w:tcPr>
          <w:p w14:paraId="7B9092E3"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#3</w:t>
            </w:r>
          </w:p>
        </w:tc>
        <w:tc>
          <w:tcPr>
            <w:tcW w:w="12157" w:type="dxa"/>
          </w:tcPr>
          <w:p w14:paraId="74600992"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‘prostate tumor’/de OR ‘prostate cancer’/de OR ‘prostate carcinoma’/de OR ‘prostate adenocarcinoma’/de OR ‘prostatic intraepithelial neoplasia’/de OR ‘prostatic neoplasm*’:ti,ab OR ‘prostate neoplasm*’:ti,ab OR ‘prostate cancer*’:ti,ab OR ‘prostate carcinoma*’:ti,ab OR ‘prostate adenocarcinoma*’:ti,ab OR ‘prostatic intraepithelial neoplasia*’:ti,ab OR ‘prostate tumor*’:ti,ab OR ‘cancer of prostate’:ti,ab OR ‘cancer of the prostate’:ti,ab</w:t>
            </w:r>
          </w:p>
        </w:tc>
      </w:tr>
      <w:tr w:rsidR="00953C77" w:rsidRPr="00894A35" w14:paraId="2A609A4F" w14:textId="77777777" w:rsidTr="00CF3AFF">
        <w:tc>
          <w:tcPr>
            <w:tcW w:w="1271" w:type="dxa"/>
          </w:tcPr>
          <w:p w14:paraId="1DF80F85"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#4</w:t>
            </w:r>
          </w:p>
        </w:tc>
        <w:tc>
          <w:tcPr>
            <w:tcW w:w="12157" w:type="dxa"/>
          </w:tcPr>
          <w:p w14:paraId="507818EA"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[2000-2020]/py</w:t>
            </w:r>
          </w:p>
        </w:tc>
      </w:tr>
      <w:tr w:rsidR="00953C77" w:rsidRPr="00894A35" w14:paraId="16293ABA" w14:textId="77777777" w:rsidTr="00CF3AFF">
        <w:tc>
          <w:tcPr>
            <w:tcW w:w="1271" w:type="dxa"/>
          </w:tcPr>
          <w:p w14:paraId="570C7F3F"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#5</w:t>
            </w:r>
          </w:p>
        </w:tc>
        <w:tc>
          <w:tcPr>
            <w:tcW w:w="12157" w:type="dxa"/>
          </w:tcPr>
          <w:p w14:paraId="157A76B8"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[english]/lim OR [german]/lim</w:t>
            </w:r>
          </w:p>
        </w:tc>
      </w:tr>
      <w:tr w:rsidR="00953C77" w:rsidRPr="00894A35" w14:paraId="0B12ADD5" w14:textId="77777777" w:rsidTr="00CF3AFF">
        <w:tc>
          <w:tcPr>
            <w:tcW w:w="1271" w:type="dxa"/>
          </w:tcPr>
          <w:p w14:paraId="46BEA8CB"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#6</w:t>
            </w:r>
          </w:p>
        </w:tc>
        <w:tc>
          <w:tcPr>
            <w:tcW w:w="12157" w:type="dxa"/>
          </w:tcPr>
          <w:p w14:paraId="1B5E4891"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#1 AND #2 AND #3 AND #4 AND #5</w:t>
            </w:r>
          </w:p>
        </w:tc>
      </w:tr>
      <w:tr w:rsidR="00953C77" w:rsidRPr="00894A35" w14:paraId="3B30A270" w14:textId="77777777" w:rsidTr="00CF3AFF">
        <w:tc>
          <w:tcPr>
            <w:tcW w:w="1271" w:type="dxa"/>
          </w:tcPr>
          <w:p w14:paraId="66A37EF9"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#7</w:t>
            </w:r>
          </w:p>
        </w:tc>
        <w:tc>
          <w:tcPr>
            <w:tcW w:w="12157" w:type="dxa"/>
          </w:tcPr>
          <w:p w14:paraId="294AF1F2" w14:textId="77777777" w:rsidR="00953C77" w:rsidRPr="00894A35" w:rsidRDefault="00953C77" w:rsidP="002E06C5">
            <w:pPr>
              <w:spacing w:before="40" w:after="40" w:line="276" w:lineRule="auto"/>
              <w:jc w:val="left"/>
              <w:rPr>
                <w:rFonts w:cs="Arial"/>
                <w:iCs/>
                <w:sz w:val="16"/>
                <w:szCs w:val="16"/>
              </w:rPr>
            </w:pPr>
            <w:r w:rsidRPr="00894A35">
              <w:rPr>
                <w:rFonts w:cs="Arial"/>
                <w:iCs/>
                <w:sz w:val="16"/>
                <w:szCs w:val="16"/>
              </w:rPr>
              <w:t>#6 NOT ([animals]/lim NOT [humans]/lim)</w:t>
            </w:r>
          </w:p>
        </w:tc>
      </w:tr>
    </w:tbl>
    <w:p w14:paraId="2489A6BF" w14:textId="52820A42" w:rsidR="00DC7951" w:rsidRDefault="00953C77" w:rsidP="00DC7951">
      <w:pPr>
        <w:spacing w:before="120"/>
        <w:rPr>
          <w:rFonts w:cs="Arial"/>
          <w:iCs/>
          <w:szCs w:val="20"/>
        </w:rPr>
      </w:pPr>
      <w:r w:rsidRPr="00894A35">
        <w:rPr>
          <w:rFonts w:cs="Arial"/>
          <w:iCs/>
          <w:szCs w:val="20"/>
        </w:rPr>
        <w:t>Date of search: 05 October 2020</w:t>
      </w:r>
      <w:r w:rsidR="00DC7951">
        <w:rPr>
          <w:rFonts w:cs="Arial"/>
          <w:iCs/>
          <w:szCs w:val="20"/>
        </w:rPr>
        <w:t xml:space="preserve">; </w:t>
      </w:r>
      <w:r w:rsidRPr="00894A35">
        <w:rPr>
          <w:rFonts w:cs="Arial"/>
          <w:iCs/>
          <w:szCs w:val="20"/>
        </w:rPr>
        <w:t>Search results: 669</w:t>
      </w:r>
    </w:p>
    <w:p w14:paraId="12A6C312" w14:textId="4D1472EC" w:rsidR="00953C77" w:rsidRDefault="00953C77" w:rsidP="00DC7951">
      <w:pPr>
        <w:spacing w:before="120"/>
      </w:pPr>
      <w:r>
        <w:br w:type="page"/>
      </w:r>
    </w:p>
    <w:p w14:paraId="22963407" w14:textId="11AE3245" w:rsidR="00953C77" w:rsidRPr="00894A35" w:rsidRDefault="00953C77" w:rsidP="00953C77">
      <w:r w:rsidRPr="00953C77">
        <w:rPr>
          <w:b/>
          <w:bCs/>
        </w:rPr>
        <w:lastRenderedPageBreak/>
        <w:t>Table S</w:t>
      </w:r>
      <w:r w:rsidR="001D4848">
        <w:rPr>
          <w:b/>
          <w:bCs/>
        </w:rPr>
        <w:t>3</w:t>
      </w:r>
      <w:r>
        <w:t>: Records excluded during abstract and fulltext screening.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6665"/>
        <w:gridCol w:w="2122"/>
      </w:tblGrid>
      <w:tr w:rsidR="00953C77" w:rsidRPr="00197728" w14:paraId="36A6A68E" w14:textId="77777777" w:rsidTr="00AD03B0">
        <w:tc>
          <w:tcPr>
            <w:tcW w:w="301" w:type="pct"/>
            <w:shd w:val="clear" w:color="auto" w:fill="auto"/>
            <w:noWrap/>
            <w:hideMark/>
          </w:tcPr>
          <w:p w14:paraId="7756A3A4" w14:textId="4CA186ED" w:rsidR="00953C77" w:rsidRPr="00197728" w:rsidRDefault="007618DE" w:rsidP="002E06C5">
            <w:pPr>
              <w:spacing w:before="40" w:after="40" w:line="240" w:lineRule="auto"/>
              <w:jc w:val="left"/>
              <w:rPr>
                <w:rFonts w:cs="Times New Roman"/>
                <w:b/>
                <w:bCs/>
                <w:iCs/>
                <w:sz w:val="16"/>
                <w:szCs w:val="16"/>
              </w:rPr>
            </w:pPr>
            <w:r>
              <w:rPr>
                <w:rFonts w:cs="Times New Roman"/>
                <w:b/>
                <w:bCs/>
                <w:iCs/>
                <w:sz w:val="16"/>
                <w:szCs w:val="16"/>
              </w:rPr>
              <w:t>No.</w:t>
            </w:r>
          </w:p>
        </w:tc>
        <w:tc>
          <w:tcPr>
            <w:tcW w:w="3564" w:type="pct"/>
            <w:shd w:val="clear" w:color="auto" w:fill="auto"/>
            <w:noWrap/>
            <w:hideMark/>
          </w:tcPr>
          <w:p w14:paraId="51D0C622" w14:textId="77777777" w:rsidR="00953C77" w:rsidRPr="00197728" w:rsidRDefault="00953C77" w:rsidP="002E06C5">
            <w:pPr>
              <w:spacing w:before="40" w:after="40" w:line="240" w:lineRule="auto"/>
              <w:jc w:val="left"/>
              <w:rPr>
                <w:rFonts w:cs="Times New Roman"/>
                <w:b/>
                <w:bCs/>
                <w:iCs/>
                <w:sz w:val="16"/>
                <w:szCs w:val="16"/>
              </w:rPr>
            </w:pPr>
            <w:r w:rsidRPr="00197728">
              <w:rPr>
                <w:rFonts w:cs="Times New Roman"/>
                <w:b/>
                <w:bCs/>
                <w:iCs/>
                <w:sz w:val="16"/>
                <w:szCs w:val="16"/>
              </w:rPr>
              <w:t>Reference</w:t>
            </w:r>
          </w:p>
        </w:tc>
        <w:tc>
          <w:tcPr>
            <w:tcW w:w="1136" w:type="pct"/>
            <w:shd w:val="clear" w:color="auto" w:fill="auto"/>
            <w:noWrap/>
            <w:hideMark/>
          </w:tcPr>
          <w:p w14:paraId="514DF46C" w14:textId="77777777" w:rsidR="00953C77" w:rsidRPr="00197728" w:rsidRDefault="00953C77" w:rsidP="002E06C5">
            <w:pPr>
              <w:spacing w:before="40" w:after="40" w:line="240" w:lineRule="auto"/>
              <w:jc w:val="left"/>
              <w:rPr>
                <w:rFonts w:eastAsia="Times New Roman" w:cs="Times New Roman"/>
                <w:b/>
                <w:bCs/>
                <w:color w:val="000000"/>
                <w:sz w:val="16"/>
                <w:szCs w:val="16"/>
              </w:rPr>
            </w:pPr>
            <w:r w:rsidRPr="00197728">
              <w:rPr>
                <w:rFonts w:eastAsia="Times New Roman" w:cs="Times New Roman"/>
                <w:b/>
                <w:bCs/>
                <w:color w:val="000000"/>
                <w:sz w:val="16"/>
                <w:szCs w:val="16"/>
              </w:rPr>
              <w:t>Reason for Exclusion</w:t>
            </w:r>
          </w:p>
        </w:tc>
      </w:tr>
      <w:tr w:rsidR="00953C77" w:rsidRPr="00617C9D" w14:paraId="52B87B4E" w14:textId="77777777" w:rsidTr="00CF3AFF">
        <w:tc>
          <w:tcPr>
            <w:tcW w:w="5000" w:type="pct"/>
            <w:gridSpan w:val="3"/>
            <w:shd w:val="clear" w:color="auto" w:fill="F2F2F2" w:themeFill="background1" w:themeFillShade="F2"/>
            <w:noWrap/>
            <w:hideMark/>
          </w:tcPr>
          <w:p w14:paraId="32506ED4" w14:textId="4812D4E4" w:rsidR="00953C77" w:rsidRPr="00AD03B0" w:rsidRDefault="00953C77" w:rsidP="002E06C5">
            <w:pPr>
              <w:spacing w:before="40" w:after="40" w:line="240" w:lineRule="auto"/>
              <w:jc w:val="left"/>
              <w:rPr>
                <w:rFonts w:eastAsia="Times New Roman" w:cs="Times New Roman"/>
                <w:b/>
                <w:bCs/>
                <w:iCs/>
                <w:color w:val="000000"/>
                <w:sz w:val="16"/>
                <w:szCs w:val="16"/>
              </w:rPr>
            </w:pPr>
            <w:r w:rsidRPr="00AD03B0">
              <w:rPr>
                <w:rFonts w:cs="Times New Roman"/>
                <w:b/>
                <w:bCs/>
                <w:iCs/>
                <w:sz w:val="16"/>
                <w:szCs w:val="16"/>
              </w:rPr>
              <w:t xml:space="preserve">Exclusion </w:t>
            </w:r>
            <w:r w:rsidR="00D56963">
              <w:rPr>
                <w:rFonts w:cs="Times New Roman"/>
                <w:b/>
                <w:bCs/>
                <w:iCs/>
                <w:sz w:val="16"/>
                <w:szCs w:val="16"/>
              </w:rPr>
              <w:t xml:space="preserve">in </w:t>
            </w:r>
            <w:r w:rsidRPr="00AD03B0">
              <w:rPr>
                <w:rFonts w:cs="Times New Roman"/>
                <w:b/>
                <w:bCs/>
                <w:iCs/>
                <w:sz w:val="16"/>
                <w:szCs w:val="16"/>
              </w:rPr>
              <w:t>Abstract Screening Stage</w:t>
            </w:r>
          </w:p>
        </w:tc>
      </w:tr>
      <w:tr w:rsidR="00953C77" w:rsidRPr="00197728" w14:paraId="298B11AB" w14:textId="77777777" w:rsidTr="00AD03B0">
        <w:tc>
          <w:tcPr>
            <w:tcW w:w="301" w:type="pct"/>
            <w:shd w:val="clear" w:color="auto" w:fill="auto"/>
            <w:noWrap/>
            <w:hideMark/>
          </w:tcPr>
          <w:p w14:paraId="0A5F3356"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w:t>
            </w:r>
          </w:p>
        </w:tc>
        <w:tc>
          <w:tcPr>
            <w:tcW w:w="3564" w:type="pct"/>
            <w:shd w:val="clear" w:color="auto" w:fill="auto"/>
            <w:noWrap/>
            <w:hideMark/>
          </w:tcPr>
          <w:p w14:paraId="01410F1C"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Anandadas CN, Clarke NW, Davidson SE, O'Reilly PH, Logue JP, Gilmore L, et al. Early prostate cancer--which treatment do men prefer and why? BJU Int. 2011;107(11):1762-8.</w:t>
            </w:r>
          </w:p>
        </w:tc>
        <w:tc>
          <w:tcPr>
            <w:tcW w:w="1136" w:type="pct"/>
            <w:shd w:val="clear" w:color="auto" w:fill="auto"/>
            <w:noWrap/>
            <w:hideMark/>
          </w:tcPr>
          <w:p w14:paraId="37ED66BC"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7BBA001D" w14:textId="77777777" w:rsidTr="00AD03B0">
        <w:tc>
          <w:tcPr>
            <w:tcW w:w="301" w:type="pct"/>
            <w:shd w:val="clear" w:color="auto" w:fill="auto"/>
            <w:noWrap/>
            <w:hideMark/>
          </w:tcPr>
          <w:p w14:paraId="5731841E"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w:t>
            </w:r>
          </w:p>
        </w:tc>
        <w:tc>
          <w:tcPr>
            <w:tcW w:w="3564" w:type="pct"/>
            <w:shd w:val="clear" w:color="auto" w:fill="auto"/>
            <w:noWrap/>
            <w:hideMark/>
          </w:tcPr>
          <w:p w14:paraId="21A6592D"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Ávila M, Becerra V, Guedea F, Suárez JF, Fernandez P, Macías V, et al. Estimating preferences for treatments in patients with localized prostate cancer. Int J Radiat Oncol Biol Phys. 2015;91(2):277-87.</w:t>
            </w:r>
          </w:p>
        </w:tc>
        <w:tc>
          <w:tcPr>
            <w:tcW w:w="1136" w:type="pct"/>
            <w:shd w:val="clear" w:color="auto" w:fill="auto"/>
            <w:noWrap/>
            <w:hideMark/>
          </w:tcPr>
          <w:p w14:paraId="05B7EADE"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399C8446" w14:textId="77777777" w:rsidTr="00AD03B0">
        <w:tc>
          <w:tcPr>
            <w:tcW w:w="301" w:type="pct"/>
            <w:shd w:val="clear" w:color="auto" w:fill="auto"/>
            <w:noWrap/>
            <w:hideMark/>
          </w:tcPr>
          <w:p w14:paraId="29A364F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w:t>
            </w:r>
          </w:p>
        </w:tc>
        <w:tc>
          <w:tcPr>
            <w:tcW w:w="3564" w:type="pct"/>
            <w:shd w:val="clear" w:color="auto" w:fill="auto"/>
            <w:noWrap/>
            <w:hideMark/>
          </w:tcPr>
          <w:p w14:paraId="7C64A766"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Berry DL, Halpenny B, Hong F, Wolpin S, Lober WB, Russell KJ, et al. The Personal Patient Profile-Prostate decision support for men with localized prostate cancer: a multi-center randomized trial. Urol Oncol. 2013;31(7):1012-21.</w:t>
            </w:r>
          </w:p>
        </w:tc>
        <w:tc>
          <w:tcPr>
            <w:tcW w:w="1136" w:type="pct"/>
            <w:shd w:val="clear" w:color="auto" w:fill="auto"/>
            <w:noWrap/>
            <w:hideMark/>
          </w:tcPr>
          <w:p w14:paraId="3C76EE30"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1E9F116D" w14:textId="77777777" w:rsidTr="00AD03B0">
        <w:tc>
          <w:tcPr>
            <w:tcW w:w="301" w:type="pct"/>
            <w:shd w:val="clear" w:color="auto" w:fill="auto"/>
            <w:noWrap/>
            <w:hideMark/>
          </w:tcPr>
          <w:p w14:paraId="448B4D4B"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4</w:t>
            </w:r>
          </w:p>
        </w:tc>
        <w:tc>
          <w:tcPr>
            <w:tcW w:w="3564" w:type="pct"/>
            <w:shd w:val="clear" w:color="auto" w:fill="auto"/>
            <w:noWrap/>
            <w:hideMark/>
          </w:tcPr>
          <w:p w14:paraId="2F21043F"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Berry DL, Hong F, Blonquist TM, Halpenny B, Filson CP, Master VA, et al. Decision Support with the Personal Patient Profile-Prostate: A Multicenter Randomized Trial. J Urol. 2018;199(1):89-97.</w:t>
            </w:r>
          </w:p>
        </w:tc>
        <w:tc>
          <w:tcPr>
            <w:tcW w:w="1136" w:type="pct"/>
            <w:shd w:val="clear" w:color="auto" w:fill="auto"/>
            <w:noWrap/>
            <w:hideMark/>
          </w:tcPr>
          <w:p w14:paraId="20ACC21A"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0FBEE1FE" w14:textId="77777777" w:rsidTr="00AD03B0">
        <w:tc>
          <w:tcPr>
            <w:tcW w:w="301" w:type="pct"/>
            <w:shd w:val="clear" w:color="auto" w:fill="auto"/>
            <w:noWrap/>
            <w:hideMark/>
          </w:tcPr>
          <w:p w14:paraId="576C3BFE"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5</w:t>
            </w:r>
          </w:p>
        </w:tc>
        <w:tc>
          <w:tcPr>
            <w:tcW w:w="3564" w:type="pct"/>
            <w:shd w:val="clear" w:color="auto" w:fill="auto"/>
            <w:noWrap/>
            <w:hideMark/>
          </w:tcPr>
          <w:p w14:paraId="6E465E5B"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Blinman P, King M, Norman R, Viney R, Stockler MR. Preferences for cancer treatments: an overview of methods and applications in oncology. Ann Oncol. 2012;23(5):1104-10.</w:t>
            </w:r>
          </w:p>
        </w:tc>
        <w:tc>
          <w:tcPr>
            <w:tcW w:w="1136" w:type="pct"/>
            <w:shd w:val="clear" w:color="auto" w:fill="auto"/>
            <w:noWrap/>
            <w:hideMark/>
          </w:tcPr>
          <w:p w14:paraId="1C9EB628"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No preference study</w:t>
            </w:r>
          </w:p>
        </w:tc>
      </w:tr>
      <w:tr w:rsidR="00953C77" w:rsidRPr="00197728" w14:paraId="28D6D6E4" w14:textId="77777777" w:rsidTr="00AD03B0">
        <w:tc>
          <w:tcPr>
            <w:tcW w:w="301" w:type="pct"/>
            <w:shd w:val="clear" w:color="auto" w:fill="auto"/>
            <w:noWrap/>
            <w:hideMark/>
          </w:tcPr>
          <w:p w14:paraId="28F08F5D"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6</w:t>
            </w:r>
          </w:p>
        </w:tc>
        <w:tc>
          <w:tcPr>
            <w:tcW w:w="3564" w:type="pct"/>
            <w:shd w:val="clear" w:color="auto" w:fill="auto"/>
            <w:noWrap/>
            <w:hideMark/>
          </w:tcPr>
          <w:p w14:paraId="2FB89E3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Cuypers M, Lamers RED, Kil PJM, van de Poll-Franse LV, de Vries M. Impact of a web-based prostate cancer treatment decision aid on patient-reported decision process parameters: results from the Prostate Cancer Patient Centered Care trial. Support Care Cancer. 2018;26(11):3739-48.</w:t>
            </w:r>
          </w:p>
        </w:tc>
        <w:tc>
          <w:tcPr>
            <w:tcW w:w="1136" w:type="pct"/>
            <w:shd w:val="clear" w:color="auto" w:fill="auto"/>
            <w:noWrap/>
            <w:hideMark/>
          </w:tcPr>
          <w:p w14:paraId="589A0C4D"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3A56B529" w14:textId="77777777" w:rsidTr="00AD03B0">
        <w:tc>
          <w:tcPr>
            <w:tcW w:w="301" w:type="pct"/>
            <w:shd w:val="clear" w:color="auto" w:fill="auto"/>
            <w:noWrap/>
            <w:hideMark/>
          </w:tcPr>
          <w:p w14:paraId="54FEB867"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7</w:t>
            </w:r>
          </w:p>
        </w:tc>
        <w:tc>
          <w:tcPr>
            <w:tcW w:w="3564" w:type="pct"/>
            <w:shd w:val="clear" w:color="auto" w:fill="auto"/>
            <w:noWrap/>
            <w:hideMark/>
          </w:tcPr>
          <w:p w14:paraId="4AF51D83"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Davison BJ, Gleave ME, Goldenberg SL, Degner LF, Hoffart D, Berkowitz J. Assessing information and decision preferences of men with prostate cancer and their partners. Cancer Nurs. 2002;25(1):42-9.</w:t>
            </w:r>
          </w:p>
        </w:tc>
        <w:tc>
          <w:tcPr>
            <w:tcW w:w="1136" w:type="pct"/>
            <w:shd w:val="clear" w:color="auto" w:fill="auto"/>
            <w:noWrap/>
            <w:hideMark/>
          </w:tcPr>
          <w:p w14:paraId="3879F91E"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Preferences unrelated to treatment</w:t>
            </w:r>
          </w:p>
        </w:tc>
      </w:tr>
      <w:tr w:rsidR="00953C77" w:rsidRPr="00197728" w14:paraId="7E055FF7" w14:textId="77777777" w:rsidTr="00AD03B0">
        <w:tc>
          <w:tcPr>
            <w:tcW w:w="301" w:type="pct"/>
            <w:shd w:val="clear" w:color="auto" w:fill="auto"/>
            <w:noWrap/>
            <w:hideMark/>
          </w:tcPr>
          <w:p w14:paraId="2B70C7C1"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8</w:t>
            </w:r>
          </w:p>
        </w:tc>
        <w:tc>
          <w:tcPr>
            <w:tcW w:w="3564" w:type="pct"/>
            <w:shd w:val="clear" w:color="auto" w:fill="auto"/>
            <w:noWrap/>
            <w:hideMark/>
          </w:tcPr>
          <w:p w14:paraId="20ABF322"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de Bekker-Grob EW, Bliemer MCJ, Donkers B, Essink-Bot ML, Korfage IJ, Roobol MJ, et al. Patients’ and urologists’ preferences for prostate cancer treatment: a discrete choice experiment. British Journal of Cancer. 2013;109(3):633-40.</w:t>
            </w:r>
          </w:p>
        </w:tc>
        <w:tc>
          <w:tcPr>
            <w:tcW w:w="1136" w:type="pct"/>
            <w:shd w:val="clear" w:color="auto" w:fill="auto"/>
            <w:noWrap/>
            <w:hideMark/>
          </w:tcPr>
          <w:p w14:paraId="7F9B25C8"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007AECB3" w14:textId="77777777" w:rsidTr="00AD03B0">
        <w:tc>
          <w:tcPr>
            <w:tcW w:w="301" w:type="pct"/>
            <w:shd w:val="clear" w:color="auto" w:fill="auto"/>
            <w:noWrap/>
            <w:hideMark/>
          </w:tcPr>
          <w:p w14:paraId="2F3F7FBE"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9</w:t>
            </w:r>
          </w:p>
        </w:tc>
        <w:tc>
          <w:tcPr>
            <w:tcW w:w="3564" w:type="pct"/>
            <w:shd w:val="clear" w:color="auto" w:fill="auto"/>
            <w:noWrap/>
            <w:hideMark/>
          </w:tcPr>
          <w:p w14:paraId="32145CFD"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lang w:val="de-CH"/>
              </w:rPr>
              <w:t xml:space="preserve">Denberg TD, Melhado TV, Steiner JF. </w:t>
            </w:r>
            <w:r w:rsidRPr="00197728">
              <w:rPr>
                <w:rFonts w:cs="Times New Roman"/>
                <w:iCs/>
                <w:sz w:val="16"/>
                <w:szCs w:val="16"/>
              </w:rPr>
              <w:t>Patient treatment preferences in localized prostate carcinoma: The influence of emotion, misconception, and anecdote. Cancer. 2006;107(3):620-30.</w:t>
            </w:r>
          </w:p>
        </w:tc>
        <w:tc>
          <w:tcPr>
            <w:tcW w:w="1136" w:type="pct"/>
            <w:shd w:val="clear" w:color="auto" w:fill="auto"/>
            <w:noWrap/>
            <w:hideMark/>
          </w:tcPr>
          <w:p w14:paraId="52401BE4"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6A3723B2" w14:textId="77777777" w:rsidTr="00AD03B0">
        <w:tc>
          <w:tcPr>
            <w:tcW w:w="301" w:type="pct"/>
            <w:shd w:val="clear" w:color="auto" w:fill="auto"/>
            <w:noWrap/>
            <w:hideMark/>
          </w:tcPr>
          <w:p w14:paraId="06D72D9A"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10</w:t>
            </w:r>
          </w:p>
        </w:tc>
        <w:tc>
          <w:tcPr>
            <w:tcW w:w="3564" w:type="pct"/>
            <w:shd w:val="clear" w:color="auto" w:fill="auto"/>
            <w:noWrap/>
            <w:hideMark/>
          </w:tcPr>
          <w:p w14:paraId="07FD249F"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Elkin EB, Cowen ME, Cahill D, Steffel M, Kattan MW. Preference assessment method affects decision-analytic recommendations: a prostate cancer treatment example. Med Decis Making. 2004;24(5):504-10.</w:t>
            </w:r>
          </w:p>
        </w:tc>
        <w:tc>
          <w:tcPr>
            <w:tcW w:w="1136" w:type="pct"/>
            <w:shd w:val="clear" w:color="auto" w:fill="auto"/>
            <w:noWrap/>
            <w:hideMark/>
          </w:tcPr>
          <w:p w14:paraId="1572A52B"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24B6E4A3" w14:textId="77777777" w:rsidTr="00AD03B0">
        <w:tc>
          <w:tcPr>
            <w:tcW w:w="301" w:type="pct"/>
            <w:shd w:val="clear" w:color="auto" w:fill="auto"/>
            <w:noWrap/>
            <w:hideMark/>
          </w:tcPr>
          <w:p w14:paraId="60614748"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11</w:t>
            </w:r>
          </w:p>
        </w:tc>
        <w:tc>
          <w:tcPr>
            <w:tcW w:w="3564" w:type="pct"/>
            <w:shd w:val="clear" w:color="auto" w:fill="auto"/>
            <w:noWrap/>
            <w:hideMark/>
          </w:tcPr>
          <w:p w14:paraId="0EF86EA0"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Elkin EB, Vickers AJ, Kattan M. Primer: Using decision analysis to improve clinical decision making in urology. Nat Clin Pract Urol. 2006;3(8):439-48.</w:t>
            </w:r>
          </w:p>
        </w:tc>
        <w:tc>
          <w:tcPr>
            <w:tcW w:w="1136" w:type="pct"/>
            <w:shd w:val="clear" w:color="auto" w:fill="auto"/>
            <w:noWrap/>
            <w:hideMark/>
          </w:tcPr>
          <w:p w14:paraId="6BB89EF4"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No preference study</w:t>
            </w:r>
          </w:p>
        </w:tc>
      </w:tr>
      <w:tr w:rsidR="00953C77" w:rsidRPr="00197728" w14:paraId="73584E73" w14:textId="77777777" w:rsidTr="00AD03B0">
        <w:tc>
          <w:tcPr>
            <w:tcW w:w="301" w:type="pct"/>
            <w:shd w:val="clear" w:color="auto" w:fill="auto"/>
            <w:noWrap/>
            <w:hideMark/>
          </w:tcPr>
          <w:p w14:paraId="176E0D92"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12</w:t>
            </w:r>
          </w:p>
        </w:tc>
        <w:tc>
          <w:tcPr>
            <w:tcW w:w="3564" w:type="pct"/>
            <w:shd w:val="clear" w:color="auto" w:fill="auto"/>
            <w:noWrap/>
            <w:hideMark/>
          </w:tcPr>
          <w:p w14:paraId="740B5109"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lang w:val="de-CH"/>
              </w:rPr>
              <w:t xml:space="preserve">Gries KS, Regier DA, Ramsey SD, Patrick DL. </w:t>
            </w:r>
            <w:r w:rsidRPr="00197728">
              <w:rPr>
                <w:rFonts w:cs="Times New Roman"/>
                <w:iCs/>
                <w:sz w:val="16"/>
                <w:szCs w:val="16"/>
              </w:rPr>
              <w:t>Preferences for Prostate Cancer Outcomes: A Comparison of the Patient Perspective, the General Population Perspective, and a Population at Risk for Prostate Cancer. Value Health. 2016;19(2):218-25.</w:t>
            </w:r>
          </w:p>
        </w:tc>
        <w:tc>
          <w:tcPr>
            <w:tcW w:w="1136" w:type="pct"/>
            <w:shd w:val="clear" w:color="auto" w:fill="auto"/>
            <w:noWrap/>
            <w:hideMark/>
          </w:tcPr>
          <w:p w14:paraId="7130AC8B"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Preferences unrelated to treatment</w:t>
            </w:r>
          </w:p>
        </w:tc>
      </w:tr>
      <w:tr w:rsidR="00953C77" w:rsidRPr="00197728" w14:paraId="367FB2DC" w14:textId="77777777" w:rsidTr="00AD03B0">
        <w:tc>
          <w:tcPr>
            <w:tcW w:w="301" w:type="pct"/>
            <w:shd w:val="clear" w:color="auto" w:fill="auto"/>
            <w:noWrap/>
            <w:hideMark/>
          </w:tcPr>
          <w:p w14:paraId="1DC678A8"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13</w:t>
            </w:r>
          </w:p>
        </w:tc>
        <w:tc>
          <w:tcPr>
            <w:tcW w:w="3564" w:type="pct"/>
            <w:shd w:val="clear" w:color="auto" w:fill="auto"/>
            <w:noWrap/>
            <w:hideMark/>
          </w:tcPr>
          <w:p w14:paraId="620F87A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Herrmann A, Sanson-Fisher R, Hall A, Wall L, Zdenkowski N, Waller A. A discrete choice experiment to assess cancer patients’ preferences for when and how to make treatment decisions. Supportive Care Cancer. 2018;26(4):1215-20.</w:t>
            </w:r>
          </w:p>
        </w:tc>
        <w:tc>
          <w:tcPr>
            <w:tcW w:w="1136" w:type="pct"/>
            <w:shd w:val="clear" w:color="auto" w:fill="auto"/>
            <w:noWrap/>
            <w:hideMark/>
          </w:tcPr>
          <w:p w14:paraId="08D38AC7"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Focus on other treatments/patient groups</w:t>
            </w:r>
          </w:p>
        </w:tc>
      </w:tr>
      <w:tr w:rsidR="00953C77" w:rsidRPr="00197728" w14:paraId="23290C25" w14:textId="77777777" w:rsidTr="00AD03B0">
        <w:tc>
          <w:tcPr>
            <w:tcW w:w="301" w:type="pct"/>
            <w:shd w:val="clear" w:color="auto" w:fill="auto"/>
            <w:noWrap/>
            <w:hideMark/>
          </w:tcPr>
          <w:p w14:paraId="5BFD6F19"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14</w:t>
            </w:r>
          </w:p>
        </w:tc>
        <w:tc>
          <w:tcPr>
            <w:tcW w:w="3564" w:type="pct"/>
            <w:shd w:val="clear" w:color="auto" w:fill="auto"/>
            <w:noWrap/>
            <w:hideMark/>
          </w:tcPr>
          <w:p w14:paraId="249BEF5F"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Hoffman RM. Improving the communication of benefits and harms of treatment strategies: decision AIDS for localized prostate cancer treatment decisions. J Natl Cancer Inst Monogr. 2012;2012(45):197-201.</w:t>
            </w:r>
          </w:p>
        </w:tc>
        <w:tc>
          <w:tcPr>
            <w:tcW w:w="1136" w:type="pct"/>
            <w:shd w:val="clear" w:color="auto" w:fill="auto"/>
            <w:noWrap/>
            <w:hideMark/>
          </w:tcPr>
          <w:p w14:paraId="0D3AC876"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No preference study</w:t>
            </w:r>
          </w:p>
        </w:tc>
      </w:tr>
      <w:tr w:rsidR="00953C77" w:rsidRPr="00197728" w14:paraId="2E163945" w14:textId="77777777" w:rsidTr="00AD03B0">
        <w:tc>
          <w:tcPr>
            <w:tcW w:w="301" w:type="pct"/>
            <w:shd w:val="clear" w:color="auto" w:fill="auto"/>
            <w:noWrap/>
            <w:hideMark/>
          </w:tcPr>
          <w:p w14:paraId="78C3A089"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15</w:t>
            </w:r>
          </w:p>
        </w:tc>
        <w:tc>
          <w:tcPr>
            <w:tcW w:w="3564" w:type="pct"/>
            <w:shd w:val="clear" w:color="auto" w:fill="auto"/>
            <w:noWrap/>
            <w:hideMark/>
          </w:tcPr>
          <w:p w14:paraId="03F29159"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lang w:val="de-CH"/>
              </w:rPr>
              <w:t xml:space="preserve">Ihrig A, Maatouk I, Friederich HC, Baunacke M, Groeben C, Koch R, et al. </w:t>
            </w:r>
            <w:r w:rsidRPr="00197728">
              <w:rPr>
                <w:rFonts w:cs="Times New Roman"/>
                <w:iCs/>
                <w:sz w:val="16"/>
                <w:szCs w:val="16"/>
              </w:rPr>
              <w:t>The Treatment Decision-making Preferences of Patients with Prostate Cancer Should Be Recorded in Research and Clinical Routine: a Pooled Analysis of Four Survey Studies with 7169 Patients. J Cancer Educ. 2020.</w:t>
            </w:r>
          </w:p>
        </w:tc>
        <w:tc>
          <w:tcPr>
            <w:tcW w:w="1136" w:type="pct"/>
            <w:shd w:val="clear" w:color="auto" w:fill="auto"/>
            <w:noWrap/>
            <w:hideMark/>
          </w:tcPr>
          <w:p w14:paraId="0BBEB444"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Preferences unrelated to treatment</w:t>
            </w:r>
          </w:p>
        </w:tc>
      </w:tr>
      <w:tr w:rsidR="00953C77" w:rsidRPr="00197728" w14:paraId="7D4853D2" w14:textId="77777777" w:rsidTr="00AD03B0">
        <w:tc>
          <w:tcPr>
            <w:tcW w:w="301" w:type="pct"/>
            <w:shd w:val="clear" w:color="auto" w:fill="auto"/>
            <w:noWrap/>
            <w:hideMark/>
          </w:tcPr>
          <w:p w14:paraId="259FD81F"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16</w:t>
            </w:r>
          </w:p>
        </w:tc>
        <w:tc>
          <w:tcPr>
            <w:tcW w:w="3564" w:type="pct"/>
            <w:shd w:val="clear" w:color="auto" w:fill="auto"/>
            <w:noWrap/>
            <w:hideMark/>
          </w:tcPr>
          <w:p w14:paraId="0032DEC1"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Jayadevappa R, Chhatre S, Gallo JJ, Malkowicz SB, Schwartz JS, Wittink MN. Patient-Centered Approach to Develop the Patient’s Preferences for Prostate Cancer Care (PreProCare) Tool. MDM Policy &amp; Practice. 2019;4(1):238146831985537.</w:t>
            </w:r>
          </w:p>
        </w:tc>
        <w:tc>
          <w:tcPr>
            <w:tcW w:w="1136" w:type="pct"/>
            <w:shd w:val="clear" w:color="auto" w:fill="auto"/>
            <w:noWrap/>
            <w:hideMark/>
          </w:tcPr>
          <w:p w14:paraId="3A983C26"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583EE868" w14:textId="77777777" w:rsidTr="00AD03B0">
        <w:tc>
          <w:tcPr>
            <w:tcW w:w="301" w:type="pct"/>
            <w:shd w:val="clear" w:color="auto" w:fill="auto"/>
            <w:noWrap/>
            <w:hideMark/>
          </w:tcPr>
          <w:p w14:paraId="5AC49B98"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17</w:t>
            </w:r>
          </w:p>
        </w:tc>
        <w:tc>
          <w:tcPr>
            <w:tcW w:w="3564" w:type="pct"/>
            <w:shd w:val="clear" w:color="auto" w:fill="auto"/>
            <w:noWrap/>
            <w:hideMark/>
          </w:tcPr>
          <w:p w14:paraId="4391FD3F"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Jayadevappa R, Chhatre S, Gallo JJ, Wittink M, Morales KH, Lee DI, et al. Patient-Centered Preference Assessment to Improve Satisfaction With Care Among Patients With Localized Prostate Cancer: A Randomized Controlled Trial. J Clin Oncol. 2019;37(12):964-73.</w:t>
            </w:r>
          </w:p>
        </w:tc>
        <w:tc>
          <w:tcPr>
            <w:tcW w:w="1136" w:type="pct"/>
            <w:shd w:val="clear" w:color="auto" w:fill="auto"/>
            <w:noWrap/>
            <w:hideMark/>
          </w:tcPr>
          <w:p w14:paraId="52AD2A5C"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222ED346" w14:textId="77777777" w:rsidTr="00AD03B0">
        <w:tc>
          <w:tcPr>
            <w:tcW w:w="301" w:type="pct"/>
            <w:shd w:val="clear" w:color="auto" w:fill="auto"/>
            <w:noWrap/>
            <w:hideMark/>
          </w:tcPr>
          <w:p w14:paraId="0066C796"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18</w:t>
            </w:r>
          </w:p>
        </w:tc>
        <w:tc>
          <w:tcPr>
            <w:tcW w:w="3564" w:type="pct"/>
            <w:shd w:val="clear" w:color="auto" w:fill="auto"/>
            <w:noWrap/>
            <w:hideMark/>
          </w:tcPr>
          <w:p w14:paraId="020364E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Jenkins V, Fallowfield L, Edginton T, Payne H, Hamilton E. Preferences of healthy men for two different endocrine treatment options offered for locally advanced prostate cancer. Curr Med Res Opin. 2005;21(9):1329-35.</w:t>
            </w:r>
          </w:p>
        </w:tc>
        <w:tc>
          <w:tcPr>
            <w:tcW w:w="1136" w:type="pct"/>
            <w:shd w:val="clear" w:color="auto" w:fill="auto"/>
            <w:noWrap/>
            <w:hideMark/>
          </w:tcPr>
          <w:p w14:paraId="5742366D"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019ECEAD" w14:textId="77777777" w:rsidTr="00AD03B0">
        <w:tc>
          <w:tcPr>
            <w:tcW w:w="301" w:type="pct"/>
            <w:shd w:val="clear" w:color="auto" w:fill="auto"/>
            <w:noWrap/>
            <w:hideMark/>
          </w:tcPr>
          <w:p w14:paraId="796BD641"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lastRenderedPageBreak/>
              <w:t>19</w:t>
            </w:r>
          </w:p>
        </w:tc>
        <w:tc>
          <w:tcPr>
            <w:tcW w:w="3564" w:type="pct"/>
            <w:shd w:val="clear" w:color="auto" w:fill="auto"/>
            <w:noWrap/>
            <w:hideMark/>
          </w:tcPr>
          <w:p w14:paraId="390773CD"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Johnson DC, Mueller DE, Deal AM, Dunn MW, Smith AB, Woods ME, et al. Integrating Patient Preference into Treatment Decisions for Men with Prostate Cancer at the Point of Care. J Urol. 2016;196(6):1640-4.</w:t>
            </w:r>
          </w:p>
        </w:tc>
        <w:tc>
          <w:tcPr>
            <w:tcW w:w="1136" w:type="pct"/>
            <w:shd w:val="clear" w:color="auto" w:fill="auto"/>
            <w:noWrap/>
            <w:hideMark/>
          </w:tcPr>
          <w:p w14:paraId="6DF2406F"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48610BBF" w14:textId="77777777" w:rsidTr="00AD03B0">
        <w:tc>
          <w:tcPr>
            <w:tcW w:w="301" w:type="pct"/>
            <w:shd w:val="clear" w:color="auto" w:fill="auto"/>
            <w:noWrap/>
            <w:hideMark/>
          </w:tcPr>
          <w:p w14:paraId="446B6923"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20</w:t>
            </w:r>
          </w:p>
        </w:tc>
        <w:tc>
          <w:tcPr>
            <w:tcW w:w="3564" w:type="pct"/>
            <w:shd w:val="clear" w:color="auto" w:fill="auto"/>
            <w:noWrap/>
            <w:hideMark/>
          </w:tcPr>
          <w:p w14:paraId="67AD3696"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Kaplan RM, Crespi CM, Dahan E, Saucedo JD, Pagan C, Saigal CS. Comparison of Rating Scale, Time Tradeoff, and Conjoint Analysis Methods for Assessment of Preferences in Prostate Cancer. Med Decis Making. 2019;39(7):816-26.</w:t>
            </w:r>
          </w:p>
        </w:tc>
        <w:tc>
          <w:tcPr>
            <w:tcW w:w="1136" w:type="pct"/>
            <w:shd w:val="clear" w:color="auto" w:fill="auto"/>
            <w:noWrap/>
            <w:hideMark/>
          </w:tcPr>
          <w:p w14:paraId="7B13F9BF"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4267E9A3" w14:textId="77777777" w:rsidTr="00AD03B0">
        <w:tc>
          <w:tcPr>
            <w:tcW w:w="301" w:type="pct"/>
            <w:shd w:val="clear" w:color="auto" w:fill="auto"/>
            <w:noWrap/>
            <w:hideMark/>
          </w:tcPr>
          <w:p w14:paraId="4E0C85DD"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21</w:t>
            </w:r>
          </w:p>
        </w:tc>
        <w:tc>
          <w:tcPr>
            <w:tcW w:w="3564" w:type="pct"/>
            <w:shd w:val="clear" w:color="auto" w:fill="auto"/>
            <w:noWrap/>
            <w:hideMark/>
          </w:tcPr>
          <w:p w14:paraId="5178433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Knight SJ, Latini DM. Sexual side effects and prostate cancer treatment decisions: patient information needs and preferences. Cancer J. 2009;15(1):41-4.</w:t>
            </w:r>
          </w:p>
        </w:tc>
        <w:tc>
          <w:tcPr>
            <w:tcW w:w="1136" w:type="pct"/>
            <w:shd w:val="clear" w:color="auto" w:fill="auto"/>
            <w:noWrap/>
            <w:hideMark/>
          </w:tcPr>
          <w:p w14:paraId="0DB70C84"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No preference study</w:t>
            </w:r>
          </w:p>
        </w:tc>
      </w:tr>
      <w:tr w:rsidR="00953C77" w:rsidRPr="00197728" w14:paraId="5E34E02B" w14:textId="77777777" w:rsidTr="00AD03B0">
        <w:tc>
          <w:tcPr>
            <w:tcW w:w="301" w:type="pct"/>
            <w:shd w:val="clear" w:color="auto" w:fill="auto"/>
            <w:noWrap/>
            <w:hideMark/>
          </w:tcPr>
          <w:p w14:paraId="277AE935"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22</w:t>
            </w:r>
          </w:p>
        </w:tc>
        <w:tc>
          <w:tcPr>
            <w:tcW w:w="3564" w:type="pct"/>
            <w:shd w:val="clear" w:color="auto" w:fill="auto"/>
            <w:noWrap/>
            <w:hideMark/>
          </w:tcPr>
          <w:p w14:paraId="31516BAC"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Knight SJ, Nathan DP, Siston AK, Kattan MW, Elstein AS, Collela KM, et al. Pilot study of a utilities-based treatment decision intervention for prostate cancer patients. Clin Prostate Cancer. 2002;1(2):105-14.</w:t>
            </w:r>
          </w:p>
        </w:tc>
        <w:tc>
          <w:tcPr>
            <w:tcW w:w="1136" w:type="pct"/>
            <w:shd w:val="clear" w:color="auto" w:fill="auto"/>
            <w:noWrap/>
            <w:hideMark/>
          </w:tcPr>
          <w:p w14:paraId="1B9C8206"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268A318E" w14:textId="77777777" w:rsidTr="00AD03B0">
        <w:tc>
          <w:tcPr>
            <w:tcW w:w="301" w:type="pct"/>
            <w:shd w:val="clear" w:color="auto" w:fill="auto"/>
            <w:noWrap/>
            <w:hideMark/>
          </w:tcPr>
          <w:p w14:paraId="2D88B01B"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23</w:t>
            </w:r>
          </w:p>
        </w:tc>
        <w:tc>
          <w:tcPr>
            <w:tcW w:w="3564" w:type="pct"/>
            <w:shd w:val="clear" w:color="auto" w:fill="auto"/>
            <w:noWrap/>
            <w:hideMark/>
          </w:tcPr>
          <w:p w14:paraId="6FD8D785"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Knight SJ, Siston AK, Chmiel JS, Slimack N, Elstein AS, Chapman GB, et al. Ethnic variation in localized prostate cancer: a pilot study of preferences, optimism, and quality of life among black and white veterans. Clin Prostate Cancer. 2004;3(1):31-7.</w:t>
            </w:r>
          </w:p>
        </w:tc>
        <w:tc>
          <w:tcPr>
            <w:tcW w:w="1136" w:type="pct"/>
            <w:shd w:val="clear" w:color="auto" w:fill="auto"/>
            <w:noWrap/>
            <w:hideMark/>
          </w:tcPr>
          <w:p w14:paraId="6CD0EFBE"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1BC8B0E4" w14:textId="77777777" w:rsidTr="00AD03B0">
        <w:tc>
          <w:tcPr>
            <w:tcW w:w="301" w:type="pct"/>
            <w:shd w:val="clear" w:color="auto" w:fill="auto"/>
            <w:noWrap/>
            <w:hideMark/>
          </w:tcPr>
          <w:p w14:paraId="1E9BCCDC"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24</w:t>
            </w:r>
          </w:p>
        </w:tc>
        <w:tc>
          <w:tcPr>
            <w:tcW w:w="3564" w:type="pct"/>
            <w:shd w:val="clear" w:color="auto" w:fill="auto"/>
            <w:noWrap/>
            <w:hideMark/>
          </w:tcPr>
          <w:p w14:paraId="5A0ED735"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Kyroudi A, Petersson K, Ozsahin E, Bourhis J, Bochud F, Moeckli R. Exploration of clinical preferences in treatment planning of radiotherapy for prostate cancer using Pareto fronts and clinical grading analysis. Phy Imaging Radiat Oncol. 2020;14. Institute of Radiation Physics, Lausanne University Hospital, Rue du Grand-Pré 1, Lausanne, Switzerland):82-6.</w:t>
            </w:r>
          </w:p>
        </w:tc>
        <w:tc>
          <w:tcPr>
            <w:tcW w:w="1136" w:type="pct"/>
            <w:shd w:val="clear" w:color="auto" w:fill="auto"/>
            <w:noWrap/>
            <w:hideMark/>
          </w:tcPr>
          <w:p w14:paraId="0662EA71"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4B65818A" w14:textId="77777777" w:rsidTr="00AD03B0">
        <w:tc>
          <w:tcPr>
            <w:tcW w:w="301" w:type="pct"/>
            <w:shd w:val="clear" w:color="auto" w:fill="auto"/>
            <w:noWrap/>
            <w:hideMark/>
          </w:tcPr>
          <w:p w14:paraId="7D36EB5F"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25</w:t>
            </w:r>
          </w:p>
        </w:tc>
        <w:tc>
          <w:tcPr>
            <w:tcW w:w="3564" w:type="pct"/>
            <w:shd w:val="clear" w:color="auto" w:fill="auto"/>
            <w:noWrap/>
            <w:hideMark/>
          </w:tcPr>
          <w:p w14:paraId="3EF0A5D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Lamers RED, Cuypers M, de Vries M, van de Poll-Franse LV, Ruud Bosch JLH, Kil PJM. How do patients choose between active surveillance, radical prostatectomy, and radiotherapy? The effect of a preference-sensitive decision aid on treatment decision making for localized prostate cancer. Urol Oncol. 2017;35(2):37.e9-.e17.</w:t>
            </w:r>
          </w:p>
        </w:tc>
        <w:tc>
          <w:tcPr>
            <w:tcW w:w="1136" w:type="pct"/>
            <w:shd w:val="clear" w:color="auto" w:fill="auto"/>
            <w:noWrap/>
            <w:hideMark/>
          </w:tcPr>
          <w:p w14:paraId="31169BD8"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02A7C7C9" w14:textId="77777777" w:rsidTr="00AD03B0">
        <w:tc>
          <w:tcPr>
            <w:tcW w:w="301" w:type="pct"/>
            <w:shd w:val="clear" w:color="auto" w:fill="auto"/>
            <w:noWrap/>
            <w:hideMark/>
          </w:tcPr>
          <w:p w14:paraId="10275D55"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26</w:t>
            </w:r>
          </w:p>
        </w:tc>
        <w:tc>
          <w:tcPr>
            <w:tcW w:w="3564" w:type="pct"/>
            <w:shd w:val="clear" w:color="auto" w:fill="auto"/>
            <w:noWrap/>
            <w:hideMark/>
          </w:tcPr>
          <w:p w14:paraId="51344352"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Lubeck DP, Grossfeld GD, Carroll PR. A review of measurement of patient preferences for treatment outcomes after prostate cancer. Urology. 2002;60(3 Suppl 1):72-7; discussion 7-8.</w:t>
            </w:r>
          </w:p>
        </w:tc>
        <w:tc>
          <w:tcPr>
            <w:tcW w:w="1136" w:type="pct"/>
            <w:shd w:val="clear" w:color="auto" w:fill="auto"/>
            <w:noWrap/>
            <w:hideMark/>
          </w:tcPr>
          <w:p w14:paraId="5D077887"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No preference study</w:t>
            </w:r>
          </w:p>
        </w:tc>
      </w:tr>
      <w:tr w:rsidR="00953C77" w:rsidRPr="00197728" w14:paraId="4E0ABED8" w14:textId="77777777" w:rsidTr="00AD03B0">
        <w:tc>
          <w:tcPr>
            <w:tcW w:w="301" w:type="pct"/>
            <w:shd w:val="clear" w:color="auto" w:fill="auto"/>
            <w:noWrap/>
            <w:hideMark/>
          </w:tcPr>
          <w:p w14:paraId="79A81D58"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27</w:t>
            </w:r>
          </w:p>
        </w:tc>
        <w:tc>
          <w:tcPr>
            <w:tcW w:w="3564" w:type="pct"/>
            <w:shd w:val="clear" w:color="auto" w:fill="auto"/>
            <w:noWrap/>
            <w:hideMark/>
          </w:tcPr>
          <w:p w14:paraId="417AA312"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Pieterse AH, Henselmans I, de Haes HCJM, Koning CCE, Geijsen ED, Smets EMA. Shared decision making: prostate cancer patients' appraisal of treatment alternatives and oncologists' eliciting and responding behavior, an explorative study. Patient Educ Couns. 2011;85(3):e251-9.</w:t>
            </w:r>
          </w:p>
        </w:tc>
        <w:tc>
          <w:tcPr>
            <w:tcW w:w="1136" w:type="pct"/>
            <w:shd w:val="clear" w:color="auto" w:fill="auto"/>
            <w:noWrap/>
            <w:hideMark/>
          </w:tcPr>
          <w:p w14:paraId="18CEBBE3"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No preference study</w:t>
            </w:r>
          </w:p>
        </w:tc>
      </w:tr>
      <w:tr w:rsidR="00953C77" w:rsidRPr="00197728" w14:paraId="513DEF29" w14:textId="77777777" w:rsidTr="00AD03B0">
        <w:tc>
          <w:tcPr>
            <w:tcW w:w="301" w:type="pct"/>
            <w:shd w:val="clear" w:color="auto" w:fill="auto"/>
            <w:noWrap/>
            <w:hideMark/>
          </w:tcPr>
          <w:p w14:paraId="0D4833F9"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28</w:t>
            </w:r>
          </w:p>
        </w:tc>
        <w:tc>
          <w:tcPr>
            <w:tcW w:w="3564" w:type="pct"/>
            <w:shd w:val="clear" w:color="auto" w:fill="auto"/>
            <w:noWrap/>
            <w:hideMark/>
          </w:tcPr>
          <w:p w14:paraId="25FE8038"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Ramsey SD, Zeliadt SB, Fedorenko CR, Blough DK, Moinpour CM, Hall IJ, et al. Patient preferences and urologist recommendations among local-stage prostate cancer patients who present for initial consultation and second opinions. World J Urol. 2011;29(1):3-9.</w:t>
            </w:r>
          </w:p>
        </w:tc>
        <w:tc>
          <w:tcPr>
            <w:tcW w:w="1136" w:type="pct"/>
            <w:shd w:val="clear" w:color="auto" w:fill="auto"/>
            <w:noWrap/>
            <w:hideMark/>
          </w:tcPr>
          <w:p w14:paraId="2F89B6FE"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No preference study</w:t>
            </w:r>
          </w:p>
        </w:tc>
      </w:tr>
      <w:tr w:rsidR="00953C77" w:rsidRPr="00197728" w14:paraId="14247380" w14:textId="77777777" w:rsidTr="00AD03B0">
        <w:tc>
          <w:tcPr>
            <w:tcW w:w="301" w:type="pct"/>
            <w:shd w:val="clear" w:color="auto" w:fill="auto"/>
            <w:noWrap/>
            <w:hideMark/>
          </w:tcPr>
          <w:p w14:paraId="500CDD46"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29</w:t>
            </w:r>
          </w:p>
        </w:tc>
        <w:tc>
          <w:tcPr>
            <w:tcW w:w="3564" w:type="pct"/>
            <w:shd w:val="clear" w:color="auto" w:fill="auto"/>
            <w:noWrap/>
            <w:hideMark/>
          </w:tcPr>
          <w:p w14:paraId="1891970E"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Rexer H, Bussar-Maatz R. [Comparison of four treatment options for low-risk prostate cancer: Preference-based randomized study for the evaluation of four treatment modalities in prostate cancer with low or "early intermediate" risk (PREFERE) - trial AP 65/11 of the AUO]. Urologe A. 2015;54(5):723-5.</w:t>
            </w:r>
          </w:p>
        </w:tc>
        <w:tc>
          <w:tcPr>
            <w:tcW w:w="1136" w:type="pct"/>
            <w:shd w:val="clear" w:color="auto" w:fill="auto"/>
            <w:noWrap/>
            <w:hideMark/>
          </w:tcPr>
          <w:p w14:paraId="245CB8A6"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01246BFD" w14:textId="77777777" w:rsidTr="00AD03B0">
        <w:tc>
          <w:tcPr>
            <w:tcW w:w="301" w:type="pct"/>
            <w:shd w:val="clear" w:color="auto" w:fill="auto"/>
            <w:noWrap/>
            <w:hideMark/>
          </w:tcPr>
          <w:p w14:paraId="556FBC02"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30</w:t>
            </w:r>
          </w:p>
        </w:tc>
        <w:tc>
          <w:tcPr>
            <w:tcW w:w="3564" w:type="pct"/>
            <w:shd w:val="clear" w:color="auto" w:fill="auto"/>
            <w:noWrap/>
            <w:hideMark/>
          </w:tcPr>
          <w:p w14:paraId="3A8C6FA5"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Schaede U, Mahlich J, Nakayama M, Kobayashi H, Takahashi Y, Saito K, et al. Shared Decision-Making in Patients With Prostate Cancer in Japan: Patient Preferences Versus Physician Perceptions. J Glob Oncol. 2017;4.</w:t>
            </w:r>
          </w:p>
        </w:tc>
        <w:tc>
          <w:tcPr>
            <w:tcW w:w="1136" w:type="pct"/>
            <w:shd w:val="clear" w:color="auto" w:fill="auto"/>
            <w:noWrap/>
            <w:hideMark/>
          </w:tcPr>
          <w:p w14:paraId="38A3DB64"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Preferences unrelated to treatment</w:t>
            </w:r>
          </w:p>
        </w:tc>
      </w:tr>
      <w:tr w:rsidR="00953C77" w:rsidRPr="00197728" w14:paraId="53866E77" w14:textId="77777777" w:rsidTr="00AD03B0">
        <w:tc>
          <w:tcPr>
            <w:tcW w:w="301" w:type="pct"/>
            <w:shd w:val="clear" w:color="auto" w:fill="auto"/>
            <w:noWrap/>
            <w:hideMark/>
          </w:tcPr>
          <w:p w14:paraId="6D4F8886"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31</w:t>
            </w:r>
          </w:p>
        </w:tc>
        <w:tc>
          <w:tcPr>
            <w:tcW w:w="3564" w:type="pct"/>
            <w:shd w:val="clear" w:color="auto" w:fill="auto"/>
            <w:noWrap/>
            <w:hideMark/>
          </w:tcPr>
          <w:p w14:paraId="1F355EB0"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Sculpher M, Bryan S, Fry P, Winter Pd, Payne H, Emberton M. Patients' preferences for the management of non-metastatic prostate cancer: discrete choice experiment. BMJ. 2004;328(7436):382.</w:t>
            </w:r>
          </w:p>
        </w:tc>
        <w:tc>
          <w:tcPr>
            <w:tcW w:w="1136" w:type="pct"/>
            <w:shd w:val="clear" w:color="auto" w:fill="auto"/>
            <w:noWrap/>
            <w:hideMark/>
          </w:tcPr>
          <w:p w14:paraId="5D7E5B6E"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72C79BA9" w14:textId="77777777" w:rsidTr="00AD03B0">
        <w:tc>
          <w:tcPr>
            <w:tcW w:w="301" w:type="pct"/>
            <w:shd w:val="clear" w:color="auto" w:fill="auto"/>
            <w:noWrap/>
            <w:hideMark/>
          </w:tcPr>
          <w:p w14:paraId="6748AD76"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32</w:t>
            </w:r>
          </w:p>
        </w:tc>
        <w:tc>
          <w:tcPr>
            <w:tcW w:w="3564" w:type="pct"/>
            <w:shd w:val="clear" w:color="auto" w:fill="auto"/>
            <w:noWrap/>
            <w:hideMark/>
          </w:tcPr>
          <w:p w14:paraId="6A3366B9"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Smith DS, Krygiel J, Nease RF, Jr., Sumner W, 2nd, Catalona WJ. Patient preferences for outcomes associated with surgical management of prostate cancer. J Urol. 2002;167(5):2117-22.</w:t>
            </w:r>
          </w:p>
        </w:tc>
        <w:tc>
          <w:tcPr>
            <w:tcW w:w="1136" w:type="pct"/>
            <w:shd w:val="clear" w:color="auto" w:fill="auto"/>
            <w:noWrap/>
            <w:hideMark/>
          </w:tcPr>
          <w:p w14:paraId="50F8C5C3"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6DFB3707" w14:textId="77777777" w:rsidTr="00AD03B0">
        <w:tc>
          <w:tcPr>
            <w:tcW w:w="301" w:type="pct"/>
            <w:shd w:val="clear" w:color="auto" w:fill="auto"/>
            <w:noWrap/>
            <w:hideMark/>
          </w:tcPr>
          <w:p w14:paraId="6EAB89B8"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33</w:t>
            </w:r>
          </w:p>
        </w:tc>
        <w:tc>
          <w:tcPr>
            <w:tcW w:w="3564" w:type="pct"/>
            <w:shd w:val="clear" w:color="auto" w:fill="auto"/>
            <w:noWrap/>
            <w:hideMark/>
          </w:tcPr>
          <w:p w14:paraId="45CF444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Sommers BD, Beard CJ, D'Amico AV, Dahl D, Kaplan I, Richie JP, et al. Decision analysis using individual patient preferences to determine optimal treatment for localized prostate cancer. Cancer. 2007;110(10):2210-7.</w:t>
            </w:r>
          </w:p>
        </w:tc>
        <w:tc>
          <w:tcPr>
            <w:tcW w:w="1136" w:type="pct"/>
            <w:shd w:val="clear" w:color="auto" w:fill="auto"/>
            <w:noWrap/>
            <w:hideMark/>
          </w:tcPr>
          <w:p w14:paraId="3B7AB840"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0C1EE571" w14:textId="77777777" w:rsidTr="00AD03B0">
        <w:tc>
          <w:tcPr>
            <w:tcW w:w="301" w:type="pct"/>
            <w:shd w:val="clear" w:color="auto" w:fill="auto"/>
            <w:noWrap/>
            <w:hideMark/>
          </w:tcPr>
          <w:p w14:paraId="597B0832"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34</w:t>
            </w:r>
          </w:p>
        </w:tc>
        <w:tc>
          <w:tcPr>
            <w:tcW w:w="3564" w:type="pct"/>
            <w:shd w:val="clear" w:color="auto" w:fill="auto"/>
            <w:noWrap/>
            <w:hideMark/>
          </w:tcPr>
          <w:p w14:paraId="5FF63B5B"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Stalmeier PFM, van Tol-Geerdink JJ, van Lin ENJT, Schimmel E, Huizenga H, van Daal WAJ, et al. Doctors' and patients' preferences for participation and treatment in curative prostate cancer radiotherapy. J Clin Oncol. 2007;25(21):3096-100.</w:t>
            </w:r>
          </w:p>
        </w:tc>
        <w:tc>
          <w:tcPr>
            <w:tcW w:w="1136" w:type="pct"/>
            <w:shd w:val="clear" w:color="auto" w:fill="auto"/>
            <w:noWrap/>
            <w:hideMark/>
          </w:tcPr>
          <w:p w14:paraId="0450000F"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Preferences unrelated to treatment</w:t>
            </w:r>
          </w:p>
        </w:tc>
      </w:tr>
      <w:tr w:rsidR="00953C77" w:rsidRPr="00197728" w14:paraId="5C5E8EC4" w14:textId="77777777" w:rsidTr="00AD03B0">
        <w:tc>
          <w:tcPr>
            <w:tcW w:w="301" w:type="pct"/>
            <w:shd w:val="clear" w:color="auto" w:fill="auto"/>
            <w:noWrap/>
            <w:hideMark/>
          </w:tcPr>
          <w:p w14:paraId="1854D70D"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35</w:t>
            </w:r>
          </w:p>
        </w:tc>
        <w:tc>
          <w:tcPr>
            <w:tcW w:w="3564" w:type="pct"/>
            <w:shd w:val="clear" w:color="auto" w:fill="auto"/>
            <w:noWrap/>
            <w:hideMark/>
          </w:tcPr>
          <w:p w14:paraId="09CACDA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Taylor KL, Hoffman RM, Davis KM, Luta G, Leimpeter A, Lobo T, et al. Treatment Preferences for Active Surveillance versus Active Treatment among Men with Low-Risk Prostate Cancer. Cancer Epidemiol Biomarkers Prev. 2016;25(8):1240-50.</w:t>
            </w:r>
          </w:p>
        </w:tc>
        <w:tc>
          <w:tcPr>
            <w:tcW w:w="1136" w:type="pct"/>
            <w:shd w:val="clear" w:color="auto" w:fill="auto"/>
            <w:noWrap/>
            <w:hideMark/>
          </w:tcPr>
          <w:p w14:paraId="443FBDBB"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308CEFDE" w14:textId="77777777" w:rsidTr="00AD03B0">
        <w:tc>
          <w:tcPr>
            <w:tcW w:w="301" w:type="pct"/>
            <w:shd w:val="clear" w:color="auto" w:fill="auto"/>
            <w:noWrap/>
            <w:hideMark/>
          </w:tcPr>
          <w:p w14:paraId="3297DB42"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36</w:t>
            </w:r>
          </w:p>
        </w:tc>
        <w:tc>
          <w:tcPr>
            <w:tcW w:w="3564" w:type="pct"/>
            <w:shd w:val="clear" w:color="auto" w:fill="auto"/>
            <w:noWrap/>
            <w:hideMark/>
          </w:tcPr>
          <w:p w14:paraId="06C33597"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Watson V, McCartan N, Krucien N, Abu V, Ikenwilo D, Emberton M, et al. Evaluating the Trade-Offs Men with Localized Prostate Cancer Make between the Risks and Benefits of Treatments: The COMPARE Study. J Urol. 2020;204(2):273-80.</w:t>
            </w:r>
          </w:p>
        </w:tc>
        <w:tc>
          <w:tcPr>
            <w:tcW w:w="1136" w:type="pct"/>
            <w:shd w:val="clear" w:color="auto" w:fill="auto"/>
            <w:noWrap/>
            <w:hideMark/>
          </w:tcPr>
          <w:p w14:paraId="09EBA7B1"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6CC3A8C6" w14:textId="77777777" w:rsidTr="00AD03B0">
        <w:tc>
          <w:tcPr>
            <w:tcW w:w="301" w:type="pct"/>
            <w:shd w:val="clear" w:color="auto" w:fill="auto"/>
            <w:noWrap/>
            <w:hideMark/>
          </w:tcPr>
          <w:p w14:paraId="29DAE4D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37</w:t>
            </w:r>
          </w:p>
        </w:tc>
        <w:tc>
          <w:tcPr>
            <w:tcW w:w="3564" w:type="pct"/>
            <w:shd w:val="clear" w:color="auto" w:fill="auto"/>
            <w:noWrap/>
            <w:hideMark/>
          </w:tcPr>
          <w:p w14:paraId="4D894FF0"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Wiegel T, Stöckle M, Bartkowiak D. PREFEREnce-based randomized evaluation of treatment modalities in low or early intermediate-risk prostate cancer. Eur Urol. 2015;67(1):1-2.</w:t>
            </w:r>
          </w:p>
        </w:tc>
        <w:tc>
          <w:tcPr>
            <w:tcW w:w="1136" w:type="pct"/>
            <w:shd w:val="clear" w:color="auto" w:fill="auto"/>
            <w:noWrap/>
            <w:hideMark/>
          </w:tcPr>
          <w:p w14:paraId="27CC8980"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6C1F3B96" w14:textId="77777777" w:rsidTr="00AD03B0">
        <w:tc>
          <w:tcPr>
            <w:tcW w:w="301" w:type="pct"/>
            <w:shd w:val="clear" w:color="auto" w:fill="auto"/>
            <w:noWrap/>
            <w:hideMark/>
          </w:tcPr>
          <w:p w14:paraId="292E9364"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lastRenderedPageBreak/>
              <w:t>38</w:t>
            </w:r>
          </w:p>
        </w:tc>
        <w:tc>
          <w:tcPr>
            <w:tcW w:w="3564" w:type="pct"/>
            <w:shd w:val="clear" w:color="auto" w:fill="auto"/>
            <w:noWrap/>
            <w:hideMark/>
          </w:tcPr>
          <w:p w14:paraId="7AD926AF"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Wilke DR, Krahn M, Tomlinson G, Bezjak A, Rutledge R, Warde P. Sex or survival: short-term versus long-term androgen deprivation in patients with locally advanced prostate cancer treated with radiotherapy. Cancer. 2010;116(8):1909-17.</w:t>
            </w:r>
          </w:p>
        </w:tc>
        <w:tc>
          <w:tcPr>
            <w:tcW w:w="1136" w:type="pct"/>
            <w:shd w:val="clear" w:color="auto" w:fill="auto"/>
            <w:noWrap/>
            <w:hideMark/>
          </w:tcPr>
          <w:p w14:paraId="77AE1316"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7A972BF0" w14:textId="77777777" w:rsidTr="00AD03B0">
        <w:tc>
          <w:tcPr>
            <w:tcW w:w="301" w:type="pct"/>
            <w:shd w:val="clear" w:color="auto" w:fill="auto"/>
            <w:noWrap/>
            <w:hideMark/>
          </w:tcPr>
          <w:p w14:paraId="053DC86E"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39</w:t>
            </w:r>
          </w:p>
        </w:tc>
        <w:tc>
          <w:tcPr>
            <w:tcW w:w="3564" w:type="pct"/>
            <w:shd w:val="clear" w:color="auto" w:fill="auto"/>
            <w:noWrap/>
            <w:hideMark/>
          </w:tcPr>
          <w:p w14:paraId="2E3EDCD5"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Xu J, Neale AV, Dailey RK, Eggly S, Schwartz KL. Patient perspective on watchful waiting/active surveillance for localized prostate cancer. J Am Board Fam Med. 2012;25(6):763-70.</w:t>
            </w:r>
          </w:p>
        </w:tc>
        <w:tc>
          <w:tcPr>
            <w:tcW w:w="1136" w:type="pct"/>
            <w:shd w:val="clear" w:color="auto" w:fill="auto"/>
            <w:noWrap/>
            <w:hideMark/>
          </w:tcPr>
          <w:p w14:paraId="3CAAAC0C"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r w:rsidR="00953C77" w:rsidRPr="00197728" w14:paraId="2D8CD3B4" w14:textId="77777777" w:rsidTr="00CF3AFF">
        <w:tc>
          <w:tcPr>
            <w:tcW w:w="5000" w:type="pct"/>
            <w:gridSpan w:val="3"/>
            <w:shd w:val="clear" w:color="auto" w:fill="F2F2F2" w:themeFill="background1" w:themeFillShade="F2"/>
            <w:noWrap/>
            <w:hideMark/>
          </w:tcPr>
          <w:p w14:paraId="147D7F64" w14:textId="023D2A7C" w:rsidR="00953C77" w:rsidRPr="00197728" w:rsidRDefault="00953C77" w:rsidP="002E06C5">
            <w:pPr>
              <w:spacing w:before="40" w:after="40" w:line="240" w:lineRule="auto"/>
              <w:jc w:val="left"/>
              <w:rPr>
                <w:rFonts w:eastAsia="Times New Roman" w:cs="Times New Roman"/>
                <w:b/>
                <w:bCs/>
                <w:color w:val="000000"/>
                <w:sz w:val="16"/>
                <w:szCs w:val="16"/>
              </w:rPr>
            </w:pPr>
            <w:r w:rsidRPr="00197728">
              <w:rPr>
                <w:rFonts w:cs="Times New Roman"/>
                <w:b/>
                <w:bCs/>
                <w:iCs/>
                <w:sz w:val="16"/>
                <w:szCs w:val="16"/>
              </w:rPr>
              <w:t>Exclusion</w:t>
            </w:r>
            <w:r w:rsidR="00D56963">
              <w:rPr>
                <w:rFonts w:cs="Times New Roman"/>
                <w:b/>
                <w:bCs/>
                <w:iCs/>
                <w:sz w:val="16"/>
                <w:szCs w:val="16"/>
              </w:rPr>
              <w:t xml:space="preserve"> in </w:t>
            </w:r>
            <w:r w:rsidRPr="00197728">
              <w:rPr>
                <w:rFonts w:cs="Times New Roman"/>
                <w:b/>
                <w:bCs/>
                <w:iCs/>
                <w:sz w:val="16"/>
                <w:szCs w:val="16"/>
              </w:rPr>
              <w:t>Fulltext Screening Stage</w:t>
            </w:r>
          </w:p>
        </w:tc>
      </w:tr>
      <w:tr w:rsidR="00953C77" w:rsidRPr="00197728" w14:paraId="5967634E" w14:textId="77777777" w:rsidTr="00AD03B0">
        <w:tc>
          <w:tcPr>
            <w:tcW w:w="301" w:type="pct"/>
            <w:shd w:val="clear" w:color="auto" w:fill="auto"/>
            <w:noWrap/>
            <w:hideMark/>
          </w:tcPr>
          <w:p w14:paraId="0EA278F6"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1</w:t>
            </w:r>
          </w:p>
        </w:tc>
        <w:tc>
          <w:tcPr>
            <w:tcW w:w="3564" w:type="pct"/>
            <w:shd w:val="clear" w:color="auto" w:fill="auto"/>
            <w:noWrap/>
            <w:hideMark/>
          </w:tcPr>
          <w:p w14:paraId="0A071D4F"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Krahn M, Ritvo P, Irvine J, Tomlinson G, Bremner KE, Bezjak A, et al. Patient and community preferences for outcomes in prostate cancer: implications for clinical policy. Med Care. 2003;41(1):153-64.</w:t>
            </w:r>
          </w:p>
        </w:tc>
        <w:tc>
          <w:tcPr>
            <w:tcW w:w="1136" w:type="pct"/>
            <w:shd w:val="clear" w:color="auto" w:fill="auto"/>
            <w:noWrap/>
            <w:hideMark/>
          </w:tcPr>
          <w:p w14:paraId="4DFC0C0E"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Focus on other treatments/patient groups</w:t>
            </w:r>
          </w:p>
        </w:tc>
      </w:tr>
      <w:tr w:rsidR="00953C77" w:rsidRPr="00197728" w14:paraId="4574CD80" w14:textId="77777777" w:rsidTr="00AD03B0">
        <w:tc>
          <w:tcPr>
            <w:tcW w:w="301" w:type="pct"/>
            <w:shd w:val="clear" w:color="auto" w:fill="auto"/>
            <w:noWrap/>
            <w:hideMark/>
          </w:tcPr>
          <w:p w14:paraId="6E598897"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2</w:t>
            </w:r>
          </w:p>
        </w:tc>
        <w:tc>
          <w:tcPr>
            <w:tcW w:w="3564" w:type="pct"/>
            <w:shd w:val="clear" w:color="auto" w:fill="auto"/>
            <w:noWrap/>
            <w:hideMark/>
          </w:tcPr>
          <w:p w14:paraId="7BDA0037" w14:textId="77777777" w:rsidR="00953C77" w:rsidRPr="00197728" w:rsidRDefault="00953C77" w:rsidP="002E06C5">
            <w:pPr>
              <w:spacing w:before="40" w:after="40" w:line="240" w:lineRule="auto"/>
              <w:jc w:val="left"/>
              <w:rPr>
                <w:rFonts w:cs="Times New Roman"/>
                <w:iCs/>
                <w:sz w:val="16"/>
                <w:szCs w:val="16"/>
              </w:rPr>
            </w:pPr>
            <w:r w:rsidRPr="00197728">
              <w:rPr>
                <w:rFonts w:cs="Times New Roman"/>
                <w:iCs/>
                <w:sz w:val="16"/>
                <w:szCs w:val="16"/>
              </w:rPr>
              <w:t>Gatta F, Gonzalez JM, Ertugrul G, Qian Y, Hauber AB, Posner J, et al. Patients’ and physicians’ preferences for approaches to bone metastases treatment in Turkey. UHOD Uluslararasi Hematol-Onkol Derg. 2015;25(2):118-29.</w:t>
            </w:r>
          </w:p>
        </w:tc>
        <w:tc>
          <w:tcPr>
            <w:tcW w:w="1136" w:type="pct"/>
            <w:shd w:val="clear" w:color="auto" w:fill="auto"/>
            <w:noWrap/>
            <w:hideMark/>
          </w:tcPr>
          <w:p w14:paraId="75472574" w14:textId="77777777" w:rsidR="00953C77" w:rsidRPr="00197728" w:rsidRDefault="00953C77" w:rsidP="002E06C5">
            <w:pPr>
              <w:spacing w:before="40" w:after="40" w:line="240" w:lineRule="auto"/>
              <w:jc w:val="left"/>
              <w:rPr>
                <w:rFonts w:eastAsia="Times New Roman" w:cs="Times New Roman"/>
                <w:color w:val="000000"/>
                <w:sz w:val="16"/>
                <w:szCs w:val="16"/>
              </w:rPr>
            </w:pPr>
            <w:r w:rsidRPr="00197728">
              <w:rPr>
                <w:rFonts w:eastAsia="Times New Roman" w:cs="Times New Roman"/>
                <w:color w:val="000000"/>
                <w:sz w:val="16"/>
                <w:szCs w:val="16"/>
              </w:rPr>
              <w:t>Localized prostate cancer</w:t>
            </w:r>
          </w:p>
        </w:tc>
      </w:tr>
    </w:tbl>
    <w:p w14:paraId="1B2661FF" w14:textId="7D8B9E95" w:rsidR="001D4848" w:rsidRDefault="001D4848" w:rsidP="001D4848"/>
    <w:p w14:paraId="704FC651" w14:textId="57873746" w:rsidR="003929AE" w:rsidRDefault="003929AE" w:rsidP="001D4848"/>
    <w:p w14:paraId="796054F7" w14:textId="77777777" w:rsidR="003929AE" w:rsidRDefault="003929AE" w:rsidP="001D4848"/>
    <w:p w14:paraId="1F828E6E" w14:textId="7F938E6A" w:rsidR="001D4848" w:rsidRPr="00894A35" w:rsidRDefault="001D4848" w:rsidP="001D4848">
      <w:pPr>
        <w:rPr>
          <w:szCs w:val="20"/>
        </w:rPr>
      </w:pPr>
      <w:r w:rsidRPr="00894A35">
        <w:rPr>
          <w:b/>
          <w:bCs/>
          <w:szCs w:val="20"/>
        </w:rPr>
        <w:t>Table S</w:t>
      </w:r>
      <w:r>
        <w:rPr>
          <w:b/>
          <w:bCs/>
          <w:szCs w:val="20"/>
        </w:rPr>
        <w:t>4</w:t>
      </w:r>
      <w:r w:rsidRPr="00894A35">
        <w:rPr>
          <w:szCs w:val="20"/>
        </w:rPr>
        <w:t>: Details of the quality assessment based on the International Society of Preference and Outcome Research (ISPOR) checklist.</w:t>
      </w:r>
    </w:p>
    <w:tbl>
      <w:tblPr>
        <w:tblW w:w="5000" w:type="pct"/>
        <w:tblLayout w:type="fixed"/>
        <w:tblLook w:val="04A0" w:firstRow="1" w:lastRow="0" w:firstColumn="1" w:lastColumn="0" w:noHBand="0" w:noVBand="1"/>
      </w:tblPr>
      <w:tblGrid>
        <w:gridCol w:w="709"/>
        <w:gridCol w:w="3400"/>
        <w:gridCol w:w="749"/>
        <w:gridCol w:w="751"/>
        <w:gridCol w:w="751"/>
        <w:gridCol w:w="749"/>
        <w:gridCol w:w="751"/>
        <w:gridCol w:w="751"/>
        <w:gridCol w:w="749"/>
      </w:tblGrid>
      <w:tr w:rsidR="001D4848" w:rsidRPr="00197728" w14:paraId="235D3D1D" w14:textId="77777777" w:rsidTr="008E34B4">
        <w:trPr>
          <w:cantSplit/>
          <w:trHeight w:val="1134"/>
          <w:tblHeader/>
        </w:trPr>
        <w:tc>
          <w:tcPr>
            <w:tcW w:w="379" w:type="pct"/>
            <w:tcBorders>
              <w:top w:val="single" w:sz="4" w:space="0" w:color="auto"/>
              <w:bottom w:val="single" w:sz="4" w:space="0" w:color="auto"/>
            </w:tcBorders>
            <w:shd w:val="clear" w:color="auto" w:fill="auto"/>
            <w:tcMar>
              <w:top w:w="0" w:type="dxa"/>
            </w:tcMar>
            <w:vAlign w:val="bottom"/>
          </w:tcPr>
          <w:p w14:paraId="6E9EC6B5" w14:textId="77777777" w:rsidR="001D4848" w:rsidRPr="00197728" w:rsidRDefault="001D4848" w:rsidP="008E34B4">
            <w:pPr>
              <w:spacing w:before="40" w:after="40" w:line="240" w:lineRule="auto"/>
              <w:jc w:val="left"/>
              <w:rPr>
                <w:rFonts w:cs="Times New Roman"/>
                <w:b/>
                <w:bCs/>
                <w:sz w:val="16"/>
                <w:szCs w:val="16"/>
              </w:rPr>
            </w:pPr>
            <w:r w:rsidRPr="00197728">
              <w:rPr>
                <w:rFonts w:cs="Times New Roman"/>
                <w:b/>
                <w:bCs/>
                <w:sz w:val="16"/>
                <w:szCs w:val="16"/>
              </w:rPr>
              <w:t>Item</w:t>
            </w:r>
          </w:p>
        </w:tc>
        <w:tc>
          <w:tcPr>
            <w:tcW w:w="1816" w:type="pct"/>
            <w:tcBorders>
              <w:top w:val="single" w:sz="4" w:space="0" w:color="auto"/>
              <w:bottom w:val="single" w:sz="4" w:space="0" w:color="auto"/>
            </w:tcBorders>
            <w:vAlign w:val="bottom"/>
          </w:tcPr>
          <w:p w14:paraId="5C3A0929" w14:textId="77777777" w:rsidR="001D4848" w:rsidRPr="00197728" w:rsidRDefault="001D4848" w:rsidP="008E34B4">
            <w:pPr>
              <w:spacing w:before="40" w:after="40" w:line="240" w:lineRule="auto"/>
              <w:jc w:val="left"/>
              <w:rPr>
                <w:rFonts w:cs="Times New Roman"/>
                <w:b/>
                <w:bCs/>
                <w:sz w:val="16"/>
                <w:szCs w:val="16"/>
              </w:rPr>
            </w:pPr>
            <w:r w:rsidRPr="00197728">
              <w:rPr>
                <w:rFonts w:cs="Times New Roman"/>
                <w:b/>
                <w:bCs/>
                <w:sz w:val="16"/>
                <w:szCs w:val="16"/>
              </w:rPr>
              <w:t>Detail</w:t>
            </w:r>
          </w:p>
        </w:tc>
        <w:tc>
          <w:tcPr>
            <w:tcW w:w="400" w:type="pct"/>
            <w:tcBorders>
              <w:top w:val="single" w:sz="4" w:space="0" w:color="auto"/>
              <w:bottom w:val="single" w:sz="4" w:space="0" w:color="auto"/>
            </w:tcBorders>
            <w:shd w:val="clear" w:color="auto" w:fill="auto"/>
            <w:tcMar>
              <w:top w:w="0" w:type="dxa"/>
            </w:tcMar>
            <w:textDirection w:val="btLr"/>
            <w:vAlign w:val="center"/>
          </w:tcPr>
          <w:p w14:paraId="397E4A07" w14:textId="77777777" w:rsidR="001D4848" w:rsidRPr="004F5045" w:rsidRDefault="001D4848" w:rsidP="008E34B4">
            <w:pPr>
              <w:spacing w:before="40" w:after="40" w:line="240" w:lineRule="auto"/>
              <w:ind w:left="113" w:right="113"/>
              <w:jc w:val="left"/>
              <w:rPr>
                <w:rFonts w:cs="Times New Roman"/>
                <w:b/>
                <w:bCs/>
                <w:sz w:val="16"/>
                <w:szCs w:val="16"/>
                <w:lang w:val="de-CH"/>
              </w:rPr>
            </w:pPr>
            <w:r w:rsidRPr="004F5045">
              <w:rPr>
                <w:rFonts w:cs="Times New Roman"/>
                <w:b/>
                <w:bCs/>
                <w:sz w:val="16"/>
                <w:szCs w:val="16"/>
                <w:lang w:val="de-CH"/>
              </w:rPr>
              <w:t xml:space="preserve">De Freitas </w:t>
            </w:r>
            <w:r>
              <w:rPr>
                <w:rFonts w:cs="Times New Roman"/>
                <w:b/>
                <w:bCs/>
                <w:sz w:val="16"/>
                <w:szCs w:val="16"/>
                <w:lang w:val="de-CH"/>
              </w:rPr>
              <w:t>et al</w:t>
            </w:r>
            <w:r w:rsidRPr="004F5045">
              <w:rPr>
                <w:rFonts w:cs="Times New Roman"/>
                <w:b/>
                <w:bCs/>
                <w:sz w:val="16"/>
                <w:szCs w:val="16"/>
                <w:lang w:val="de-CH"/>
              </w:rPr>
              <w:t>, 2019</w:t>
            </w:r>
            <w:r>
              <w:rPr>
                <w:rFonts w:cs="Times New Roman"/>
                <w:b/>
                <w:bCs/>
                <w:sz w:val="16"/>
                <w:szCs w:val="16"/>
                <w:lang w:val="de-CH"/>
              </w:rPr>
              <w:fldChar w:fldCharType="begin"/>
            </w:r>
            <w:r>
              <w:rPr>
                <w:rFonts w:cs="Times New Roman"/>
                <w:b/>
                <w:bCs/>
                <w:sz w:val="16"/>
                <w:szCs w:val="16"/>
                <w:lang w:val="de-CH"/>
              </w:rPr>
              <w:instrText xml:space="preserve"> ADDIN ZOTERO_ITEM CSL_CITATION {"citationID":"a1orb117vhj","properties":{"formattedCitation":"\\super 1\\nosupersub{}","plainCitation":"1","noteIndex":0},"citationItems":[{"id":4355,"uris":["http://zotero.org/users/5046577/items/EB9B24BS"],"itemData":{"id":4355,"type":"article-journal","abstract":"IntroductionVarious treatment options are available for metastatic hormone-sensitive prostate cancer. This study aimed to quantify how men with prostate cancer in the United Kingdom (UK), Germany, and Spain perceive the risks and benefits of hypothetical abiraterone acetate plus prednisone treatment and docetaxel-based chemotherapy treatment options.MethodsA targeted literature review, exploratory interviews with prostate cancer patients and oncologists, and pre-test interviews were used to develop a discrete choice experiments (DCE). The final DCE included 32 choice sets, selected using a main-effects orthogonal design, divided into two survey blocks. Paired profiles presented hypothetical treatments for prostate cancer through six attributes that could be presented at two or four levels each. Preference estimates were estimated using a conditional logit regression model. Preference results were stratified by cancer stage.ResultsA total of 152 participants (mean age 69 years) completed the DCE in the UK, Germany, and Spain. Treatment effectiveness was the main concern for the patients (difference in preference estimates between 8 and 32 months 1.443). Participants wanted to avoid pain that was not well controlled (preference dummy coding estimate − 1.157). Participants valued a change from an oral medication to an intravenous treatment (change in preference estimate − 0.416) more negatively than a change from a 1% to a 5% risk of infection (change in preference estimate − 0.313).ConclusionsThis study shows that treatment effectiveness and pain control were the most important attributes for patients with prostate cancer. These two attributes influenced more than 50% of their decision-making in this study. The risk of fatigue and mode of administration were least prioritised by patients. This study highlights the relative importance that Spanish, German, and British patients place on various aspects of treatment options for prostate cancer. Understanding patient preference and taking them into consideration shall help physicians when developing their treatment strategies for their patients.FundingJanssen.","container-title":"Advances in Therapy","DOI":"10.1007/s12325-018-0861-3","ISSN":"1865-8652","issue":"2","journalAbbreviation":"Adv Ther","language":"en","page":"318-332","source":"Springer Link","title":"Patient Preferences for Metastatic Hormone-Sensitive Prostate Cancer Treatments: A Discrete Choice Experiment Among Men in Three European Countries","title-short":"Patient Preferences for Metastatic Hormone-Sensitive Prostate Cancer Treatments","volume":"36","author":[{"family":"Freitas","given":"Hayley M.","non-dropping-particle":"de"},{"family":"Ito","given":"Tetsuro"},{"family":"Hadi","given":"Monica"},{"family":"Al-Jassar","given":"Gemma"},{"family":"Henry-Szatkowski","given":"Mickaël"},{"family":"Nafees","given":"Beenish"},{"family":"Lloyd","given":"Andrew J."}],"issued":{"date-parts":[["2019",2,1]]}}}],"schema":"https://github.com/citation-style-language/schema/raw/master/csl-citation.json"} </w:instrText>
            </w:r>
            <w:r>
              <w:rPr>
                <w:rFonts w:cs="Times New Roman"/>
                <w:b/>
                <w:bCs/>
                <w:sz w:val="16"/>
                <w:szCs w:val="16"/>
                <w:lang w:val="de-CH"/>
              </w:rPr>
              <w:fldChar w:fldCharType="separate"/>
            </w:r>
            <w:r w:rsidRPr="00D57E95">
              <w:rPr>
                <w:rFonts w:cs="Arial"/>
                <w:sz w:val="16"/>
                <w:vertAlign w:val="superscript"/>
              </w:rPr>
              <w:t>1</w:t>
            </w:r>
            <w:r>
              <w:rPr>
                <w:rFonts w:cs="Times New Roman"/>
                <w:b/>
                <w:bCs/>
                <w:sz w:val="16"/>
                <w:szCs w:val="16"/>
                <w:lang w:val="de-CH"/>
              </w:rPr>
              <w:fldChar w:fldCharType="end"/>
            </w:r>
          </w:p>
        </w:tc>
        <w:tc>
          <w:tcPr>
            <w:tcW w:w="401" w:type="pct"/>
            <w:tcBorders>
              <w:top w:val="single" w:sz="4" w:space="0" w:color="auto"/>
              <w:bottom w:val="single" w:sz="4" w:space="0" w:color="auto"/>
            </w:tcBorders>
            <w:shd w:val="clear" w:color="auto" w:fill="auto"/>
            <w:tcMar>
              <w:top w:w="0" w:type="dxa"/>
            </w:tcMar>
            <w:textDirection w:val="btLr"/>
            <w:vAlign w:val="center"/>
          </w:tcPr>
          <w:p w14:paraId="3CEACA1B" w14:textId="77777777" w:rsidR="001D4848" w:rsidRPr="00197728" w:rsidRDefault="001D4848" w:rsidP="008E34B4">
            <w:pPr>
              <w:spacing w:before="40" w:after="40" w:line="240" w:lineRule="auto"/>
              <w:ind w:left="113" w:right="113"/>
              <w:jc w:val="left"/>
              <w:rPr>
                <w:rFonts w:cs="Times New Roman"/>
                <w:b/>
                <w:bCs/>
                <w:sz w:val="16"/>
                <w:szCs w:val="16"/>
              </w:rPr>
            </w:pPr>
            <w:r w:rsidRPr="00197728">
              <w:rPr>
                <w:rFonts w:cs="Times New Roman"/>
                <w:b/>
                <w:bCs/>
                <w:sz w:val="16"/>
                <w:szCs w:val="16"/>
              </w:rPr>
              <w:t xml:space="preserve">Eliasson </w:t>
            </w:r>
            <w:r>
              <w:rPr>
                <w:rFonts w:cs="Times New Roman"/>
                <w:b/>
                <w:bCs/>
                <w:sz w:val="16"/>
                <w:szCs w:val="16"/>
              </w:rPr>
              <w:t>et al</w:t>
            </w:r>
            <w:r w:rsidRPr="00197728">
              <w:rPr>
                <w:rFonts w:cs="Times New Roman"/>
                <w:b/>
                <w:bCs/>
                <w:sz w:val="16"/>
                <w:szCs w:val="16"/>
              </w:rPr>
              <w:t>, 2017</w:t>
            </w:r>
            <w:r>
              <w:rPr>
                <w:rFonts w:cs="Times New Roman"/>
                <w:b/>
                <w:bCs/>
                <w:sz w:val="16"/>
                <w:szCs w:val="16"/>
              </w:rPr>
              <w:fldChar w:fldCharType="begin"/>
            </w:r>
            <w:r>
              <w:rPr>
                <w:rFonts w:cs="Times New Roman"/>
                <w:b/>
                <w:bCs/>
                <w:sz w:val="16"/>
                <w:szCs w:val="16"/>
              </w:rPr>
              <w:instrText xml:space="preserve"> ADDIN ZOTERO_ITEM CSL_CITATION {"citationID":"a2caff0fb1p","properties":{"formattedCitation":"\\super 2\\nosupersub{}","plainCitation":"2","noteIndex":0},"citationItems":[{"id":4346,"uris":["http://zotero.org/users/5046577/items/7RKM6P35"],"itemData":{"id":4346,"type":"article-journal","abstract":"Purpose\nPatient treatment preferences are increasingly being used to inform health care decision making. This discrete choice experiment assessed how men perceive the risks and benefits of hypothetical treatment options for metastatic castrate-resistant prostate cancer (mCRPC).\nMethods\nTreatment attributes for inclusion were identified through a review of the literature and product labels. Expert interviews confirmed clinical appropriateness and patient relevance of the attributes, which included effectiveness (delay in months before chemotherapy), steroid use, possible drug interactions (additional hospital visits for monitoring), fogginess (effects on cognition and memory), fatigue (extreme tiredness), food restrictions, and bone pain. Following a pilot, the final discrete choice experiment included 18 choice sets presenting treatments for mCRPC and was completed by men with mCRPC in France, Germany, and the United Kingdom. Data were analyzed using a conditional logit model, with odds ratios (ORs) used to indicate preference for attributes, and tradeoff measures (TOM) were estimated using the ratio of coefficients.\nFindings\nWithin each attribute category and with all other factors being equal, participants (N = 285) indicated a strong preference for treatments that fully control bone pain (OR = 12.069 [95% CI, 10.555–13.800]) and for treatments that delay chemotherapy (OR, 1.727 [95% CI, 1.548–1.927]). They also preferred treatments that were associated with the lowest risk of fogginess (OR, 2.115 [95% CI, 1.849–2.420]), a lower risk of fatigue (OR, 1.365 [95% CI 1.219-1.528]), and fewer additional hospital visits (OR, 1.245 [95% CI 1.111-1.397]) than the respective reference categories. Participants preferred to use steroids under advice from a physician (OR, 1.275 [95% CI 1.132-1.437]). Food restrictions related to taking medication were not a significant concern for participants. TOM results indicated that large tradeoffs in effectiveness, fogginess, and fatigue are required for patients to prefer a treatment with uncontrolled bone pain that is very difficult to live with.\nImplications\nMen with mCRPC consider a wide range of factors when making decisions regarding their treatment. They showed a strong preference for treatment associated with better control of bone pain. They also placed value on treatments that could delay the need for chemotherapy, and they preferred to avoid side effects such as cognition and memory loss, and extreme tiredness. TOMs highlighted the importance of symptom control, even compared with potential side effects. An understanding of the degree to which patients value the attributes associated with various treatment options will assist clinicians and health care professionals when making decisions regarding the management of men with mCRPC.","container-title":"Clinical Therapeutics","DOI":"10.1016/j.clinthera.2017.02.009","ISSN":"0149-2918","issue":"4","journalAbbreviation":"Clinical Therapeutics","page":"723-737","source":"ScienceDirect","title":"Patients’ Preferences for the Treatment of Metastatic Castrate-resistant Prostate Cancer: A Discrete Choice Experiment","title-short":"Patients’ Preferences for the Treatment of Metastatic Castrate-resistant Prostate Cancer","volume":"39","author":[{"family":"Eliasson","given":"Lina"},{"family":"Freitas","given":"Hayley M.","non-dropping-particle":"de"},{"family":"Dearden","given":"Lindsay"},{"family":"Calimlim","given":"Brian"},{"family":"Lloyd","given":"Andrew J."}],"issued":{"date-parts":[["2017",4,1]]}}}],"schema":"https://github.com/citation-style-language/schema/raw/master/csl-citation.json"} </w:instrText>
            </w:r>
            <w:r>
              <w:rPr>
                <w:rFonts w:cs="Times New Roman"/>
                <w:b/>
                <w:bCs/>
                <w:sz w:val="16"/>
                <w:szCs w:val="16"/>
              </w:rPr>
              <w:fldChar w:fldCharType="separate"/>
            </w:r>
            <w:r w:rsidRPr="00D57E95">
              <w:rPr>
                <w:rFonts w:cs="Arial"/>
                <w:sz w:val="16"/>
                <w:vertAlign w:val="superscript"/>
              </w:rPr>
              <w:t>2</w:t>
            </w:r>
            <w:r>
              <w:rPr>
                <w:rFonts w:cs="Times New Roman"/>
                <w:b/>
                <w:bCs/>
                <w:sz w:val="16"/>
                <w:szCs w:val="16"/>
              </w:rPr>
              <w:fldChar w:fldCharType="end"/>
            </w:r>
          </w:p>
        </w:tc>
        <w:tc>
          <w:tcPr>
            <w:tcW w:w="401" w:type="pct"/>
            <w:tcBorders>
              <w:top w:val="single" w:sz="4" w:space="0" w:color="auto"/>
              <w:bottom w:val="single" w:sz="4" w:space="0" w:color="auto"/>
            </w:tcBorders>
            <w:shd w:val="clear" w:color="auto" w:fill="auto"/>
            <w:tcMar>
              <w:top w:w="0" w:type="dxa"/>
            </w:tcMar>
            <w:textDirection w:val="btLr"/>
            <w:vAlign w:val="center"/>
          </w:tcPr>
          <w:p w14:paraId="1658464D" w14:textId="77777777" w:rsidR="001D4848" w:rsidRPr="00197728" w:rsidRDefault="001D4848" w:rsidP="008E34B4">
            <w:pPr>
              <w:spacing w:before="40" w:after="40" w:line="240" w:lineRule="auto"/>
              <w:ind w:left="113" w:right="113"/>
              <w:jc w:val="left"/>
              <w:rPr>
                <w:rFonts w:cs="Times New Roman"/>
                <w:b/>
                <w:bCs/>
                <w:sz w:val="16"/>
                <w:szCs w:val="16"/>
              </w:rPr>
            </w:pPr>
            <w:r w:rsidRPr="00197728">
              <w:rPr>
                <w:rFonts w:cs="Times New Roman"/>
                <w:b/>
                <w:bCs/>
                <w:sz w:val="16"/>
                <w:szCs w:val="16"/>
              </w:rPr>
              <w:t xml:space="preserve">Hall </w:t>
            </w:r>
            <w:r>
              <w:rPr>
                <w:rFonts w:cs="Times New Roman"/>
                <w:b/>
                <w:bCs/>
                <w:sz w:val="16"/>
                <w:szCs w:val="16"/>
              </w:rPr>
              <w:t>et al</w:t>
            </w:r>
            <w:r w:rsidRPr="00197728">
              <w:rPr>
                <w:rFonts w:cs="Times New Roman"/>
                <w:b/>
                <w:bCs/>
                <w:sz w:val="16"/>
                <w:szCs w:val="16"/>
              </w:rPr>
              <w:t>, 2019</w:t>
            </w:r>
            <w:r>
              <w:rPr>
                <w:rFonts w:cs="Times New Roman"/>
                <w:b/>
                <w:bCs/>
                <w:sz w:val="16"/>
                <w:szCs w:val="16"/>
              </w:rPr>
              <w:fldChar w:fldCharType="begin"/>
            </w:r>
            <w:r>
              <w:rPr>
                <w:rFonts w:cs="Times New Roman"/>
                <w:b/>
                <w:bCs/>
                <w:sz w:val="16"/>
                <w:szCs w:val="16"/>
              </w:rPr>
              <w:instrText xml:space="preserve"> ADDIN ZOTERO_ITEM CSL_CITATION {"citationID":"a86epoea40","properties":{"formattedCitation":"\\super 3\\nosupersub{}","plainCitation":"3","noteIndex":0},"citationItems":[{"id":4559,"uris":["http://zotero.org/users/5046577/items/UFB54KSM"],"itemData":{"id":4559,"type":"article-journal","abstract":"Purpose\nTo capture UK societal health utility values for high-risk metastatic hormone-sensitive prostate cancer (mHSPC) and the disutility associated with treatment-related adverse events (AEs) to inform future cost–utility analyses.\n\nMethods\nA literature review, and patient and clinical expert interviews informed the development of health states characterising mHSPC symptoms and the impact of treatment-related AEs on health-related quality of life (HRQL). Three base health states were developed describing a typical patient with high-risk mHSPC: receiving androgen deprivation therapy (ADT) [Base State 1]; receiving docetaxel plus ADT [Base State 2]; completed docetaxel and still receiving ADT whose disease has not yet progressed [Base State 3]. Six additional health states described treatment-related AEs. The health states were validated with experts and piloted with general public participants. Health state utilities were obtained using the time trade-off (TTO) method with 200 members of the UK general population. A generalised estimating equation (GEE) model was used to estimate disutility weights.\n\nResults\nMean TTO scores for Base State 1 to 3 were 0.71 (SD = 0.26), 0.64 (SD = 0.27), and 0.68 (SD = 0.26), respectively, indicating that receiving docetaxel plus ADT was most impactful on HRQL. The GEE model indicated when compared to Base State 2 that the nausea and vomiting AE had the most impact on HRQL (− 0.21), while alopecia was least burdensome (− 0.04).\n\nConclusions\nThe study highlights the differences in utility between base health states and the significant impact of treatment-related AEs on the HRQL of patients with mHSPC. These findings underline the importance of accounting for impaired HRQL when assessing treatments for mHSPC.\n\nElectronic supplementary material\nThe online version of this article (10.1007/s11136-019-02117-9) contains supplementary material, which is available to authorised users.","container-title":"Quality of Life Research","DOI":"10.1007/s11136-019-02117-9","ISSN":"0962-9343","issue":"5","journalAbbreviation":"Qual Life Res","note":"PMID: 30767088\nPMCID: PMC6470112","page":"1191-1199","source":"PubMed Central","title":"Estimating utilities/disutilities for high-risk metastatic hormone-sensitive prostate cancer (mHSPC) and treatment-related adverse events","volume":"28","author":[{"family":"Hall","given":"F."},{"family":"Freitas","given":"H. M.","non-dropping-particle":"de"},{"family":"Kerr","given":"C."},{"family":"Ito","given":"T."},{"family":"Nafees","given":"B."},{"family":"Lloyd","given":"A. J."},{"family":"Penton","given":"J."},{"family":"Hadi","given":"M."},{"family":"Lanar","given":"S."},{"family":"Pham","given":"T. P."}],"issued":{"date-parts":[["2019"]]}}}],"schema":"https://github.com/citation-style-language/schema/raw/master/csl-citation.json"} </w:instrText>
            </w:r>
            <w:r>
              <w:rPr>
                <w:rFonts w:cs="Times New Roman"/>
                <w:b/>
                <w:bCs/>
                <w:sz w:val="16"/>
                <w:szCs w:val="16"/>
              </w:rPr>
              <w:fldChar w:fldCharType="separate"/>
            </w:r>
            <w:r w:rsidRPr="00D57E95">
              <w:rPr>
                <w:rFonts w:cs="Arial"/>
                <w:sz w:val="16"/>
                <w:vertAlign w:val="superscript"/>
              </w:rPr>
              <w:t>3</w:t>
            </w:r>
            <w:r>
              <w:rPr>
                <w:rFonts w:cs="Times New Roman"/>
                <w:b/>
                <w:bCs/>
                <w:sz w:val="16"/>
                <w:szCs w:val="16"/>
              </w:rPr>
              <w:fldChar w:fldCharType="end"/>
            </w:r>
          </w:p>
        </w:tc>
        <w:tc>
          <w:tcPr>
            <w:tcW w:w="400" w:type="pct"/>
            <w:tcBorders>
              <w:top w:val="single" w:sz="4" w:space="0" w:color="auto"/>
              <w:bottom w:val="single" w:sz="4" w:space="0" w:color="auto"/>
            </w:tcBorders>
            <w:shd w:val="clear" w:color="auto" w:fill="auto"/>
            <w:tcMar>
              <w:top w:w="0" w:type="dxa"/>
            </w:tcMar>
            <w:textDirection w:val="btLr"/>
            <w:vAlign w:val="center"/>
          </w:tcPr>
          <w:p w14:paraId="538DBF4E" w14:textId="77777777" w:rsidR="001D4848" w:rsidRPr="00197728" w:rsidRDefault="001D4848" w:rsidP="008E34B4">
            <w:pPr>
              <w:spacing w:before="40" w:after="40" w:line="240" w:lineRule="auto"/>
              <w:ind w:left="113" w:right="113"/>
              <w:jc w:val="left"/>
              <w:rPr>
                <w:rFonts w:cs="Times New Roman"/>
                <w:b/>
                <w:bCs/>
                <w:sz w:val="16"/>
                <w:szCs w:val="16"/>
              </w:rPr>
            </w:pPr>
            <w:r w:rsidRPr="00197728">
              <w:rPr>
                <w:rFonts w:cs="Times New Roman"/>
                <w:b/>
                <w:bCs/>
                <w:sz w:val="16"/>
                <w:szCs w:val="16"/>
              </w:rPr>
              <w:t xml:space="preserve">Lloyd </w:t>
            </w:r>
            <w:r>
              <w:rPr>
                <w:rFonts w:cs="Times New Roman"/>
                <w:b/>
                <w:bCs/>
                <w:sz w:val="16"/>
                <w:szCs w:val="16"/>
              </w:rPr>
              <w:t>et al</w:t>
            </w:r>
            <w:r w:rsidRPr="00197728">
              <w:rPr>
                <w:rFonts w:cs="Times New Roman"/>
                <w:b/>
                <w:bCs/>
                <w:sz w:val="16"/>
                <w:szCs w:val="16"/>
              </w:rPr>
              <w:t>, 2008</w:t>
            </w:r>
            <w:r>
              <w:rPr>
                <w:rFonts w:cs="Times New Roman"/>
                <w:b/>
                <w:bCs/>
                <w:sz w:val="16"/>
                <w:szCs w:val="16"/>
              </w:rPr>
              <w:fldChar w:fldCharType="begin"/>
            </w:r>
            <w:r>
              <w:rPr>
                <w:rFonts w:cs="Times New Roman"/>
                <w:b/>
                <w:bCs/>
                <w:sz w:val="16"/>
                <w:szCs w:val="16"/>
              </w:rPr>
              <w:instrText xml:space="preserve"> ADDIN ZOTERO_ITEM CSL_CITATION {"citationID":"arhjkksm0r","properties":{"formattedCitation":"\\super 4\\nosupersub{}","plainCitation":"4","noteIndex":0},"citationItems":[{"id":4353,"uris":["http://zotero.org/users/5046577/items/A3YDCL7C"],"itemData":{"id":4353,"type":"article-journal","abstract":"Treatment choices for metastatic prostate cancer are complex and can involve men balancing survival versus quality of life. The present study aims to elicit patient preferences with respect to the attributes of treatments for metastatic prostate cancer through a discrete choice experiment (DCE) questionnaire. Men with recently diagnosed localized prostate cancer were asked to envisage that they had metastatic disease when completing a survey. As expected, men with prostate cancer placed considerable importance on gains in survival; however, avoiding side effects of treatment was also clearly important. Survival gains should be considered alongside side effects when discussing treatment options in metastatic disease.","container-title":"Prostate Cancer and Prostatic Diseases","DOI":"10.1038/sj.pcan.4500992","ISSN":"1476-5608","issue":"2","language":"en","page":"153-159","source":"www.nature.com","title":"Eliciting patient preferences for hormonal therapy options in the treatment of metastatic prostate cancer","volume":"11","author":[{"family":"Lloyd","given":"A."},{"family":"Penson","given":"D."},{"family":"Dewilde","given":"S."},{"family":"Kleinman","given":"L."}],"issued":{"date-parts":[["2008",6]]}}}],"schema":"https://github.com/citation-style-language/schema/raw/master/csl-citation.json"} </w:instrText>
            </w:r>
            <w:r>
              <w:rPr>
                <w:rFonts w:cs="Times New Roman"/>
                <w:b/>
                <w:bCs/>
                <w:sz w:val="16"/>
                <w:szCs w:val="16"/>
              </w:rPr>
              <w:fldChar w:fldCharType="separate"/>
            </w:r>
            <w:r w:rsidRPr="00D57E95">
              <w:rPr>
                <w:rFonts w:cs="Arial"/>
                <w:sz w:val="16"/>
                <w:vertAlign w:val="superscript"/>
              </w:rPr>
              <w:t>4</w:t>
            </w:r>
            <w:r>
              <w:rPr>
                <w:rFonts w:cs="Times New Roman"/>
                <w:b/>
                <w:bCs/>
                <w:sz w:val="16"/>
                <w:szCs w:val="16"/>
              </w:rPr>
              <w:fldChar w:fldCharType="end"/>
            </w:r>
          </w:p>
        </w:tc>
        <w:tc>
          <w:tcPr>
            <w:tcW w:w="401" w:type="pct"/>
            <w:tcBorders>
              <w:top w:val="single" w:sz="4" w:space="0" w:color="auto"/>
              <w:bottom w:val="single" w:sz="4" w:space="0" w:color="auto"/>
            </w:tcBorders>
            <w:shd w:val="clear" w:color="auto" w:fill="auto"/>
            <w:tcMar>
              <w:top w:w="0" w:type="dxa"/>
            </w:tcMar>
            <w:textDirection w:val="btLr"/>
            <w:vAlign w:val="center"/>
          </w:tcPr>
          <w:p w14:paraId="7FF0EA2D" w14:textId="77777777" w:rsidR="001D4848" w:rsidRPr="00197728" w:rsidRDefault="001D4848" w:rsidP="008E34B4">
            <w:pPr>
              <w:spacing w:before="40" w:after="40" w:line="240" w:lineRule="auto"/>
              <w:ind w:left="113" w:right="113"/>
              <w:jc w:val="left"/>
              <w:rPr>
                <w:rFonts w:cs="Times New Roman"/>
                <w:b/>
                <w:bCs/>
                <w:sz w:val="16"/>
                <w:szCs w:val="16"/>
              </w:rPr>
            </w:pPr>
            <w:r w:rsidRPr="00197728">
              <w:rPr>
                <w:rFonts w:cs="Times New Roman"/>
                <w:b/>
                <w:bCs/>
                <w:sz w:val="16"/>
                <w:szCs w:val="16"/>
              </w:rPr>
              <w:t xml:space="preserve">Nakayama </w:t>
            </w:r>
            <w:r>
              <w:rPr>
                <w:rFonts w:cs="Times New Roman"/>
                <w:b/>
                <w:bCs/>
                <w:sz w:val="16"/>
                <w:szCs w:val="16"/>
              </w:rPr>
              <w:t>et al</w:t>
            </w:r>
            <w:r w:rsidRPr="00197728">
              <w:rPr>
                <w:rFonts w:cs="Times New Roman"/>
                <w:b/>
                <w:bCs/>
                <w:sz w:val="16"/>
                <w:szCs w:val="16"/>
              </w:rPr>
              <w:t>, 2018</w:t>
            </w:r>
            <w:r>
              <w:rPr>
                <w:rFonts w:cs="Times New Roman"/>
                <w:b/>
                <w:bCs/>
                <w:sz w:val="16"/>
                <w:szCs w:val="16"/>
              </w:rPr>
              <w:fldChar w:fldCharType="begin"/>
            </w:r>
            <w:r>
              <w:rPr>
                <w:rFonts w:cs="Times New Roman"/>
                <w:b/>
                <w:bCs/>
                <w:sz w:val="16"/>
                <w:szCs w:val="16"/>
              </w:rPr>
              <w:instrText xml:space="preserve"> ADDIN ZOTERO_ITEM CSL_CITATION {"citationID":"a2b33dm668h","properties":{"formattedCitation":"\\super 5\\nosupersub{}","plainCitation":"5","noteIndex":0},"citationItems":[{"id":5022,"uris":["http://zotero.org/users/5046577/items/C32NXYQ5"],"itemData":{"id":5022,"type":"article-journal","abstract":"The purpose of the present study is to investigate the concordance of treatment\npreferences between patients and physicians in prostate cancer (PCa) in Japan. An\ninternet-based discrete choice experiment was conducted. Patients and physicians were\nasked to select their preferred treatment from a pair of hypothetical treatments\nconsisting of four attributes: quality of life (QOL), treatment effectiveness, side\neffects, and accessibility of treatment. The data were analyzed using a conditional\nlogistic regression model to calculate coefficients and the relative importance (RI) of\neach attribute. A total of 103 PCa patients and 127 physicians responded. The study looked\nat 37 patients considered as advanced PCa and 66 who were non-advanced PCa. All of the\nphysicians were urologists. Advanced PCa patients ranked the attributes as follows:\ntreatment effectiveness (RI: 32%), accessibility of treatment (RI: 26%), QOL (RI: 23%),\nand side effects (RI: 19%). For physicians, the RI ranking was the same as for advanced\nPCa patients; treatment effectiveness (RI: 29%), accessibility of treatment (RI: 27%), QOL\n(RI: 26%), and side effects (RI: 18%). For non-advanced PCa patients, accessibility of\ntreatment ranked the highest RI (27%) and treatment effectiveness ranked as the lowest RI\n(14%). Our study suggests that the ranking of the attributes was consistent between\nadvanced PCa patients and physicians. The most influential attribute was treatment\neffectiveness. Treatment preferences also vary by disease stage.","container-title":"American Journal of Men's Health","DOI":"10.1177/1557988318776123","ISSN":"1557-9883","issue":"4","journalAbbreviation":"Am J Mens Health","note":"PMID: 29774804\nPMCID: PMC6131454","page":"1094-1101","source":"PubMed Central","title":"Patient Preferences and Urologist Judgments on Prostate Cancer Therapy in Japan","volume":"12","author":[{"family":"Nakayama","given":"Masahiko"},{"family":"Kobayashi","given":"Hisanori"},{"family":"Okazaki","given":"Masateru"},{"family":"Imanaka","given":"Keiichiro"},{"family":"Yoshizawa","given":"Kazutake"},{"family":"Mahlich","given":"Jörg"}],"issued":{"date-parts":[["2018",7]]}}}],"schema":"https://github.com/citation-style-language/schema/raw/master/csl-citation.json"} </w:instrText>
            </w:r>
            <w:r>
              <w:rPr>
                <w:rFonts w:cs="Times New Roman"/>
                <w:b/>
                <w:bCs/>
                <w:sz w:val="16"/>
                <w:szCs w:val="16"/>
              </w:rPr>
              <w:fldChar w:fldCharType="separate"/>
            </w:r>
            <w:r w:rsidRPr="00D57E95">
              <w:rPr>
                <w:rFonts w:cs="Arial"/>
                <w:sz w:val="16"/>
                <w:vertAlign w:val="superscript"/>
              </w:rPr>
              <w:t>5</w:t>
            </w:r>
            <w:r>
              <w:rPr>
                <w:rFonts w:cs="Times New Roman"/>
                <w:b/>
                <w:bCs/>
                <w:sz w:val="16"/>
                <w:szCs w:val="16"/>
              </w:rPr>
              <w:fldChar w:fldCharType="end"/>
            </w:r>
          </w:p>
        </w:tc>
        <w:tc>
          <w:tcPr>
            <w:tcW w:w="401" w:type="pct"/>
            <w:tcBorders>
              <w:top w:val="single" w:sz="4" w:space="0" w:color="auto"/>
              <w:bottom w:val="single" w:sz="4" w:space="0" w:color="auto"/>
            </w:tcBorders>
            <w:shd w:val="clear" w:color="auto" w:fill="auto"/>
            <w:tcMar>
              <w:top w:w="0" w:type="dxa"/>
            </w:tcMar>
            <w:textDirection w:val="btLr"/>
            <w:vAlign w:val="center"/>
          </w:tcPr>
          <w:p w14:paraId="5854AE31" w14:textId="77777777" w:rsidR="001D4848" w:rsidRPr="00197728" w:rsidRDefault="001D4848" w:rsidP="008E34B4">
            <w:pPr>
              <w:spacing w:before="40" w:after="40" w:line="240" w:lineRule="auto"/>
              <w:ind w:left="113" w:right="113"/>
              <w:jc w:val="left"/>
              <w:rPr>
                <w:rFonts w:cs="Times New Roman"/>
                <w:b/>
                <w:bCs/>
                <w:sz w:val="16"/>
                <w:szCs w:val="16"/>
              </w:rPr>
            </w:pPr>
            <w:r w:rsidRPr="00197728">
              <w:rPr>
                <w:rFonts w:cs="Times New Roman"/>
                <w:b/>
                <w:bCs/>
                <w:sz w:val="16"/>
                <w:szCs w:val="16"/>
              </w:rPr>
              <w:t xml:space="preserve">Srinivas </w:t>
            </w:r>
            <w:r>
              <w:rPr>
                <w:rFonts w:cs="Times New Roman"/>
                <w:b/>
                <w:bCs/>
                <w:sz w:val="16"/>
                <w:szCs w:val="16"/>
              </w:rPr>
              <w:t>et al</w:t>
            </w:r>
            <w:r w:rsidRPr="00197728">
              <w:rPr>
                <w:rFonts w:cs="Times New Roman"/>
                <w:b/>
                <w:bCs/>
                <w:sz w:val="16"/>
                <w:szCs w:val="16"/>
              </w:rPr>
              <w:t>, 2020</w:t>
            </w:r>
            <w:r>
              <w:rPr>
                <w:rFonts w:cs="Times New Roman"/>
                <w:b/>
                <w:bCs/>
                <w:sz w:val="16"/>
                <w:szCs w:val="16"/>
              </w:rPr>
              <w:fldChar w:fldCharType="begin"/>
            </w:r>
            <w:r>
              <w:rPr>
                <w:rFonts w:cs="Times New Roman"/>
                <w:b/>
                <w:bCs/>
                <w:sz w:val="16"/>
                <w:szCs w:val="16"/>
              </w:rPr>
              <w:instrText xml:space="preserve"> ADDIN ZOTERO_ITEM CSL_CITATION {"citationID":"a1k61ms126c","properties":{"formattedCitation":"\\super 6\\nosupersub{}","plainCitation":"6","noteIndex":0},"citationItems":[{"id":5391,"uris":["http://zotero.org/users/5046577/items/Q5SUG4H9"],"itemData":{"id":5391,"type":"article-journal","abstract":"Background: Recently approved second-generation androgen receptor inhibitors (SGARIs) for non-metastatic castration-resistant prostate cancer (nmCRPC) have similar efficacy but differ in safety profiles. We used a discrete choice experiment (DCE) to examine how nmCRPC patients and caregivers perceive the benefits versus risks of these new treatments.\nMethods: An online DCE survey with 14 treatment choice questions was administered to nmCRPC patients and caregivers. Each choice question compared two hypothetical medication profiles varying in terms of 5 safety attributes (risk or severity of adverse events [AEs]: fatigue, skin rash, cognitive problems, serious fall, and serious fracture) and two efficacy attributes (duration of overall survival [OS] and time to pain progression). Random parameters logit models were used to estimate each attribute's relative importance. We also estimated the amounts of OS that respondents were willing to forego for a reduction in AEs.\nResults: In total, 143 nmCRPC patients and 149 caregivers viewed the AEs in following order of importance (most to least): serious fracture, serious fall, cognitive problems, fatigue, and skin rash. On average, patients were willing to trade 5.8 and 4.0</w:instrText>
            </w:r>
            <w:r>
              <w:rPr>
                <w:rFonts w:cs="Times New Roman" w:hint="eastAsia"/>
                <w:b/>
                <w:bCs/>
                <w:sz w:val="16"/>
                <w:szCs w:val="16"/>
              </w:rPr>
              <w:instrText></w:instrText>
            </w:r>
            <w:r>
              <w:rPr>
                <w:rFonts w:cs="Times New Roman"/>
                <w:b/>
                <w:bCs/>
                <w:sz w:val="16"/>
                <w:szCs w:val="16"/>
              </w:rPr>
              <w:instrText>months of OS to reduce the risk of serious fracture and fall, respectively, from 3% to 0%; caregivers were willing to trade 6.6 and 5.4</w:instrText>
            </w:r>
            <w:r>
              <w:rPr>
                <w:rFonts w:cs="Times New Roman" w:hint="eastAsia"/>
                <w:b/>
                <w:bCs/>
                <w:sz w:val="16"/>
                <w:szCs w:val="16"/>
              </w:rPr>
              <w:instrText></w:instrText>
            </w:r>
            <w:r>
              <w:rPr>
                <w:rFonts w:cs="Times New Roman"/>
                <w:b/>
                <w:bCs/>
                <w:sz w:val="16"/>
                <w:szCs w:val="16"/>
              </w:rPr>
              <w:instrText>months of OS.\nConclusions: nmCRPC patients and caregivers preferred treatments with lower AE burdens and were willing to forego OS to reduce the risk and severity of AEs. Our results highlight the importance of carefully balancing risks and benefits when selecting treatments in this relatively asymptomatic population.","container-title":"Cancer Medicine","DOI":"10.1002/cam4.3321","ISSN":"2045-7634, 2045-7634","issue":"18","journalAbbreviation":"Cancer Med","language":"en","page":"6586-6596","source":"DOI.org (Crossref)","title":"Patient and caregiver benefit</w:instrText>
            </w:r>
            <w:r>
              <w:rPr>
                <w:rFonts w:ascii="Cambria Math" w:hAnsi="Cambria Math" w:cs="Cambria Math"/>
                <w:b/>
                <w:bCs/>
                <w:sz w:val="16"/>
                <w:szCs w:val="16"/>
              </w:rPr>
              <w:instrText>‐</w:instrText>
            </w:r>
            <w:r>
              <w:rPr>
                <w:rFonts w:cs="Times New Roman"/>
                <w:b/>
                <w:bCs/>
                <w:sz w:val="16"/>
                <w:szCs w:val="16"/>
              </w:rPr>
              <w:instrText>risk preferences for nonmetastatic castration</w:instrText>
            </w:r>
            <w:r>
              <w:rPr>
                <w:rFonts w:ascii="Cambria Math" w:hAnsi="Cambria Math" w:cs="Cambria Math"/>
                <w:b/>
                <w:bCs/>
                <w:sz w:val="16"/>
                <w:szCs w:val="16"/>
              </w:rPr>
              <w:instrText>‐</w:instrText>
            </w:r>
            <w:r>
              <w:rPr>
                <w:rFonts w:cs="Times New Roman"/>
                <w:b/>
                <w:bCs/>
                <w:sz w:val="16"/>
                <w:szCs w:val="16"/>
              </w:rPr>
              <w:instrText>resistant prostate cancer treatment","volume":"9","author":[{"family":"Srinivas","given":"Sandy"},{"family":"Mohamed","given":"Ateesha F."},{"family":"Appukkuttan","given":"Sreevalsa"},{"family":"Botteman","given":"Marc"},{"family":"Ng","given":"Xinyi"},{"family":"Joshi","given":"Namita"},{"family":"Tsai","given":"Jui</w:instrText>
            </w:r>
            <w:r>
              <w:rPr>
                <w:rFonts w:ascii="Cambria Math" w:hAnsi="Cambria Math" w:cs="Cambria Math"/>
                <w:b/>
                <w:bCs/>
                <w:sz w:val="16"/>
                <w:szCs w:val="16"/>
              </w:rPr>
              <w:instrText>‐</w:instrText>
            </w:r>
            <w:r>
              <w:rPr>
                <w:rFonts w:cs="Times New Roman"/>
                <w:b/>
                <w:bCs/>
                <w:sz w:val="16"/>
                <w:szCs w:val="16"/>
              </w:rPr>
              <w:instrText xml:space="preserve">Hua"},{"family":"Fang","given":"Jarjieh"},{"family":"Waldeck","given":"A. Reginald"},{"family":"Simmons","given":"Stacey J."}],"issued":{"date-parts":[["2020",9]]}}}],"schema":"https://github.com/citation-style-language/schema/raw/master/csl-citation.json"} </w:instrText>
            </w:r>
            <w:r>
              <w:rPr>
                <w:rFonts w:cs="Times New Roman"/>
                <w:b/>
                <w:bCs/>
                <w:sz w:val="16"/>
                <w:szCs w:val="16"/>
              </w:rPr>
              <w:fldChar w:fldCharType="separate"/>
            </w:r>
            <w:r w:rsidRPr="00D57E95">
              <w:rPr>
                <w:rFonts w:cs="Arial"/>
                <w:sz w:val="16"/>
                <w:vertAlign w:val="superscript"/>
              </w:rPr>
              <w:t>6</w:t>
            </w:r>
            <w:r>
              <w:rPr>
                <w:rFonts w:cs="Times New Roman"/>
                <w:b/>
                <w:bCs/>
                <w:sz w:val="16"/>
                <w:szCs w:val="16"/>
              </w:rPr>
              <w:fldChar w:fldCharType="end"/>
            </w:r>
          </w:p>
        </w:tc>
        <w:tc>
          <w:tcPr>
            <w:tcW w:w="400" w:type="pct"/>
            <w:tcBorders>
              <w:top w:val="single" w:sz="4" w:space="0" w:color="auto"/>
              <w:bottom w:val="single" w:sz="4" w:space="0" w:color="auto"/>
            </w:tcBorders>
            <w:shd w:val="clear" w:color="auto" w:fill="auto"/>
            <w:tcMar>
              <w:top w:w="0" w:type="dxa"/>
            </w:tcMar>
            <w:textDirection w:val="btLr"/>
            <w:vAlign w:val="center"/>
          </w:tcPr>
          <w:p w14:paraId="43AB72BB" w14:textId="77777777" w:rsidR="001D4848" w:rsidRPr="00197728" w:rsidRDefault="001D4848" w:rsidP="008E34B4">
            <w:pPr>
              <w:spacing w:before="40" w:after="40" w:line="240" w:lineRule="auto"/>
              <w:ind w:left="113" w:right="113"/>
              <w:jc w:val="left"/>
              <w:rPr>
                <w:rFonts w:cs="Times New Roman"/>
                <w:b/>
                <w:bCs/>
                <w:sz w:val="16"/>
                <w:szCs w:val="16"/>
              </w:rPr>
            </w:pPr>
            <w:r w:rsidRPr="00197728">
              <w:rPr>
                <w:rFonts w:cs="Times New Roman"/>
                <w:b/>
                <w:bCs/>
                <w:sz w:val="16"/>
                <w:szCs w:val="16"/>
              </w:rPr>
              <w:t xml:space="preserve">Uemura </w:t>
            </w:r>
            <w:r>
              <w:rPr>
                <w:rFonts w:cs="Times New Roman"/>
                <w:b/>
                <w:bCs/>
                <w:sz w:val="16"/>
                <w:szCs w:val="16"/>
              </w:rPr>
              <w:t>et al</w:t>
            </w:r>
            <w:r w:rsidRPr="00197728">
              <w:rPr>
                <w:rFonts w:cs="Times New Roman"/>
                <w:b/>
                <w:bCs/>
                <w:sz w:val="16"/>
                <w:szCs w:val="16"/>
              </w:rPr>
              <w:t>, 2016</w:t>
            </w:r>
            <w:r>
              <w:rPr>
                <w:rFonts w:cs="Times New Roman"/>
                <w:b/>
                <w:bCs/>
                <w:sz w:val="16"/>
                <w:szCs w:val="16"/>
              </w:rPr>
              <w:fldChar w:fldCharType="begin"/>
            </w:r>
            <w:r>
              <w:rPr>
                <w:rFonts w:cs="Times New Roman"/>
                <w:b/>
                <w:bCs/>
                <w:sz w:val="16"/>
                <w:szCs w:val="16"/>
              </w:rPr>
              <w:instrText xml:space="preserve"> ADDIN ZOTERO_ITEM CSL_CITATION {"citationID":"a15oi7aaarc","properties":{"formattedCitation":"\\super 7\\nosupersub{}","plainCitation":"7","noteIndex":0},"citationItems":[{"id":4362,"uris":["http://zotero.org/users/5046577/items/VL2UPFKI"],"itemData":{"id":4362,"type":"article-journal","abstract":"Up to a fifth of patients diagnosed with prostate cancer (PC) will develop castration-resistant prostate cancer (CRPC), which has been associated with a poor prognosis. The aim of this study was to consider the patient perspective as part of the overall treatment decision-making process for CRPC, given that an alignment between patient preference and prescribing has been shown to benefit patient outcomes. This study examines preferences of patients with CRPC in Japan for treatment features associated with treatments like RA-223, abiraterone, and docetaxel and to examine the extent to which treatment preferences may vary between symptomatic and asymptomatic patients.","container-title":"BMC Urology","DOI":"10.1186/s12894-016-0182-2","ISSN":"1471-2490","issue":"1","journalAbbreviation":"BMC Urology","page":"63","source":"BioMed Central","title":"Patient preferences for treatment of castration-resistant prostate cancer in Japan: a discrete-choice experiment","title-short":"Patient preferences for treatment of castration-resistant prostate cancer in Japan","volume":"16","author":[{"family":"Uemura","given":"Hiroji"},{"family":"Matsubara","given":"Nobuaki"},{"family":"Kimura","given":"Go"},{"family":"Yamaguchi","given":"Akito"},{"family":"Ledesma","given":"Dianne Athene"},{"family":"DiBonaventura","given":"Marco"},{"family":"Mohamed","given":"Ateesha F."},{"family":"Basurto","given":"Enrique"},{"family":"McKinnon","given":"Ian"},{"family":"Wang","given":"Ed"},{"family":"Concialdi","given":"Kristen"},{"family":"Narimatsu","given":"Aya"},{"family":"Aitoku","given":"Yasuko"}],"issued":{"date-parts":[["2016",11,4]]}}}],"schema":"https://github.com/citation-style-language/schema/raw/master/csl-citation.json"} </w:instrText>
            </w:r>
            <w:r>
              <w:rPr>
                <w:rFonts w:cs="Times New Roman"/>
                <w:b/>
                <w:bCs/>
                <w:sz w:val="16"/>
                <w:szCs w:val="16"/>
              </w:rPr>
              <w:fldChar w:fldCharType="separate"/>
            </w:r>
            <w:r w:rsidRPr="00D57E95">
              <w:rPr>
                <w:rFonts w:cs="Arial"/>
                <w:sz w:val="16"/>
                <w:vertAlign w:val="superscript"/>
              </w:rPr>
              <w:t>7</w:t>
            </w:r>
            <w:r>
              <w:rPr>
                <w:rFonts w:cs="Times New Roman"/>
                <w:b/>
                <w:bCs/>
                <w:sz w:val="16"/>
                <w:szCs w:val="16"/>
              </w:rPr>
              <w:fldChar w:fldCharType="end"/>
            </w:r>
          </w:p>
        </w:tc>
      </w:tr>
      <w:tr w:rsidR="001D4848" w:rsidRPr="00197728" w14:paraId="6197BD15" w14:textId="77777777" w:rsidTr="008E34B4">
        <w:tc>
          <w:tcPr>
            <w:tcW w:w="379" w:type="pct"/>
            <w:tcBorders>
              <w:top w:val="single" w:sz="4" w:space="0" w:color="auto"/>
            </w:tcBorders>
            <w:shd w:val="clear" w:color="auto" w:fill="auto"/>
            <w:tcMar>
              <w:top w:w="0" w:type="dxa"/>
            </w:tcMar>
          </w:tcPr>
          <w:p w14:paraId="4AFE3875"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1.1</w:t>
            </w:r>
          </w:p>
        </w:tc>
        <w:tc>
          <w:tcPr>
            <w:tcW w:w="1816" w:type="pct"/>
            <w:tcBorders>
              <w:top w:val="single" w:sz="4" w:space="0" w:color="auto"/>
            </w:tcBorders>
          </w:tcPr>
          <w:p w14:paraId="15C8BFD1" w14:textId="77777777" w:rsidR="001D4848" w:rsidRPr="0048485B" w:rsidRDefault="001D4848" w:rsidP="008E34B4">
            <w:pPr>
              <w:spacing w:before="40" w:after="40" w:line="240" w:lineRule="auto"/>
              <w:jc w:val="left"/>
              <w:rPr>
                <w:rFonts w:cs="Times New Roman"/>
                <w:color w:val="000000"/>
                <w:sz w:val="16"/>
                <w:szCs w:val="16"/>
              </w:rPr>
            </w:pPr>
            <w:r w:rsidRPr="0048485B">
              <w:rPr>
                <w:rFonts w:cs="Times New Roman"/>
                <w:color w:val="000000"/>
                <w:sz w:val="16"/>
                <w:szCs w:val="16"/>
              </w:rPr>
              <w:t>Clear definition of research question, testable hypothesis</w:t>
            </w:r>
          </w:p>
        </w:tc>
        <w:tc>
          <w:tcPr>
            <w:tcW w:w="400" w:type="pct"/>
            <w:tcBorders>
              <w:top w:val="single" w:sz="4" w:space="0" w:color="auto"/>
            </w:tcBorders>
            <w:shd w:val="clear" w:color="auto" w:fill="E2EFD9" w:themeFill="accent6" w:themeFillTint="33"/>
            <w:tcMar>
              <w:top w:w="0" w:type="dxa"/>
            </w:tcMar>
            <w:vAlign w:val="center"/>
          </w:tcPr>
          <w:p w14:paraId="51736A33" w14:textId="77777777" w:rsidR="001D4848" w:rsidRPr="00197728" w:rsidRDefault="001D4848" w:rsidP="008E34B4">
            <w:pPr>
              <w:spacing w:before="40" w:after="40" w:line="240" w:lineRule="auto"/>
              <w:jc w:val="center"/>
              <w:rPr>
                <w:rFonts w:cs="Times New Roman"/>
                <w:sz w:val="16"/>
                <w:szCs w:val="16"/>
              </w:rPr>
            </w:pPr>
            <w:r w:rsidRPr="00197728">
              <w:rPr>
                <w:rFonts w:cs="Times New Roman"/>
                <w:color w:val="000000"/>
                <w:sz w:val="16"/>
                <w:szCs w:val="16"/>
              </w:rPr>
              <w:t>+</w:t>
            </w:r>
          </w:p>
        </w:tc>
        <w:tc>
          <w:tcPr>
            <w:tcW w:w="401" w:type="pct"/>
            <w:tcBorders>
              <w:top w:val="single" w:sz="4" w:space="0" w:color="auto"/>
            </w:tcBorders>
            <w:shd w:val="clear" w:color="auto" w:fill="E2EFD9" w:themeFill="accent6" w:themeFillTint="33"/>
            <w:tcMar>
              <w:top w:w="0" w:type="dxa"/>
            </w:tcMar>
            <w:vAlign w:val="center"/>
          </w:tcPr>
          <w:p w14:paraId="53BE05F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3BF87E1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tcMar>
            <w:vAlign w:val="center"/>
          </w:tcPr>
          <w:p w14:paraId="470B427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16022CA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6C77861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tcMar>
            <w:vAlign w:val="center"/>
          </w:tcPr>
          <w:p w14:paraId="4060EE0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630318F7" w14:textId="77777777" w:rsidTr="008E34B4">
        <w:tc>
          <w:tcPr>
            <w:tcW w:w="379" w:type="pct"/>
            <w:shd w:val="clear" w:color="auto" w:fill="auto"/>
            <w:tcMar>
              <w:top w:w="0" w:type="dxa"/>
            </w:tcMar>
          </w:tcPr>
          <w:p w14:paraId="153DC039"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1.2</w:t>
            </w:r>
          </w:p>
        </w:tc>
        <w:tc>
          <w:tcPr>
            <w:tcW w:w="1816" w:type="pct"/>
          </w:tcPr>
          <w:p w14:paraId="7D040C44"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Description of study perspective and decision-making or policy context</w:t>
            </w:r>
          </w:p>
        </w:tc>
        <w:tc>
          <w:tcPr>
            <w:tcW w:w="400" w:type="pct"/>
            <w:shd w:val="clear" w:color="auto" w:fill="E2EFD9" w:themeFill="accent6" w:themeFillTint="33"/>
            <w:tcMar>
              <w:top w:w="0" w:type="dxa"/>
            </w:tcMar>
            <w:vAlign w:val="center"/>
          </w:tcPr>
          <w:p w14:paraId="1F578A6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7C66965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06A3906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tcMar>
            <w:vAlign w:val="center"/>
          </w:tcPr>
          <w:p w14:paraId="4BE6B95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6D624D1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6F33AA6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tcMar>
            <w:vAlign w:val="center"/>
          </w:tcPr>
          <w:p w14:paraId="2C1CAC1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4AB7A9F7" w14:textId="77777777" w:rsidTr="008E34B4">
        <w:tc>
          <w:tcPr>
            <w:tcW w:w="379" w:type="pct"/>
            <w:tcBorders>
              <w:bottom w:val="single" w:sz="4" w:space="0" w:color="auto"/>
            </w:tcBorders>
            <w:shd w:val="clear" w:color="auto" w:fill="auto"/>
            <w:tcMar>
              <w:top w:w="0" w:type="dxa"/>
            </w:tcMar>
          </w:tcPr>
          <w:p w14:paraId="08E1AC6D"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1.3</w:t>
            </w:r>
          </w:p>
        </w:tc>
        <w:tc>
          <w:tcPr>
            <w:tcW w:w="1816" w:type="pct"/>
            <w:tcBorders>
              <w:bottom w:val="single" w:sz="4" w:space="0" w:color="auto"/>
            </w:tcBorders>
          </w:tcPr>
          <w:p w14:paraId="54A08C44"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Stated rationale for using conjoint analysis (</w:t>
            </w:r>
            <w:r w:rsidRPr="00AD03B0">
              <w:rPr>
                <w:rFonts w:cs="Times New Roman"/>
                <w:sz w:val="16"/>
                <w:szCs w:val="16"/>
              </w:rPr>
              <w:t>or other chosen method if no DCE</w:t>
            </w:r>
            <w:r w:rsidRPr="0048485B">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2E31EF2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4CB0C54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348DC07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3D1C5BA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03F4329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4A4685E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0E8CCD9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7A9C8637" w14:textId="77777777" w:rsidTr="008E34B4">
        <w:tc>
          <w:tcPr>
            <w:tcW w:w="379" w:type="pct"/>
            <w:tcBorders>
              <w:top w:val="single" w:sz="4" w:space="0" w:color="auto"/>
            </w:tcBorders>
            <w:shd w:val="clear" w:color="auto" w:fill="auto"/>
            <w:tcMar>
              <w:top w:w="0" w:type="dxa"/>
            </w:tcMar>
          </w:tcPr>
          <w:p w14:paraId="03004499"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2.1</w:t>
            </w:r>
          </w:p>
        </w:tc>
        <w:tc>
          <w:tcPr>
            <w:tcW w:w="1816" w:type="pct"/>
            <w:tcBorders>
              <w:top w:val="single" w:sz="4" w:space="0" w:color="auto"/>
            </w:tcBorders>
          </w:tcPr>
          <w:p w14:paraId="3C544938"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Selection of attributes supported by evidence</w:t>
            </w:r>
          </w:p>
        </w:tc>
        <w:tc>
          <w:tcPr>
            <w:tcW w:w="400" w:type="pct"/>
            <w:tcBorders>
              <w:top w:val="single" w:sz="4" w:space="0" w:color="auto"/>
            </w:tcBorders>
            <w:shd w:val="clear" w:color="auto" w:fill="E2EFD9" w:themeFill="accent6" w:themeFillTint="33"/>
            <w:tcMar>
              <w:top w:w="0" w:type="dxa"/>
            </w:tcMar>
            <w:vAlign w:val="center"/>
          </w:tcPr>
          <w:p w14:paraId="0889C69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289324E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2FFC952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tcMar>
            <w:vAlign w:val="center"/>
          </w:tcPr>
          <w:p w14:paraId="07F2D91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0A7E9AE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360A349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tcMar>
            <w:vAlign w:val="center"/>
          </w:tcPr>
          <w:p w14:paraId="40904B1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77A45308" w14:textId="77777777" w:rsidTr="008E34B4">
        <w:tc>
          <w:tcPr>
            <w:tcW w:w="379" w:type="pct"/>
            <w:shd w:val="clear" w:color="auto" w:fill="auto"/>
            <w:tcMar>
              <w:top w:w="0" w:type="dxa"/>
            </w:tcMar>
          </w:tcPr>
          <w:p w14:paraId="61D5F147"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2.2</w:t>
            </w:r>
          </w:p>
        </w:tc>
        <w:tc>
          <w:tcPr>
            <w:tcW w:w="1816" w:type="pct"/>
          </w:tcPr>
          <w:p w14:paraId="67961006"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Selection of attributes justified and consistent with theory</w:t>
            </w:r>
          </w:p>
        </w:tc>
        <w:tc>
          <w:tcPr>
            <w:tcW w:w="400" w:type="pct"/>
            <w:shd w:val="clear" w:color="auto" w:fill="E2EFD9" w:themeFill="accent6" w:themeFillTint="33"/>
            <w:tcMar>
              <w:top w:w="0" w:type="dxa"/>
            </w:tcMar>
            <w:vAlign w:val="center"/>
          </w:tcPr>
          <w:p w14:paraId="02F1B13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0D28483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5D668F5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tcMar>
            <w:vAlign w:val="center"/>
          </w:tcPr>
          <w:p w14:paraId="4296D48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2F63B28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1EC4D86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tcMar>
            <w:vAlign w:val="center"/>
          </w:tcPr>
          <w:p w14:paraId="00AFE9A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3D2DF49F" w14:textId="77777777" w:rsidTr="008E34B4">
        <w:tc>
          <w:tcPr>
            <w:tcW w:w="379" w:type="pct"/>
            <w:tcBorders>
              <w:bottom w:val="single" w:sz="4" w:space="0" w:color="auto"/>
            </w:tcBorders>
            <w:shd w:val="clear" w:color="auto" w:fill="auto"/>
            <w:tcMar>
              <w:top w:w="0" w:type="dxa"/>
            </w:tcMar>
          </w:tcPr>
          <w:p w14:paraId="76125B28"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2.3</w:t>
            </w:r>
          </w:p>
        </w:tc>
        <w:tc>
          <w:tcPr>
            <w:tcW w:w="1816" w:type="pct"/>
            <w:tcBorders>
              <w:bottom w:val="single" w:sz="4" w:space="0" w:color="auto"/>
            </w:tcBorders>
          </w:tcPr>
          <w:p w14:paraId="393FFFA6"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Selection of attribute levels justified by evidence and consistent with study aims</w:t>
            </w:r>
          </w:p>
        </w:tc>
        <w:tc>
          <w:tcPr>
            <w:tcW w:w="400" w:type="pct"/>
            <w:tcBorders>
              <w:bottom w:val="single" w:sz="4" w:space="0" w:color="auto"/>
            </w:tcBorders>
            <w:shd w:val="clear" w:color="auto" w:fill="FFF2CC" w:themeFill="accent4" w:themeFillTint="33"/>
            <w:tcMar>
              <w:top w:w="0" w:type="dxa"/>
            </w:tcMar>
            <w:vAlign w:val="center"/>
          </w:tcPr>
          <w:p w14:paraId="673F4F5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bottom w:val="single" w:sz="4" w:space="0" w:color="auto"/>
            </w:tcBorders>
            <w:shd w:val="clear" w:color="auto" w:fill="FFF2CC" w:themeFill="accent4" w:themeFillTint="33"/>
            <w:tcMar>
              <w:top w:w="0" w:type="dxa"/>
            </w:tcMar>
            <w:vAlign w:val="center"/>
          </w:tcPr>
          <w:p w14:paraId="02D43DE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bottom w:val="single" w:sz="4" w:space="0" w:color="auto"/>
            </w:tcBorders>
            <w:shd w:val="clear" w:color="auto" w:fill="E2EFD9" w:themeFill="accent6" w:themeFillTint="33"/>
            <w:tcMar>
              <w:top w:w="0" w:type="dxa"/>
            </w:tcMar>
            <w:vAlign w:val="center"/>
          </w:tcPr>
          <w:p w14:paraId="2357E40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7DD4500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FFF2CC" w:themeFill="accent4" w:themeFillTint="33"/>
            <w:tcMar>
              <w:top w:w="0" w:type="dxa"/>
            </w:tcMar>
            <w:vAlign w:val="center"/>
          </w:tcPr>
          <w:p w14:paraId="550E880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bottom w:val="single" w:sz="4" w:space="0" w:color="auto"/>
            </w:tcBorders>
            <w:shd w:val="clear" w:color="auto" w:fill="E2EFD9" w:themeFill="accent6" w:themeFillTint="33"/>
            <w:tcMar>
              <w:top w:w="0" w:type="dxa"/>
            </w:tcMar>
            <w:vAlign w:val="center"/>
          </w:tcPr>
          <w:p w14:paraId="2984BDE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6476D09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60736938" w14:textId="77777777" w:rsidTr="008E34B4">
        <w:tc>
          <w:tcPr>
            <w:tcW w:w="379" w:type="pct"/>
            <w:tcBorders>
              <w:top w:val="single" w:sz="4" w:space="0" w:color="auto"/>
            </w:tcBorders>
            <w:shd w:val="clear" w:color="auto" w:fill="auto"/>
            <w:tcMar>
              <w:top w:w="0" w:type="dxa"/>
            </w:tcMar>
          </w:tcPr>
          <w:p w14:paraId="270E4C95"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3.1</w:t>
            </w:r>
          </w:p>
        </w:tc>
        <w:tc>
          <w:tcPr>
            <w:tcW w:w="1816" w:type="pct"/>
            <w:tcBorders>
              <w:top w:val="single" w:sz="4" w:space="0" w:color="auto"/>
            </w:tcBorders>
          </w:tcPr>
          <w:p w14:paraId="6A9CBB48"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Justification of number of attributes in each conjoint task</w:t>
            </w:r>
          </w:p>
        </w:tc>
        <w:tc>
          <w:tcPr>
            <w:tcW w:w="400" w:type="pct"/>
            <w:tcBorders>
              <w:top w:val="single" w:sz="4" w:space="0" w:color="auto"/>
            </w:tcBorders>
            <w:shd w:val="clear" w:color="auto" w:fill="E2EFD9" w:themeFill="accent6" w:themeFillTint="33"/>
            <w:tcMar>
              <w:top w:w="0" w:type="dxa"/>
            </w:tcMar>
            <w:vAlign w:val="center"/>
          </w:tcPr>
          <w:p w14:paraId="19C99A1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662A260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F2F2F2" w:themeFill="background1" w:themeFillShade="F2"/>
            <w:tcMar>
              <w:top w:w="0" w:type="dxa"/>
            </w:tcMar>
            <w:vAlign w:val="center"/>
          </w:tcPr>
          <w:p w14:paraId="7A0185B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NA</w:t>
            </w:r>
          </w:p>
        </w:tc>
        <w:tc>
          <w:tcPr>
            <w:tcW w:w="400" w:type="pct"/>
            <w:tcBorders>
              <w:top w:val="single" w:sz="4" w:space="0" w:color="auto"/>
            </w:tcBorders>
            <w:shd w:val="clear" w:color="auto" w:fill="E2EFD9" w:themeFill="accent6" w:themeFillTint="33"/>
            <w:tcMar>
              <w:top w:w="0" w:type="dxa"/>
            </w:tcMar>
            <w:vAlign w:val="center"/>
          </w:tcPr>
          <w:p w14:paraId="277315D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0519D60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4B34031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tcMar>
            <w:vAlign w:val="center"/>
          </w:tcPr>
          <w:p w14:paraId="25664BB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6E0A6E2A" w14:textId="77777777" w:rsidTr="008E34B4">
        <w:tc>
          <w:tcPr>
            <w:tcW w:w="379" w:type="pct"/>
            <w:shd w:val="clear" w:color="auto" w:fill="auto"/>
            <w:tcMar>
              <w:top w:w="0" w:type="dxa"/>
            </w:tcMar>
          </w:tcPr>
          <w:p w14:paraId="46987CF5"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3.2</w:t>
            </w:r>
          </w:p>
        </w:tc>
        <w:tc>
          <w:tcPr>
            <w:tcW w:w="1816" w:type="pct"/>
          </w:tcPr>
          <w:p w14:paraId="62FEA742"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Justification of number of profiles in each conjoint task</w:t>
            </w:r>
          </w:p>
        </w:tc>
        <w:tc>
          <w:tcPr>
            <w:tcW w:w="400" w:type="pct"/>
            <w:shd w:val="clear" w:color="auto" w:fill="E2EFD9" w:themeFill="accent6" w:themeFillTint="33"/>
            <w:tcMar>
              <w:top w:w="0" w:type="dxa"/>
            </w:tcMar>
            <w:vAlign w:val="center"/>
          </w:tcPr>
          <w:p w14:paraId="5E636A2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26ECA94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F2F2F2" w:themeFill="background1" w:themeFillShade="F2"/>
            <w:tcMar>
              <w:top w:w="0" w:type="dxa"/>
            </w:tcMar>
            <w:vAlign w:val="center"/>
          </w:tcPr>
          <w:p w14:paraId="6026980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NA</w:t>
            </w:r>
          </w:p>
        </w:tc>
        <w:tc>
          <w:tcPr>
            <w:tcW w:w="400" w:type="pct"/>
            <w:shd w:val="clear" w:color="auto" w:fill="E2EFD9" w:themeFill="accent6" w:themeFillTint="33"/>
            <w:tcMar>
              <w:top w:w="0" w:type="dxa"/>
            </w:tcMar>
            <w:vAlign w:val="center"/>
          </w:tcPr>
          <w:p w14:paraId="43A2335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40981CF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269C2ED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tcMar>
            <w:vAlign w:val="center"/>
          </w:tcPr>
          <w:p w14:paraId="50BC976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3EC03A7C" w14:textId="77777777" w:rsidTr="008E34B4">
        <w:tc>
          <w:tcPr>
            <w:tcW w:w="379" w:type="pct"/>
            <w:tcBorders>
              <w:bottom w:val="single" w:sz="4" w:space="0" w:color="auto"/>
            </w:tcBorders>
            <w:shd w:val="clear" w:color="auto" w:fill="auto"/>
            <w:tcMar>
              <w:top w:w="0" w:type="dxa"/>
            </w:tcMar>
          </w:tcPr>
          <w:p w14:paraId="2131303B"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3.3</w:t>
            </w:r>
          </w:p>
        </w:tc>
        <w:tc>
          <w:tcPr>
            <w:tcW w:w="1816" w:type="pct"/>
            <w:tcBorders>
              <w:bottom w:val="single" w:sz="4" w:space="0" w:color="auto"/>
            </w:tcBorders>
          </w:tcPr>
          <w:p w14:paraId="7713FB5B"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Justification of inclusion/exclusion of opt-out option</w:t>
            </w:r>
          </w:p>
        </w:tc>
        <w:tc>
          <w:tcPr>
            <w:tcW w:w="400" w:type="pct"/>
            <w:tcBorders>
              <w:bottom w:val="single" w:sz="4" w:space="0" w:color="auto"/>
            </w:tcBorders>
            <w:shd w:val="clear" w:color="auto" w:fill="E2EFD9" w:themeFill="accent6" w:themeFillTint="33"/>
            <w:tcMar>
              <w:top w:w="0" w:type="dxa"/>
            </w:tcMar>
            <w:vAlign w:val="center"/>
          </w:tcPr>
          <w:p w14:paraId="549ECD8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6B400E2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F2F2F2" w:themeFill="background1" w:themeFillShade="F2"/>
            <w:tcMar>
              <w:top w:w="0" w:type="dxa"/>
            </w:tcMar>
            <w:vAlign w:val="center"/>
          </w:tcPr>
          <w:p w14:paraId="136C0B5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NA</w:t>
            </w:r>
          </w:p>
        </w:tc>
        <w:tc>
          <w:tcPr>
            <w:tcW w:w="400" w:type="pct"/>
            <w:tcBorders>
              <w:bottom w:val="single" w:sz="4" w:space="0" w:color="auto"/>
            </w:tcBorders>
            <w:shd w:val="clear" w:color="auto" w:fill="E2EFD9" w:themeFill="accent6" w:themeFillTint="33"/>
            <w:tcMar>
              <w:top w:w="0" w:type="dxa"/>
            </w:tcMar>
            <w:vAlign w:val="center"/>
          </w:tcPr>
          <w:p w14:paraId="32FCF24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2CE7ABE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4EBA2DB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5778577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5FF8D552" w14:textId="77777777" w:rsidTr="008E34B4">
        <w:tc>
          <w:tcPr>
            <w:tcW w:w="379" w:type="pct"/>
            <w:tcBorders>
              <w:top w:val="single" w:sz="4" w:space="0" w:color="auto"/>
            </w:tcBorders>
            <w:shd w:val="clear" w:color="auto" w:fill="auto"/>
            <w:tcMar>
              <w:top w:w="0" w:type="dxa"/>
            </w:tcMar>
          </w:tcPr>
          <w:p w14:paraId="6F90811C"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4.1</w:t>
            </w:r>
          </w:p>
        </w:tc>
        <w:tc>
          <w:tcPr>
            <w:tcW w:w="1816" w:type="pct"/>
            <w:tcBorders>
              <w:top w:val="single" w:sz="4" w:space="0" w:color="auto"/>
            </w:tcBorders>
          </w:tcPr>
          <w:p w14:paraId="15B5F5C0"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Justification of choice of experimental design</w:t>
            </w:r>
          </w:p>
        </w:tc>
        <w:tc>
          <w:tcPr>
            <w:tcW w:w="400" w:type="pct"/>
            <w:tcBorders>
              <w:top w:val="single" w:sz="4" w:space="0" w:color="auto"/>
            </w:tcBorders>
            <w:shd w:val="clear" w:color="auto" w:fill="E2EFD9" w:themeFill="accent6" w:themeFillTint="33"/>
            <w:tcMar>
              <w:top w:w="0" w:type="dxa"/>
            </w:tcMar>
            <w:vAlign w:val="center"/>
          </w:tcPr>
          <w:p w14:paraId="00A193D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51B1E88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3131CD0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tcMar>
            <w:vAlign w:val="center"/>
          </w:tcPr>
          <w:p w14:paraId="5E931F8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4D2DF27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76BB5FF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tcMar>
            <w:vAlign w:val="center"/>
          </w:tcPr>
          <w:p w14:paraId="0D5DBBC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543BA1C5" w14:textId="77777777" w:rsidTr="008E34B4">
        <w:tc>
          <w:tcPr>
            <w:tcW w:w="379" w:type="pct"/>
            <w:shd w:val="clear" w:color="auto" w:fill="auto"/>
            <w:tcMar>
              <w:top w:w="0" w:type="dxa"/>
            </w:tcMar>
          </w:tcPr>
          <w:p w14:paraId="681C8E71"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4.2</w:t>
            </w:r>
          </w:p>
        </w:tc>
        <w:tc>
          <w:tcPr>
            <w:tcW w:w="1816" w:type="pct"/>
          </w:tcPr>
          <w:p w14:paraId="2A917538"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 xml:space="preserve">Evaluation of properties of experimental design </w:t>
            </w:r>
          </w:p>
        </w:tc>
        <w:tc>
          <w:tcPr>
            <w:tcW w:w="400" w:type="pct"/>
            <w:shd w:val="clear" w:color="auto" w:fill="FFF2CC" w:themeFill="accent4" w:themeFillTint="33"/>
            <w:tcMar>
              <w:top w:w="0" w:type="dxa"/>
            </w:tcMar>
            <w:vAlign w:val="center"/>
          </w:tcPr>
          <w:p w14:paraId="294ABBF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shd w:val="clear" w:color="auto" w:fill="FFF2CC" w:themeFill="accent4" w:themeFillTint="33"/>
            <w:tcMar>
              <w:top w:w="0" w:type="dxa"/>
            </w:tcMar>
            <w:vAlign w:val="center"/>
          </w:tcPr>
          <w:p w14:paraId="3319A54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shd w:val="clear" w:color="auto" w:fill="E2EFD9" w:themeFill="accent6" w:themeFillTint="33"/>
            <w:tcMar>
              <w:top w:w="0" w:type="dxa"/>
            </w:tcMar>
            <w:vAlign w:val="center"/>
          </w:tcPr>
          <w:p w14:paraId="79E7927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tcMar>
            <w:vAlign w:val="center"/>
          </w:tcPr>
          <w:p w14:paraId="43EB36C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FFF2CC" w:themeFill="accent4" w:themeFillTint="33"/>
            <w:tcMar>
              <w:top w:w="0" w:type="dxa"/>
            </w:tcMar>
            <w:vAlign w:val="center"/>
          </w:tcPr>
          <w:p w14:paraId="31A2204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shd w:val="clear" w:color="auto" w:fill="FFF2CC" w:themeFill="accent4" w:themeFillTint="33"/>
            <w:tcMar>
              <w:top w:w="0" w:type="dxa"/>
            </w:tcMar>
            <w:vAlign w:val="center"/>
          </w:tcPr>
          <w:p w14:paraId="33BD1A6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0" w:type="pct"/>
            <w:shd w:val="clear" w:color="auto" w:fill="E2EFD9" w:themeFill="accent6" w:themeFillTint="33"/>
            <w:tcMar>
              <w:top w:w="0" w:type="dxa"/>
            </w:tcMar>
            <w:vAlign w:val="center"/>
          </w:tcPr>
          <w:p w14:paraId="78AB071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421E21CF" w14:textId="77777777" w:rsidTr="008E34B4">
        <w:tc>
          <w:tcPr>
            <w:tcW w:w="379" w:type="pct"/>
            <w:tcBorders>
              <w:bottom w:val="single" w:sz="4" w:space="0" w:color="auto"/>
            </w:tcBorders>
            <w:shd w:val="clear" w:color="auto" w:fill="auto"/>
            <w:tcMar>
              <w:top w:w="0" w:type="dxa"/>
            </w:tcMar>
          </w:tcPr>
          <w:p w14:paraId="0EB9E733"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4.3</w:t>
            </w:r>
          </w:p>
        </w:tc>
        <w:tc>
          <w:tcPr>
            <w:tcW w:w="1816" w:type="pct"/>
            <w:tcBorders>
              <w:bottom w:val="single" w:sz="4" w:space="0" w:color="auto"/>
            </w:tcBorders>
          </w:tcPr>
          <w:p w14:paraId="0CE740D5"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Appropriateness of number of included conjoint tasks (</w:t>
            </w:r>
            <w:r w:rsidRPr="00AD03B0">
              <w:rPr>
                <w:rFonts w:cs="Times New Roman"/>
                <w:sz w:val="16"/>
                <w:szCs w:val="16"/>
              </w:rPr>
              <w:t>or other tasks if no DCE</w:t>
            </w:r>
            <w:r w:rsidRPr="0048485B">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1EAEF2C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38A4E6D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29383CB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6D7F03D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3CC224A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tcMar>
            <w:vAlign w:val="center"/>
          </w:tcPr>
          <w:p w14:paraId="7F049EE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tcMar>
            <w:vAlign w:val="center"/>
          </w:tcPr>
          <w:p w14:paraId="6F52449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66636743" w14:textId="77777777" w:rsidTr="008E34B4">
        <w:tc>
          <w:tcPr>
            <w:tcW w:w="379" w:type="pct"/>
            <w:tcBorders>
              <w:top w:val="single" w:sz="4" w:space="0" w:color="auto"/>
            </w:tcBorders>
            <w:shd w:val="clear" w:color="auto" w:fill="auto"/>
            <w:tcMar>
              <w:top w:w="0" w:type="dxa"/>
            </w:tcMar>
          </w:tcPr>
          <w:p w14:paraId="1903CAA8"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5.1</w:t>
            </w:r>
          </w:p>
        </w:tc>
        <w:tc>
          <w:tcPr>
            <w:tcW w:w="1816" w:type="pct"/>
            <w:tcBorders>
              <w:top w:val="single" w:sz="4" w:space="0" w:color="auto"/>
            </w:tcBorders>
          </w:tcPr>
          <w:p w14:paraId="41825B4F"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Sufficient motivation and explanation of tasks</w:t>
            </w:r>
          </w:p>
        </w:tc>
        <w:tc>
          <w:tcPr>
            <w:tcW w:w="400" w:type="pct"/>
            <w:tcBorders>
              <w:top w:val="single" w:sz="4" w:space="0" w:color="auto"/>
            </w:tcBorders>
            <w:shd w:val="clear" w:color="auto" w:fill="E2EFD9" w:themeFill="accent6" w:themeFillTint="33"/>
            <w:tcMar>
              <w:top w:w="0" w:type="dxa"/>
            </w:tcMar>
            <w:vAlign w:val="center"/>
          </w:tcPr>
          <w:p w14:paraId="40F5BC1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tcMar>
            <w:vAlign w:val="center"/>
          </w:tcPr>
          <w:p w14:paraId="2E3DA8C1"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FFF2CC" w:themeFill="accent4" w:themeFillTint="33"/>
            <w:tcMar>
              <w:top w:w="0" w:type="dxa"/>
            </w:tcMar>
            <w:vAlign w:val="center"/>
          </w:tcPr>
          <w:p w14:paraId="0E7FCB4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0" w:type="pct"/>
            <w:tcBorders>
              <w:top w:val="single" w:sz="4" w:space="0" w:color="auto"/>
            </w:tcBorders>
            <w:shd w:val="clear" w:color="auto" w:fill="FFF2CC" w:themeFill="accent4" w:themeFillTint="33"/>
            <w:tcMar>
              <w:top w:w="0" w:type="dxa"/>
            </w:tcMar>
            <w:vAlign w:val="center"/>
          </w:tcPr>
          <w:p w14:paraId="57A55FF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top w:val="single" w:sz="4" w:space="0" w:color="auto"/>
            </w:tcBorders>
            <w:shd w:val="clear" w:color="auto" w:fill="FFF2CC" w:themeFill="accent4" w:themeFillTint="33"/>
            <w:tcMar>
              <w:top w:w="0" w:type="dxa"/>
            </w:tcMar>
            <w:vAlign w:val="center"/>
          </w:tcPr>
          <w:p w14:paraId="7E5F816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top w:val="single" w:sz="4" w:space="0" w:color="auto"/>
            </w:tcBorders>
            <w:shd w:val="clear" w:color="auto" w:fill="FFF2CC" w:themeFill="accent4" w:themeFillTint="33"/>
            <w:tcMar>
              <w:top w:w="0" w:type="dxa"/>
            </w:tcMar>
            <w:vAlign w:val="center"/>
          </w:tcPr>
          <w:p w14:paraId="30F39A11"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0" w:type="pct"/>
            <w:tcBorders>
              <w:top w:val="single" w:sz="4" w:space="0" w:color="auto"/>
            </w:tcBorders>
            <w:shd w:val="clear" w:color="auto" w:fill="FFF2CC" w:themeFill="accent4" w:themeFillTint="33"/>
            <w:tcMar>
              <w:top w:w="0" w:type="dxa"/>
            </w:tcMar>
            <w:vAlign w:val="center"/>
          </w:tcPr>
          <w:p w14:paraId="0C6A559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r>
      <w:tr w:rsidR="001D4848" w:rsidRPr="00197728" w14:paraId="340C2DEF" w14:textId="77777777" w:rsidTr="008E34B4">
        <w:tc>
          <w:tcPr>
            <w:tcW w:w="379" w:type="pct"/>
            <w:shd w:val="clear" w:color="auto" w:fill="auto"/>
            <w:tcMar>
              <w:top w:w="0" w:type="dxa"/>
            </w:tcMar>
          </w:tcPr>
          <w:p w14:paraId="0E7D5F84"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5.2</w:t>
            </w:r>
          </w:p>
        </w:tc>
        <w:tc>
          <w:tcPr>
            <w:tcW w:w="1816" w:type="pct"/>
          </w:tcPr>
          <w:p w14:paraId="7AC60D30"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Appropriateness of elicitation format</w:t>
            </w:r>
          </w:p>
        </w:tc>
        <w:tc>
          <w:tcPr>
            <w:tcW w:w="400" w:type="pct"/>
            <w:shd w:val="clear" w:color="auto" w:fill="E2EFD9" w:themeFill="accent6" w:themeFillTint="33"/>
            <w:tcMar>
              <w:top w:w="0" w:type="dxa"/>
            </w:tcMar>
            <w:vAlign w:val="center"/>
          </w:tcPr>
          <w:p w14:paraId="1AF4DA2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3E6203C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5137BB9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tcMar>
            <w:vAlign w:val="center"/>
          </w:tcPr>
          <w:p w14:paraId="62236E1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0443159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tcMar>
            <w:vAlign w:val="center"/>
          </w:tcPr>
          <w:p w14:paraId="1CA0F6C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tcMar>
            <w:vAlign w:val="center"/>
          </w:tcPr>
          <w:p w14:paraId="6628532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5F6FF862" w14:textId="77777777" w:rsidTr="008E34B4">
        <w:tc>
          <w:tcPr>
            <w:tcW w:w="379" w:type="pct"/>
            <w:tcBorders>
              <w:bottom w:val="single" w:sz="4" w:space="0" w:color="auto"/>
            </w:tcBorders>
            <w:shd w:val="clear" w:color="auto" w:fill="auto"/>
            <w:tcMar>
              <w:top w:w="0" w:type="dxa"/>
              <w:bottom w:w="0" w:type="dxa"/>
            </w:tcMar>
          </w:tcPr>
          <w:p w14:paraId="524AE6F7"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5.3</w:t>
            </w:r>
          </w:p>
        </w:tc>
        <w:tc>
          <w:tcPr>
            <w:tcW w:w="1816" w:type="pct"/>
            <w:tcBorders>
              <w:bottom w:val="single" w:sz="4" w:space="0" w:color="auto"/>
            </w:tcBorders>
          </w:tcPr>
          <w:p w14:paraId="1E8B73F7"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Inclusion of other qualifying questions</w:t>
            </w:r>
          </w:p>
        </w:tc>
        <w:tc>
          <w:tcPr>
            <w:tcW w:w="400" w:type="pct"/>
            <w:tcBorders>
              <w:bottom w:val="single" w:sz="4" w:space="0" w:color="auto"/>
            </w:tcBorders>
            <w:shd w:val="clear" w:color="auto" w:fill="FFF2CC" w:themeFill="accent4" w:themeFillTint="33"/>
            <w:tcMar>
              <w:top w:w="0" w:type="dxa"/>
              <w:bottom w:w="0" w:type="dxa"/>
            </w:tcMar>
            <w:vAlign w:val="center"/>
          </w:tcPr>
          <w:p w14:paraId="66EC833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bottom w:val="single" w:sz="4" w:space="0" w:color="auto"/>
            </w:tcBorders>
            <w:shd w:val="clear" w:color="auto" w:fill="E2EFD9" w:themeFill="accent6" w:themeFillTint="33"/>
            <w:tcMar>
              <w:top w:w="0" w:type="dxa"/>
              <w:bottom w:w="0" w:type="dxa"/>
            </w:tcMar>
            <w:vAlign w:val="center"/>
          </w:tcPr>
          <w:p w14:paraId="1A73204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FFF2CC" w:themeFill="accent4" w:themeFillTint="33"/>
            <w:tcMar>
              <w:top w:w="0" w:type="dxa"/>
              <w:bottom w:w="0" w:type="dxa"/>
            </w:tcMar>
            <w:vAlign w:val="center"/>
          </w:tcPr>
          <w:p w14:paraId="4DA97C2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0" w:type="pct"/>
            <w:tcBorders>
              <w:bottom w:val="single" w:sz="4" w:space="0" w:color="auto"/>
            </w:tcBorders>
            <w:shd w:val="clear" w:color="auto" w:fill="FFF2CC" w:themeFill="accent4" w:themeFillTint="33"/>
            <w:tcMar>
              <w:top w:w="0" w:type="dxa"/>
              <w:bottom w:w="0" w:type="dxa"/>
            </w:tcMar>
            <w:vAlign w:val="center"/>
          </w:tcPr>
          <w:p w14:paraId="7A0D183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bottom w:val="single" w:sz="4" w:space="0" w:color="auto"/>
            </w:tcBorders>
            <w:shd w:val="clear" w:color="auto" w:fill="FFF2CC" w:themeFill="accent4" w:themeFillTint="33"/>
            <w:tcMar>
              <w:top w:w="0" w:type="dxa"/>
              <w:bottom w:w="0" w:type="dxa"/>
            </w:tcMar>
            <w:vAlign w:val="center"/>
          </w:tcPr>
          <w:p w14:paraId="636708B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bottom w:val="single" w:sz="4" w:space="0" w:color="auto"/>
            </w:tcBorders>
            <w:shd w:val="clear" w:color="auto" w:fill="FFF2CC" w:themeFill="accent4" w:themeFillTint="33"/>
            <w:tcMar>
              <w:top w:w="0" w:type="dxa"/>
              <w:bottom w:w="0" w:type="dxa"/>
            </w:tcMar>
            <w:vAlign w:val="center"/>
          </w:tcPr>
          <w:p w14:paraId="02C53AF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0" w:type="pct"/>
            <w:tcBorders>
              <w:bottom w:val="single" w:sz="4" w:space="0" w:color="auto"/>
            </w:tcBorders>
            <w:shd w:val="clear" w:color="auto" w:fill="FFF2CC" w:themeFill="accent4" w:themeFillTint="33"/>
            <w:tcMar>
              <w:top w:w="0" w:type="dxa"/>
              <w:bottom w:w="0" w:type="dxa"/>
            </w:tcMar>
            <w:vAlign w:val="center"/>
          </w:tcPr>
          <w:p w14:paraId="6373758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r>
      <w:tr w:rsidR="001D4848" w:rsidRPr="00197728" w14:paraId="0D3FAD94" w14:textId="77777777" w:rsidTr="008E34B4">
        <w:tc>
          <w:tcPr>
            <w:tcW w:w="379" w:type="pct"/>
            <w:tcBorders>
              <w:top w:val="single" w:sz="4" w:space="0" w:color="auto"/>
            </w:tcBorders>
            <w:shd w:val="clear" w:color="auto" w:fill="auto"/>
            <w:tcMar>
              <w:top w:w="0" w:type="dxa"/>
              <w:bottom w:w="0" w:type="dxa"/>
            </w:tcMar>
          </w:tcPr>
          <w:p w14:paraId="6598B79E"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lastRenderedPageBreak/>
              <w:t>6.1</w:t>
            </w:r>
          </w:p>
        </w:tc>
        <w:tc>
          <w:tcPr>
            <w:tcW w:w="1816" w:type="pct"/>
            <w:tcBorders>
              <w:top w:val="single" w:sz="4" w:space="0" w:color="auto"/>
            </w:tcBorders>
          </w:tcPr>
          <w:p w14:paraId="2EC91772"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Collection of appropriate respondent information</w:t>
            </w:r>
          </w:p>
        </w:tc>
        <w:tc>
          <w:tcPr>
            <w:tcW w:w="400" w:type="pct"/>
            <w:tcBorders>
              <w:top w:val="single" w:sz="4" w:space="0" w:color="auto"/>
            </w:tcBorders>
            <w:shd w:val="clear" w:color="auto" w:fill="E2EFD9" w:themeFill="accent6" w:themeFillTint="33"/>
            <w:tcMar>
              <w:top w:w="0" w:type="dxa"/>
              <w:bottom w:w="0" w:type="dxa"/>
            </w:tcMar>
            <w:vAlign w:val="center"/>
          </w:tcPr>
          <w:p w14:paraId="73952B3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3CA866D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237D982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FFF2CC" w:themeFill="accent4" w:themeFillTint="33"/>
            <w:tcMar>
              <w:top w:w="0" w:type="dxa"/>
              <w:bottom w:w="0" w:type="dxa"/>
            </w:tcMar>
            <w:vAlign w:val="center"/>
          </w:tcPr>
          <w:p w14:paraId="2443C2E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NR</w:t>
            </w:r>
          </w:p>
        </w:tc>
        <w:tc>
          <w:tcPr>
            <w:tcW w:w="401" w:type="pct"/>
            <w:tcBorders>
              <w:top w:val="single" w:sz="4" w:space="0" w:color="auto"/>
            </w:tcBorders>
            <w:shd w:val="clear" w:color="auto" w:fill="E2EFD9" w:themeFill="accent6" w:themeFillTint="33"/>
            <w:tcMar>
              <w:top w:w="0" w:type="dxa"/>
              <w:bottom w:w="0" w:type="dxa"/>
            </w:tcMar>
            <w:vAlign w:val="center"/>
          </w:tcPr>
          <w:p w14:paraId="5699CA0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64E73BE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bottom w:w="0" w:type="dxa"/>
            </w:tcMar>
            <w:vAlign w:val="center"/>
          </w:tcPr>
          <w:p w14:paraId="15F258A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11DEAF88" w14:textId="77777777" w:rsidTr="008E34B4">
        <w:tc>
          <w:tcPr>
            <w:tcW w:w="379" w:type="pct"/>
            <w:shd w:val="clear" w:color="auto" w:fill="auto"/>
            <w:tcMar>
              <w:top w:w="0" w:type="dxa"/>
              <w:bottom w:w="0" w:type="dxa"/>
            </w:tcMar>
          </w:tcPr>
          <w:p w14:paraId="5EF2AF00"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6.2</w:t>
            </w:r>
          </w:p>
        </w:tc>
        <w:tc>
          <w:tcPr>
            <w:tcW w:w="1816" w:type="pct"/>
          </w:tcPr>
          <w:p w14:paraId="1F308199"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Definition and provision of contextual information for attributes and levels</w:t>
            </w:r>
          </w:p>
        </w:tc>
        <w:tc>
          <w:tcPr>
            <w:tcW w:w="400" w:type="pct"/>
            <w:shd w:val="clear" w:color="auto" w:fill="E2EFD9" w:themeFill="accent6" w:themeFillTint="33"/>
            <w:tcMar>
              <w:top w:w="0" w:type="dxa"/>
              <w:bottom w:w="0" w:type="dxa"/>
            </w:tcMar>
            <w:vAlign w:val="center"/>
          </w:tcPr>
          <w:p w14:paraId="22E881F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4CCE506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21EF1BF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6D10B46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34E7012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1D23441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6CF86F9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44F253D5" w14:textId="77777777" w:rsidTr="008E34B4">
        <w:tc>
          <w:tcPr>
            <w:tcW w:w="379" w:type="pct"/>
            <w:tcBorders>
              <w:bottom w:val="single" w:sz="4" w:space="0" w:color="auto"/>
            </w:tcBorders>
            <w:shd w:val="clear" w:color="auto" w:fill="auto"/>
            <w:tcMar>
              <w:top w:w="0" w:type="dxa"/>
              <w:bottom w:w="0" w:type="dxa"/>
            </w:tcMar>
          </w:tcPr>
          <w:p w14:paraId="2700B1A0"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6.3</w:t>
            </w:r>
          </w:p>
        </w:tc>
        <w:tc>
          <w:tcPr>
            <w:tcW w:w="1816" w:type="pct"/>
            <w:tcBorders>
              <w:bottom w:val="single" w:sz="4" w:space="0" w:color="auto"/>
            </w:tcBorders>
          </w:tcPr>
          <w:p w14:paraId="60AB09F6"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 xml:space="preserve">Appropriateness of the level of burden of the data collection instrument </w:t>
            </w:r>
          </w:p>
        </w:tc>
        <w:tc>
          <w:tcPr>
            <w:tcW w:w="400" w:type="pct"/>
            <w:tcBorders>
              <w:bottom w:val="single" w:sz="4" w:space="0" w:color="auto"/>
            </w:tcBorders>
            <w:shd w:val="clear" w:color="auto" w:fill="E2EFD9" w:themeFill="accent6" w:themeFillTint="33"/>
            <w:tcMar>
              <w:top w:w="0" w:type="dxa"/>
              <w:bottom w:w="0" w:type="dxa"/>
            </w:tcMar>
            <w:vAlign w:val="center"/>
          </w:tcPr>
          <w:p w14:paraId="1CA9FD1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405FCD6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3656AA2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35CB531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543EA16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01C280F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1DD9BB4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6DD36EEF" w14:textId="77777777" w:rsidTr="008E34B4">
        <w:tc>
          <w:tcPr>
            <w:tcW w:w="379" w:type="pct"/>
            <w:tcBorders>
              <w:top w:val="single" w:sz="4" w:space="0" w:color="auto"/>
            </w:tcBorders>
            <w:shd w:val="clear" w:color="auto" w:fill="auto"/>
            <w:tcMar>
              <w:top w:w="0" w:type="dxa"/>
              <w:bottom w:w="0" w:type="dxa"/>
            </w:tcMar>
          </w:tcPr>
          <w:p w14:paraId="1F86F656"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7.1</w:t>
            </w:r>
          </w:p>
        </w:tc>
        <w:tc>
          <w:tcPr>
            <w:tcW w:w="1816" w:type="pct"/>
            <w:tcBorders>
              <w:top w:val="single" w:sz="4" w:space="0" w:color="auto"/>
            </w:tcBorders>
          </w:tcPr>
          <w:p w14:paraId="17A5008F"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Justification of the sampling strategy (eg, sample size, stratification, recruitment)</w:t>
            </w:r>
          </w:p>
        </w:tc>
        <w:tc>
          <w:tcPr>
            <w:tcW w:w="400" w:type="pct"/>
            <w:tcBorders>
              <w:top w:val="single" w:sz="4" w:space="0" w:color="auto"/>
            </w:tcBorders>
            <w:shd w:val="clear" w:color="auto" w:fill="FBE4D5" w:themeFill="accent2" w:themeFillTint="33"/>
            <w:tcMar>
              <w:top w:w="0" w:type="dxa"/>
              <w:bottom w:w="0" w:type="dxa"/>
            </w:tcMar>
            <w:vAlign w:val="center"/>
          </w:tcPr>
          <w:p w14:paraId="3013341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6BC1E411"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FBE4D5" w:themeFill="accent2" w:themeFillTint="33"/>
            <w:tcMar>
              <w:top w:w="0" w:type="dxa"/>
              <w:bottom w:w="0" w:type="dxa"/>
            </w:tcMar>
            <w:vAlign w:val="center"/>
          </w:tcPr>
          <w:p w14:paraId="0857433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FBE4D5" w:themeFill="accent2" w:themeFillTint="33"/>
            <w:tcMar>
              <w:top w:w="0" w:type="dxa"/>
              <w:bottom w:w="0" w:type="dxa"/>
            </w:tcMar>
            <w:vAlign w:val="center"/>
          </w:tcPr>
          <w:p w14:paraId="16BB0D5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FBE4D5" w:themeFill="accent2" w:themeFillTint="33"/>
            <w:tcMar>
              <w:top w:w="0" w:type="dxa"/>
              <w:bottom w:w="0" w:type="dxa"/>
            </w:tcMar>
            <w:vAlign w:val="center"/>
          </w:tcPr>
          <w:p w14:paraId="20FCAE4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18B7DA6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FBE4D5" w:themeFill="accent2" w:themeFillTint="33"/>
            <w:tcMar>
              <w:top w:w="0" w:type="dxa"/>
              <w:bottom w:w="0" w:type="dxa"/>
            </w:tcMar>
            <w:vAlign w:val="center"/>
          </w:tcPr>
          <w:p w14:paraId="604262C1"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422196BD" w14:textId="77777777" w:rsidTr="008E34B4">
        <w:tc>
          <w:tcPr>
            <w:tcW w:w="379" w:type="pct"/>
            <w:shd w:val="clear" w:color="auto" w:fill="auto"/>
            <w:tcMar>
              <w:top w:w="0" w:type="dxa"/>
              <w:bottom w:w="0" w:type="dxa"/>
            </w:tcMar>
          </w:tcPr>
          <w:p w14:paraId="6353CB72"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7.2</w:t>
            </w:r>
          </w:p>
        </w:tc>
        <w:tc>
          <w:tcPr>
            <w:tcW w:w="1816" w:type="pct"/>
          </w:tcPr>
          <w:p w14:paraId="20B0C1BD"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Justification and appropriateness of the mode of administration</w:t>
            </w:r>
          </w:p>
        </w:tc>
        <w:tc>
          <w:tcPr>
            <w:tcW w:w="400" w:type="pct"/>
            <w:shd w:val="clear" w:color="auto" w:fill="E2EFD9" w:themeFill="accent6" w:themeFillTint="33"/>
            <w:tcMar>
              <w:top w:w="0" w:type="dxa"/>
              <w:bottom w:w="0" w:type="dxa"/>
            </w:tcMar>
            <w:vAlign w:val="center"/>
          </w:tcPr>
          <w:p w14:paraId="380523A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3835E67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06D7DF9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22A974B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59EEF6D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3F8104C1"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53A027B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53A81F85" w14:textId="77777777" w:rsidTr="008E34B4">
        <w:tc>
          <w:tcPr>
            <w:tcW w:w="379" w:type="pct"/>
            <w:tcBorders>
              <w:bottom w:val="single" w:sz="4" w:space="0" w:color="auto"/>
            </w:tcBorders>
            <w:shd w:val="clear" w:color="auto" w:fill="auto"/>
            <w:tcMar>
              <w:top w:w="0" w:type="dxa"/>
              <w:bottom w:w="0" w:type="dxa"/>
            </w:tcMar>
          </w:tcPr>
          <w:p w14:paraId="1DA0AE06"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7.3</w:t>
            </w:r>
          </w:p>
        </w:tc>
        <w:tc>
          <w:tcPr>
            <w:tcW w:w="1816" w:type="pct"/>
            <w:tcBorders>
              <w:bottom w:val="single" w:sz="4" w:space="0" w:color="auto"/>
            </w:tcBorders>
          </w:tcPr>
          <w:p w14:paraId="3840DC18"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Consideration of ethical aspects</w:t>
            </w:r>
          </w:p>
        </w:tc>
        <w:tc>
          <w:tcPr>
            <w:tcW w:w="400" w:type="pct"/>
            <w:tcBorders>
              <w:bottom w:val="single" w:sz="4" w:space="0" w:color="auto"/>
            </w:tcBorders>
            <w:shd w:val="clear" w:color="auto" w:fill="E2EFD9" w:themeFill="accent6" w:themeFillTint="33"/>
            <w:tcMar>
              <w:top w:w="0" w:type="dxa"/>
              <w:bottom w:w="0" w:type="dxa"/>
            </w:tcMar>
            <w:vAlign w:val="center"/>
          </w:tcPr>
          <w:p w14:paraId="2B485C3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120749A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3CA08B8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7616161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485AF601"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649C694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5F802F6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669B08A5" w14:textId="77777777" w:rsidTr="008E34B4">
        <w:tc>
          <w:tcPr>
            <w:tcW w:w="379" w:type="pct"/>
            <w:tcBorders>
              <w:top w:val="single" w:sz="4" w:space="0" w:color="auto"/>
            </w:tcBorders>
            <w:shd w:val="clear" w:color="auto" w:fill="auto"/>
            <w:tcMar>
              <w:top w:w="0" w:type="dxa"/>
              <w:bottom w:w="0" w:type="dxa"/>
            </w:tcMar>
          </w:tcPr>
          <w:p w14:paraId="73CE109F"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8.1</w:t>
            </w:r>
          </w:p>
        </w:tc>
        <w:tc>
          <w:tcPr>
            <w:tcW w:w="1816" w:type="pct"/>
            <w:tcBorders>
              <w:top w:val="single" w:sz="4" w:space="0" w:color="auto"/>
            </w:tcBorders>
          </w:tcPr>
          <w:p w14:paraId="4360A5C3"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Examination and testing of respondent characteristics</w:t>
            </w:r>
          </w:p>
        </w:tc>
        <w:tc>
          <w:tcPr>
            <w:tcW w:w="400" w:type="pct"/>
            <w:tcBorders>
              <w:top w:val="single" w:sz="4" w:space="0" w:color="auto"/>
            </w:tcBorders>
            <w:shd w:val="clear" w:color="auto" w:fill="FBE4D5" w:themeFill="accent2" w:themeFillTint="33"/>
            <w:tcMar>
              <w:top w:w="0" w:type="dxa"/>
              <w:bottom w:w="0" w:type="dxa"/>
            </w:tcMar>
            <w:vAlign w:val="center"/>
          </w:tcPr>
          <w:p w14:paraId="6DC4095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FBE4D5" w:themeFill="accent2" w:themeFillTint="33"/>
            <w:tcMar>
              <w:top w:w="0" w:type="dxa"/>
              <w:bottom w:w="0" w:type="dxa"/>
            </w:tcMar>
            <w:vAlign w:val="center"/>
          </w:tcPr>
          <w:p w14:paraId="14A8720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1D2C565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FBE4D5" w:themeFill="accent2" w:themeFillTint="33"/>
            <w:tcMar>
              <w:top w:w="0" w:type="dxa"/>
              <w:bottom w:w="0" w:type="dxa"/>
            </w:tcMar>
            <w:vAlign w:val="center"/>
          </w:tcPr>
          <w:p w14:paraId="48F8CD2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FBE4D5" w:themeFill="accent2" w:themeFillTint="33"/>
            <w:tcMar>
              <w:top w:w="0" w:type="dxa"/>
              <w:bottom w:w="0" w:type="dxa"/>
            </w:tcMar>
            <w:vAlign w:val="center"/>
          </w:tcPr>
          <w:p w14:paraId="0BE3159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21BFA26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bottom w:w="0" w:type="dxa"/>
            </w:tcMar>
            <w:vAlign w:val="center"/>
          </w:tcPr>
          <w:p w14:paraId="4FC57EB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0CC9252C" w14:textId="77777777" w:rsidTr="008E34B4">
        <w:tc>
          <w:tcPr>
            <w:tcW w:w="379" w:type="pct"/>
            <w:shd w:val="clear" w:color="auto" w:fill="auto"/>
            <w:tcMar>
              <w:top w:w="0" w:type="dxa"/>
              <w:bottom w:w="0" w:type="dxa"/>
            </w:tcMar>
          </w:tcPr>
          <w:p w14:paraId="64A79DCC"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8.2</w:t>
            </w:r>
          </w:p>
        </w:tc>
        <w:tc>
          <w:tcPr>
            <w:tcW w:w="1816" w:type="pct"/>
          </w:tcPr>
          <w:p w14:paraId="0D5D7E9E"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 xml:space="preserve">Examination of quality of responses (eg, rationality, validity, reliability) </w:t>
            </w:r>
          </w:p>
        </w:tc>
        <w:tc>
          <w:tcPr>
            <w:tcW w:w="400" w:type="pct"/>
            <w:shd w:val="clear" w:color="auto" w:fill="FBE4D5" w:themeFill="accent2" w:themeFillTint="33"/>
            <w:tcMar>
              <w:top w:w="0" w:type="dxa"/>
              <w:bottom w:w="0" w:type="dxa"/>
            </w:tcMar>
            <w:vAlign w:val="center"/>
          </w:tcPr>
          <w:p w14:paraId="56CF2F4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FBE4D5" w:themeFill="accent2" w:themeFillTint="33"/>
            <w:tcMar>
              <w:top w:w="0" w:type="dxa"/>
              <w:bottom w:w="0" w:type="dxa"/>
            </w:tcMar>
            <w:vAlign w:val="center"/>
          </w:tcPr>
          <w:p w14:paraId="6555228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FBE4D5" w:themeFill="accent2" w:themeFillTint="33"/>
            <w:tcMar>
              <w:top w:w="0" w:type="dxa"/>
              <w:bottom w:w="0" w:type="dxa"/>
            </w:tcMar>
            <w:vAlign w:val="center"/>
          </w:tcPr>
          <w:p w14:paraId="0E1BC68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5A9B14A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FBE4D5" w:themeFill="accent2" w:themeFillTint="33"/>
            <w:tcMar>
              <w:top w:w="0" w:type="dxa"/>
              <w:bottom w:w="0" w:type="dxa"/>
            </w:tcMar>
            <w:vAlign w:val="center"/>
          </w:tcPr>
          <w:p w14:paraId="0A7564E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54ACB7E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0117E56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02BC9E18" w14:textId="77777777" w:rsidTr="008E34B4">
        <w:tc>
          <w:tcPr>
            <w:tcW w:w="379" w:type="pct"/>
            <w:tcBorders>
              <w:bottom w:val="single" w:sz="4" w:space="0" w:color="auto"/>
            </w:tcBorders>
            <w:shd w:val="clear" w:color="auto" w:fill="auto"/>
            <w:tcMar>
              <w:top w:w="0" w:type="dxa"/>
              <w:bottom w:w="0" w:type="dxa"/>
            </w:tcMar>
          </w:tcPr>
          <w:p w14:paraId="1BA3C0A9"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8.3</w:t>
            </w:r>
          </w:p>
        </w:tc>
        <w:tc>
          <w:tcPr>
            <w:tcW w:w="1816" w:type="pct"/>
            <w:tcBorders>
              <w:bottom w:val="single" w:sz="4" w:space="0" w:color="auto"/>
            </w:tcBorders>
          </w:tcPr>
          <w:p w14:paraId="7422D0CC"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Appropriateness of model estimation</w:t>
            </w:r>
          </w:p>
        </w:tc>
        <w:tc>
          <w:tcPr>
            <w:tcW w:w="400" w:type="pct"/>
            <w:tcBorders>
              <w:bottom w:val="single" w:sz="4" w:space="0" w:color="auto"/>
            </w:tcBorders>
            <w:shd w:val="clear" w:color="auto" w:fill="E2EFD9" w:themeFill="accent6" w:themeFillTint="33"/>
            <w:tcMar>
              <w:top w:w="0" w:type="dxa"/>
              <w:bottom w:w="0" w:type="dxa"/>
            </w:tcMar>
            <w:vAlign w:val="center"/>
          </w:tcPr>
          <w:p w14:paraId="76B1098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00C8239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190A28B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35C85AD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6252644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0DDCE7EF"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6EBA78E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4CB83BEA" w14:textId="77777777" w:rsidTr="008E34B4">
        <w:tc>
          <w:tcPr>
            <w:tcW w:w="379" w:type="pct"/>
            <w:tcBorders>
              <w:top w:val="single" w:sz="4" w:space="0" w:color="auto"/>
            </w:tcBorders>
            <w:shd w:val="clear" w:color="auto" w:fill="auto"/>
            <w:tcMar>
              <w:top w:w="0" w:type="dxa"/>
              <w:bottom w:w="0" w:type="dxa"/>
            </w:tcMar>
          </w:tcPr>
          <w:p w14:paraId="1909BB7D"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9.1</w:t>
            </w:r>
          </w:p>
        </w:tc>
        <w:tc>
          <w:tcPr>
            <w:tcW w:w="1816" w:type="pct"/>
            <w:tcBorders>
              <w:top w:val="single" w:sz="4" w:space="0" w:color="auto"/>
            </w:tcBorders>
          </w:tcPr>
          <w:p w14:paraId="256A69CE"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Reflection of testable hypotheses and statistical uncertainty in study results</w:t>
            </w:r>
          </w:p>
        </w:tc>
        <w:tc>
          <w:tcPr>
            <w:tcW w:w="400" w:type="pct"/>
            <w:tcBorders>
              <w:top w:val="single" w:sz="4" w:space="0" w:color="auto"/>
            </w:tcBorders>
            <w:shd w:val="clear" w:color="auto" w:fill="E2EFD9" w:themeFill="accent6" w:themeFillTint="33"/>
            <w:tcMar>
              <w:top w:w="0" w:type="dxa"/>
              <w:bottom w:w="0" w:type="dxa"/>
            </w:tcMar>
            <w:vAlign w:val="center"/>
          </w:tcPr>
          <w:p w14:paraId="7E69C19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3A34180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7B8A35C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bottom w:w="0" w:type="dxa"/>
            </w:tcMar>
            <w:vAlign w:val="center"/>
          </w:tcPr>
          <w:p w14:paraId="003E1BD1"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69BDD29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3245483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bottom w:w="0" w:type="dxa"/>
            </w:tcMar>
            <w:vAlign w:val="center"/>
          </w:tcPr>
          <w:p w14:paraId="26EF7DC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79EBEF74" w14:textId="77777777" w:rsidTr="008E34B4">
        <w:tc>
          <w:tcPr>
            <w:tcW w:w="379" w:type="pct"/>
            <w:shd w:val="clear" w:color="auto" w:fill="auto"/>
            <w:tcMar>
              <w:top w:w="0" w:type="dxa"/>
              <w:bottom w:w="0" w:type="dxa"/>
            </w:tcMar>
          </w:tcPr>
          <w:p w14:paraId="52DF61F0"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9.2</w:t>
            </w:r>
          </w:p>
        </w:tc>
        <w:tc>
          <w:tcPr>
            <w:tcW w:w="1816" w:type="pct"/>
          </w:tcPr>
          <w:p w14:paraId="5EBD1D89"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Study conclusions supported by evidence and compared with existing literature</w:t>
            </w:r>
          </w:p>
        </w:tc>
        <w:tc>
          <w:tcPr>
            <w:tcW w:w="400" w:type="pct"/>
            <w:shd w:val="clear" w:color="auto" w:fill="E2EFD9" w:themeFill="accent6" w:themeFillTint="33"/>
            <w:tcMar>
              <w:top w:w="0" w:type="dxa"/>
              <w:bottom w:w="0" w:type="dxa"/>
            </w:tcMar>
            <w:vAlign w:val="center"/>
          </w:tcPr>
          <w:p w14:paraId="1822F97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10C85AB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714DD3B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51BFB8C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43212F4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6B1F36A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278023D8"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7BEECE2C" w14:textId="77777777" w:rsidTr="008E34B4">
        <w:tc>
          <w:tcPr>
            <w:tcW w:w="379" w:type="pct"/>
            <w:tcBorders>
              <w:bottom w:val="single" w:sz="4" w:space="0" w:color="auto"/>
            </w:tcBorders>
            <w:shd w:val="clear" w:color="auto" w:fill="auto"/>
            <w:tcMar>
              <w:top w:w="0" w:type="dxa"/>
              <w:bottom w:w="0" w:type="dxa"/>
            </w:tcMar>
          </w:tcPr>
          <w:p w14:paraId="6B4E3B1C"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9.3</w:t>
            </w:r>
          </w:p>
        </w:tc>
        <w:tc>
          <w:tcPr>
            <w:tcW w:w="1816" w:type="pct"/>
            <w:tcBorders>
              <w:bottom w:val="single" w:sz="4" w:space="0" w:color="auto"/>
            </w:tcBorders>
          </w:tcPr>
          <w:p w14:paraId="333E98AF"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Adequacy of discussion of study limitations and generalizability</w:t>
            </w:r>
          </w:p>
        </w:tc>
        <w:tc>
          <w:tcPr>
            <w:tcW w:w="400" w:type="pct"/>
            <w:tcBorders>
              <w:bottom w:val="single" w:sz="4" w:space="0" w:color="auto"/>
            </w:tcBorders>
            <w:shd w:val="clear" w:color="auto" w:fill="E2EFD9" w:themeFill="accent6" w:themeFillTint="33"/>
            <w:tcMar>
              <w:top w:w="0" w:type="dxa"/>
              <w:bottom w:w="0" w:type="dxa"/>
            </w:tcMar>
            <w:vAlign w:val="center"/>
          </w:tcPr>
          <w:p w14:paraId="037440A1"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1DE005C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364B74D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07CE677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1464611B"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69EDFB9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69DA6F5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4E3DC8D4" w14:textId="77777777" w:rsidTr="008E34B4">
        <w:tc>
          <w:tcPr>
            <w:tcW w:w="379" w:type="pct"/>
            <w:tcBorders>
              <w:top w:val="single" w:sz="4" w:space="0" w:color="auto"/>
            </w:tcBorders>
            <w:shd w:val="clear" w:color="auto" w:fill="auto"/>
            <w:tcMar>
              <w:top w:w="0" w:type="dxa"/>
              <w:bottom w:w="0" w:type="dxa"/>
            </w:tcMar>
          </w:tcPr>
          <w:p w14:paraId="13685F34"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10.1</w:t>
            </w:r>
          </w:p>
        </w:tc>
        <w:tc>
          <w:tcPr>
            <w:tcW w:w="1816" w:type="pct"/>
            <w:tcBorders>
              <w:top w:val="single" w:sz="4" w:space="0" w:color="auto"/>
            </w:tcBorders>
          </w:tcPr>
          <w:p w14:paraId="2619130D"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Adequacy of motivation for study importance and research context</w:t>
            </w:r>
          </w:p>
        </w:tc>
        <w:tc>
          <w:tcPr>
            <w:tcW w:w="400" w:type="pct"/>
            <w:tcBorders>
              <w:top w:val="single" w:sz="4" w:space="0" w:color="auto"/>
            </w:tcBorders>
            <w:shd w:val="clear" w:color="auto" w:fill="E2EFD9" w:themeFill="accent6" w:themeFillTint="33"/>
            <w:tcMar>
              <w:top w:w="0" w:type="dxa"/>
              <w:bottom w:w="0" w:type="dxa"/>
            </w:tcMar>
            <w:vAlign w:val="center"/>
          </w:tcPr>
          <w:p w14:paraId="2AFCA64D"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3984A3E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308FA24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bottom w:w="0" w:type="dxa"/>
            </w:tcMar>
            <w:vAlign w:val="center"/>
          </w:tcPr>
          <w:p w14:paraId="1151C987"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09ACEEF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top w:val="single" w:sz="4" w:space="0" w:color="auto"/>
            </w:tcBorders>
            <w:shd w:val="clear" w:color="auto" w:fill="E2EFD9" w:themeFill="accent6" w:themeFillTint="33"/>
            <w:tcMar>
              <w:top w:w="0" w:type="dxa"/>
              <w:bottom w:w="0" w:type="dxa"/>
            </w:tcMar>
            <w:vAlign w:val="center"/>
          </w:tcPr>
          <w:p w14:paraId="4A57AEE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top w:val="single" w:sz="4" w:space="0" w:color="auto"/>
            </w:tcBorders>
            <w:shd w:val="clear" w:color="auto" w:fill="E2EFD9" w:themeFill="accent6" w:themeFillTint="33"/>
            <w:tcMar>
              <w:top w:w="0" w:type="dxa"/>
              <w:bottom w:w="0" w:type="dxa"/>
            </w:tcMar>
            <w:vAlign w:val="center"/>
          </w:tcPr>
          <w:p w14:paraId="20DCB5F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533E022F" w14:textId="77777777" w:rsidTr="008E34B4">
        <w:tc>
          <w:tcPr>
            <w:tcW w:w="379" w:type="pct"/>
            <w:shd w:val="clear" w:color="auto" w:fill="auto"/>
            <w:tcMar>
              <w:top w:w="0" w:type="dxa"/>
              <w:bottom w:w="0" w:type="dxa"/>
            </w:tcMar>
          </w:tcPr>
          <w:p w14:paraId="334E4FC6"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10.2</w:t>
            </w:r>
          </w:p>
        </w:tc>
        <w:tc>
          <w:tcPr>
            <w:tcW w:w="1816" w:type="pct"/>
          </w:tcPr>
          <w:p w14:paraId="5E5721D7"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Description of data collection instrument and methods</w:t>
            </w:r>
          </w:p>
        </w:tc>
        <w:tc>
          <w:tcPr>
            <w:tcW w:w="400" w:type="pct"/>
            <w:shd w:val="clear" w:color="auto" w:fill="E2EFD9" w:themeFill="accent6" w:themeFillTint="33"/>
            <w:tcMar>
              <w:top w:w="0" w:type="dxa"/>
              <w:bottom w:w="0" w:type="dxa"/>
            </w:tcMar>
            <w:vAlign w:val="center"/>
          </w:tcPr>
          <w:p w14:paraId="4FBA16D0"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3109FE02"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6762616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443F7B9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52763603"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shd w:val="clear" w:color="auto" w:fill="E2EFD9" w:themeFill="accent6" w:themeFillTint="33"/>
            <w:tcMar>
              <w:top w:w="0" w:type="dxa"/>
              <w:bottom w:w="0" w:type="dxa"/>
            </w:tcMar>
            <w:vAlign w:val="center"/>
          </w:tcPr>
          <w:p w14:paraId="1C02F43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shd w:val="clear" w:color="auto" w:fill="E2EFD9" w:themeFill="accent6" w:themeFillTint="33"/>
            <w:tcMar>
              <w:top w:w="0" w:type="dxa"/>
              <w:bottom w:w="0" w:type="dxa"/>
            </w:tcMar>
            <w:vAlign w:val="center"/>
          </w:tcPr>
          <w:p w14:paraId="385FEE1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r w:rsidR="001D4848" w:rsidRPr="00197728" w14:paraId="7494A2CA" w14:textId="77777777" w:rsidTr="008E34B4">
        <w:tc>
          <w:tcPr>
            <w:tcW w:w="379" w:type="pct"/>
            <w:tcBorders>
              <w:bottom w:val="single" w:sz="4" w:space="0" w:color="auto"/>
            </w:tcBorders>
            <w:shd w:val="clear" w:color="auto" w:fill="auto"/>
            <w:tcMar>
              <w:top w:w="0" w:type="dxa"/>
              <w:bottom w:w="0" w:type="dxa"/>
            </w:tcMar>
          </w:tcPr>
          <w:p w14:paraId="0CE69B65" w14:textId="77777777" w:rsidR="001D4848" w:rsidRPr="00197728" w:rsidRDefault="001D4848" w:rsidP="008E34B4">
            <w:pPr>
              <w:spacing w:before="40" w:after="40" w:line="240" w:lineRule="auto"/>
              <w:jc w:val="left"/>
              <w:rPr>
                <w:rFonts w:cs="Times New Roman"/>
                <w:sz w:val="16"/>
                <w:szCs w:val="16"/>
              </w:rPr>
            </w:pPr>
            <w:r w:rsidRPr="00197728">
              <w:rPr>
                <w:rFonts w:cs="Times New Roman"/>
                <w:sz w:val="16"/>
                <w:szCs w:val="16"/>
              </w:rPr>
              <w:t>10.3</w:t>
            </w:r>
          </w:p>
        </w:tc>
        <w:tc>
          <w:tcPr>
            <w:tcW w:w="1816" w:type="pct"/>
            <w:tcBorders>
              <w:bottom w:val="single" w:sz="4" w:space="0" w:color="auto"/>
            </w:tcBorders>
          </w:tcPr>
          <w:p w14:paraId="05E42EC3" w14:textId="77777777" w:rsidR="001D4848" w:rsidRPr="0048485B" w:rsidRDefault="001D4848" w:rsidP="008E34B4">
            <w:pPr>
              <w:spacing w:before="40" w:after="40" w:line="240" w:lineRule="auto"/>
              <w:jc w:val="left"/>
              <w:rPr>
                <w:rFonts w:cs="Times New Roman"/>
                <w:sz w:val="16"/>
                <w:szCs w:val="16"/>
              </w:rPr>
            </w:pPr>
            <w:r w:rsidRPr="0048485B">
              <w:rPr>
                <w:rFonts w:cs="Times New Roman"/>
                <w:sz w:val="16"/>
                <w:szCs w:val="16"/>
              </w:rPr>
              <w:t>Clear and understandable statement about study implications</w:t>
            </w:r>
          </w:p>
        </w:tc>
        <w:tc>
          <w:tcPr>
            <w:tcW w:w="400" w:type="pct"/>
            <w:tcBorders>
              <w:bottom w:val="single" w:sz="4" w:space="0" w:color="auto"/>
            </w:tcBorders>
            <w:shd w:val="clear" w:color="auto" w:fill="E2EFD9" w:themeFill="accent6" w:themeFillTint="33"/>
            <w:tcMar>
              <w:top w:w="0" w:type="dxa"/>
              <w:bottom w:w="0" w:type="dxa"/>
            </w:tcMar>
            <w:vAlign w:val="center"/>
          </w:tcPr>
          <w:p w14:paraId="1DE2A3BE"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1AB06CA5"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7D44A764"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4DD6A309"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3E3965EA"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1" w:type="pct"/>
            <w:tcBorders>
              <w:bottom w:val="single" w:sz="4" w:space="0" w:color="auto"/>
            </w:tcBorders>
            <w:shd w:val="clear" w:color="auto" w:fill="E2EFD9" w:themeFill="accent6" w:themeFillTint="33"/>
            <w:tcMar>
              <w:top w:w="0" w:type="dxa"/>
              <w:bottom w:w="0" w:type="dxa"/>
            </w:tcMar>
            <w:vAlign w:val="center"/>
          </w:tcPr>
          <w:p w14:paraId="3B078D16"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c>
          <w:tcPr>
            <w:tcW w:w="400" w:type="pct"/>
            <w:tcBorders>
              <w:bottom w:val="single" w:sz="4" w:space="0" w:color="auto"/>
            </w:tcBorders>
            <w:shd w:val="clear" w:color="auto" w:fill="E2EFD9" w:themeFill="accent6" w:themeFillTint="33"/>
            <w:tcMar>
              <w:top w:w="0" w:type="dxa"/>
              <w:bottom w:w="0" w:type="dxa"/>
            </w:tcMar>
            <w:vAlign w:val="center"/>
          </w:tcPr>
          <w:p w14:paraId="2BBC5EFC" w14:textId="77777777" w:rsidR="001D4848" w:rsidRPr="00197728" w:rsidRDefault="001D4848" w:rsidP="008E34B4">
            <w:pPr>
              <w:spacing w:before="40" w:after="40" w:line="240" w:lineRule="auto"/>
              <w:jc w:val="center"/>
              <w:rPr>
                <w:rFonts w:cs="Times New Roman"/>
                <w:sz w:val="16"/>
                <w:szCs w:val="16"/>
              </w:rPr>
            </w:pPr>
            <w:r w:rsidRPr="00197728">
              <w:rPr>
                <w:rFonts w:cs="Times New Roman"/>
                <w:sz w:val="16"/>
                <w:szCs w:val="16"/>
              </w:rPr>
              <w:t>+</w:t>
            </w:r>
          </w:p>
        </w:tc>
      </w:tr>
    </w:tbl>
    <w:p w14:paraId="053616E6" w14:textId="5ACB81A1" w:rsidR="001D4848" w:rsidRPr="00197728" w:rsidRDefault="001D4848" w:rsidP="001D4848">
      <w:pPr>
        <w:rPr>
          <w:i/>
          <w:iCs/>
          <w:sz w:val="16"/>
          <w:szCs w:val="16"/>
        </w:rPr>
      </w:pPr>
      <w:r w:rsidRPr="00197728">
        <w:rPr>
          <w:i/>
          <w:iCs/>
          <w:sz w:val="16"/>
          <w:szCs w:val="16"/>
          <w:u w:val="single"/>
        </w:rPr>
        <w:t>Legend</w:t>
      </w:r>
      <w:r w:rsidRPr="00197728">
        <w:rPr>
          <w:i/>
          <w:iCs/>
          <w:sz w:val="16"/>
          <w:szCs w:val="16"/>
        </w:rPr>
        <w:t xml:space="preserve">: </w:t>
      </w:r>
      <w:r>
        <w:rPr>
          <w:i/>
          <w:iCs/>
          <w:sz w:val="16"/>
          <w:szCs w:val="16"/>
        </w:rPr>
        <w:t>Q</w:t>
      </w:r>
      <w:r w:rsidRPr="00197728">
        <w:rPr>
          <w:i/>
          <w:iCs/>
          <w:sz w:val="16"/>
          <w:szCs w:val="16"/>
        </w:rPr>
        <w:t>uality assessment was performed based on the International Society of Preference and Outcome Research (ISPOR) checklist (Bridges et al, 2011</w:t>
      </w:r>
      <w:r>
        <w:rPr>
          <w:i/>
          <w:iCs/>
          <w:sz w:val="16"/>
          <w:szCs w:val="16"/>
        </w:rPr>
        <w:fldChar w:fldCharType="begin"/>
      </w:r>
      <w:r>
        <w:rPr>
          <w:i/>
          <w:iCs/>
          <w:sz w:val="16"/>
          <w:szCs w:val="16"/>
        </w:rPr>
        <w:instrText xml:space="preserve"> ADDIN ZOTERO_ITEM CSL_CITATION {"citationID":"a1o3d5jr5n5","properties":{"formattedCitation":"\\super 8\\nosupersub{}","plainCitation":"8","noteIndex":0},"citationItems":[{"id":4621,"uris":["http://zotero.org/users/5046577/items/XXB4A3UH"],"itemData":{"id":4621,"type":"article-journal","abstract":"Background\nThe application of conjoint analysis (including discrete-choice experiments and other multiattribute stated-preference methods) in health has increased rapidly over the past decade. A wider acceptance of these methods is limited by an absence of consensus-based methodological standards.\nObjective\nThe International Society for Pharmacoeconomics and Outcomes Research (ISPOR) Good Research Practices for Conjoint Analysis Task Force was established to identify good research practices for conjoint-analysis applications in health.\nMethods\nThe task force met regularly to identify the important steps in a conjoint analysis, to discuss good research practices for conjoint analysis, and to develop and refine the key criteria for identifying good research practices. ISPOR members contributed to this process through an extensive consultation process. A final consensus meeting was held to revise the article using these comments, and those of a number of international reviewers.\nResults\nTask force findings are presented as a 10-item checklist covering: 1) research question; 2) attributes and levels; 3) construction of tasks; 4) experimental design; 5) preference elicitation; 6) instrument design; 7) data-collection plan; 8) statistical analyses; 9) results and conclusions; and 10) study presentation. A primary question relating to each of the 10 items is posed, and three sub-questions examine finer issues within items.\nConclusions\nAlthough the checklist should not be interpreted as endorsing any specific methodological approach to conjoint analysis, it can facilitate future training activities and discussions of good research practices for the application of conjoint-analysis methods in health care studies.","container-title":"Value in Health","DOI":"10.1016/j.jval.2010.11.013","ISSN":"1098-3015","issue":"4","journalAbbreviation":"Value in Health","page":"403-413","source":"ScienceDirect","title":"Conjoint Analysis Applications in Health—a Checklist: A Report of the ISPOR Good Research Practices for Conjoint Analysis Task Force","title-short":"Conjoint Analysis Applications in Health—a Checklist","volume":"14","author":[{"family":"Bridges","given":"John F. P."},{"family":"Hauber","given":"A. Brett"},{"family":"Marshall","given":"Deborah"},{"family":"Lloyd","given":"Andrew"},{"family":"Prosser","given":"Lisa A."},{"family":"Regier","given":"Dean A."},{"family":"Johnson","given":"F. Reed"},{"family":"Mauskopf","given":"Josephine"}],"issued":{"date-parts":[["2011",6,1]]}}}],"schema":"https://github.com/citation-style-language/schema/raw/master/csl-citation.json"} </w:instrText>
      </w:r>
      <w:r>
        <w:rPr>
          <w:i/>
          <w:iCs/>
          <w:sz w:val="16"/>
          <w:szCs w:val="16"/>
        </w:rPr>
        <w:fldChar w:fldCharType="separate"/>
      </w:r>
      <w:r w:rsidRPr="001D4848">
        <w:rPr>
          <w:rFonts w:cs="Arial"/>
          <w:sz w:val="16"/>
          <w:vertAlign w:val="superscript"/>
        </w:rPr>
        <w:t>8</w:t>
      </w:r>
      <w:r>
        <w:rPr>
          <w:i/>
          <w:iCs/>
          <w:sz w:val="16"/>
          <w:szCs w:val="16"/>
        </w:rPr>
        <w:fldChar w:fldCharType="end"/>
      </w:r>
      <w:r w:rsidRPr="00197728">
        <w:rPr>
          <w:i/>
          <w:iCs/>
          <w:sz w:val="16"/>
          <w:szCs w:val="16"/>
        </w:rPr>
        <w:t>).</w:t>
      </w:r>
      <w:r>
        <w:rPr>
          <w:i/>
          <w:iCs/>
          <w:sz w:val="16"/>
          <w:szCs w:val="16"/>
        </w:rPr>
        <w:t xml:space="preserve"> Items that were considered to be fulfilled by the different studies are marked with a plus symbol (+; green shading), while items that were considered not fulfilled are marked with a minus symbol (-; red shading).</w:t>
      </w:r>
      <w:r w:rsidRPr="00197728">
        <w:rPr>
          <w:i/>
          <w:iCs/>
          <w:sz w:val="16"/>
          <w:szCs w:val="16"/>
        </w:rPr>
        <w:t xml:space="preserve"> Items that were insufficiently reported by studies but were judged as potentially fulfilled by the authors were categorized as not reported (NR</w:t>
      </w:r>
      <w:r>
        <w:rPr>
          <w:i/>
          <w:iCs/>
          <w:sz w:val="16"/>
          <w:szCs w:val="16"/>
        </w:rPr>
        <w:t>; yellow shading</w:t>
      </w:r>
      <w:r w:rsidRPr="00197728">
        <w:rPr>
          <w:i/>
          <w:iCs/>
          <w:sz w:val="16"/>
          <w:szCs w:val="16"/>
        </w:rPr>
        <w:t>); due the study design employed by Hall et al (time trade-off), three items specific to conjoint analysis (items 3.1-3.3 related to task construction) were not evaluated (NA</w:t>
      </w:r>
      <w:r>
        <w:rPr>
          <w:i/>
          <w:iCs/>
          <w:sz w:val="16"/>
          <w:szCs w:val="16"/>
        </w:rPr>
        <w:t>; grey shading</w:t>
      </w:r>
      <w:r w:rsidRPr="00197728">
        <w:rPr>
          <w:i/>
          <w:iCs/>
          <w:sz w:val="16"/>
          <w:szCs w:val="16"/>
        </w:rPr>
        <w:t>).</w:t>
      </w:r>
    </w:p>
    <w:p w14:paraId="07191E3F" w14:textId="77777777" w:rsidR="001D4848" w:rsidRDefault="001D4848" w:rsidP="001D4848">
      <w:pPr>
        <w:rPr>
          <w:szCs w:val="20"/>
        </w:rPr>
      </w:pPr>
    </w:p>
    <w:p w14:paraId="3FE8455F" w14:textId="77777777" w:rsidR="001D4848" w:rsidRDefault="001D4848">
      <w:pPr>
        <w:spacing w:line="240" w:lineRule="auto"/>
        <w:jc w:val="left"/>
        <w:rPr>
          <w:b/>
          <w:bCs/>
          <w:szCs w:val="20"/>
        </w:rPr>
      </w:pPr>
      <w:r>
        <w:rPr>
          <w:b/>
          <w:bCs/>
          <w:szCs w:val="20"/>
        </w:rPr>
        <w:br w:type="page"/>
      </w:r>
    </w:p>
    <w:p w14:paraId="69A9FC33" w14:textId="46BF9C9E" w:rsidR="001D4848" w:rsidRDefault="001D4848" w:rsidP="001D4848">
      <w:pPr>
        <w:rPr>
          <w:b/>
          <w:bCs/>
          <w:szCs w:val="20"/>
        </w:rPr>
      </w:pPr>
      <w:r w:rsidRPr="004F5045">
        <w:rPr>
          <w:b/>
          <w:bCs/>
          <w:szCs w:val="20"/>
        </w:rPr>
        <w:lastRenderedPageBreak/>
        <w:t>References</w:t>
      </w:r>
    </w:p>
    <w:p w14:paraId="41AE27ED" w14:textId="77777777" w:rsidR="001D4848" w:rsidRPr="001D4848" w:rsidRDefault="001D4848" w:rsidP="001D4848">
      <w:pPr>
        <w:pStyle w:val="Bibliography"/>
        <w:rPr>
          <w:rFonts w:cs="Arial"/>
        </w:rPr>
      </w:pPr>
      <w:r w:rsidRPr="007B5024">
        <w:fldChar w:fldCharType="begin"/>
      </w:r>
      <w:r w:rsidRPr="001D4848">
        <w:rPr>
          <w:lang w:val="de-CH"/>
        </w:rPr>
        <w:instrText xml:space="preserve"> ADDIN ZOTERO_BIBL {"uncited":[],"omitted":[],"custom":[]} CSL_BIBLIOGRAPHY </w:instrText>
      </w:r>
      <w:r w:rsidRPr="007B5024">
        <w:fldChar w:fldCharType="separate"/>
      </w:r>
      <w:r w:rsidRPr="001D4848">
        <w:rPr>
          <w:rFonts w:cs="Arial"/>
          <w:lang w:val="de-CH"/>
        </w:rPr>
        <w:t xml:space="preserve">1. </w:t>
      </w:r>
      <w:r w:rsidRPr="001D4848">
        <w:rPr>
          <w:rFonts w:cs="Arial"/>
          <w:lang w:val="de-CH"/>
        </w:rPr>
        <w:tab/>
        <w:t xml:space="preserve">de Freitas HM, Ito T, Hadi M, et al. </w:t>
      </w:r>
      <w:r w:rsidRPr="001D4848">
        <w:rPr>
          <w:rFonts w:cs="Arial"/>
        </w:rPr>
        <w:t xml:space="preserve">Patient Preferences for Metastatic Hormone-Sensitive Prostate Cancer Treatments: A Discrete Choice Experiment Among Men in Three European Countries. </w:t>
      </w:r>
      <w:r w:rsidRPr="001D4848">
        <w:rPr>
          <w:rFonts w:cs="Arial"/>
          <w:i/>
          <w:iCs/>
        </w:rPr>
        <w:t>Adv Ther</w:t>
      </w:r>
      <w:r w:rsidRPr="001D4848">
        <w:rPr>
          <w:rFonts w:cs="Arial"/>
        </w:rPr>
        <w:t>. 2019;36(2):318-332. doi:10.1007/s12325-018-0861-3</w:t>
      </w:r>
    </w:p>
    <w:p w14:paraId="513E95D3" w14:textId="77777777" w:rsidR="001D4848" w:rsidRPr="001D4848" w:rsidRDefault="001D4848" w:rsidP="001D4848">
      <w:pPr>
        <w:pStyle w:val="Bibliography"/>
        <w:rPr>
          <w:rFonts w:cs="Arial"/>
          <w:lang w:val="de-CH"/>
        </w:rPr>
      </w:pPr>
      <w:r w:rsidRPr="001D4848">
        <w:rPr>
          <w:rFonts w:cs="Arial"/>
        </w:rPr>
        <w:t xml:space="preserve">2. </w:t>
      </w:r>
      <w:r w:rsidRPr="001D4848">
        <w:rPr>
          <w:rFonts w:cs="Arial"/>
        </w:rPr>
        <w:tab/>
        <w:t xml:space="preserve">Eliasson L, de Freitas HM, Dearden L, Calimlim B, Lloyd AJ. Patients’ Preferences for the Treatment of Metastatic Castrate-resistant Prostate Cancer: A Discrete Choice Experiment. </w:t>
      </w:r>
      <w:r w:rsidRPr="001D4848">
        <w:rPr>
          <w:rFonts w:cs="Arial"/>
          <w:i/>
          <w:iCs/>
          <w:lang w:val="de-CH"/>
        </w:rPr>
        <w:t>Clin Ther</w:t>
      </w:r>
      <w:r w:rsidRPr="001D4848">
        <w:rPr>
          <w:rFonts w:cs="Arial"/>
          <w:lang w:val="de-CH"/>
        </w:rPr>
        <w:t>. 2017;39(4):723-737. doi:10.1016/j.clinthera.2017.02.009</w:t>
      </w:r>
    </w:p>
    <w:p w14:paraId="69069A9D" w14:textId="77777777" w:rsidR="001D4848" w:rsidRPr="001D4848" w:rsidRDefault="001D4848" w:rsidP="001D4848">
      <w:pPr>
        <w:pStyle w:val="Bibliography"/>
        <w:rPr>
          <w:rFonts w:cs="Arial"/>
        </w:rPr>
      </w:pPr>
      <w:r w:rsidRPr="001D4848">
        <w:rPr>
          <w:rFonts w:cs="Arial"/>
          <w:lang w:val="de-CH"/>
        </w:rPr>
        <w:t xml:space="preserve">3. </w:t>
      </w:r>
      <w:r w:rsidRPr="001D4848">
        <w:rPr>
          <w:rFonts w:cs="Arial"/>
          <w:lang w:val="de-CH"/>
        </w:rPr>
        <w:tab/>
        <w:t xml:space="preserve">Hall F, de Freitas HM, Kerr C, et al. </w:t>
      </w:r>
      <w:r w:rsidRPr="001D4848">
        <w:rPr>
          <w:rFonts w:cs="Arial"/>
        </w:rPr>
        <w:t xml:space="preserve">Estimating utilities/disutilities for high-risk metastatic hormone-sensitive prostate cancer (mHSPC) and treatment-related adverse events. </w:t>
      </w:r>
      <w:r w:rsidRPr="001D4848">
        <w:rPr>
          <w:rFonts w:cs="Arial"/>
          <w:i/>
          <w:iCs/>
        </w:rPr>
        <w:t>Qual Life Res</w:t>
      </w:r>
      <w:r w:rsidRPr="001D4848">
        <w:rPr>
          <w:rFonts w:cs="Arial"/>
        </w:rPr>
        <w:t>. 2019;28(5):1191-1199. doi:10.1007/s11136-019-02117-9</w:t>
      </w:r>
    </w:p>
    <w:p w14:paraId="3D666682" w14:textId="77777777" w:rsidR="001D4848" w:rsidRPr="001D4848" w:rsidRDefault="001D4848" w:rsidP="001D4848">
      <w:pPr>
        <w:pStyle w:val="Bibliography"/>
        <w:rPr>
          <w:rFonts w:cs="Arial"/>
        </w:rPr>
      </w:pPr>
      <w:r w:rsidRPr="001D4848">
        <w:rPr>
          <w:rFonts w:cs="Arial"/>
        </w:rPr>
        <w:t xml:space="preserve">4. </w:t>
      </w:r>
      <w:r w:rsidRPr="001D4848">
        <w:rPr>
          <w:rFonts w:cs="Arial"/>
        </w:rPr>
        <w:tab/>
        <w:t xml:space="preserve">Lloyd A, Penson D, Dewilde S, Kleinman L. Eliciting patient preferences for hormonal therapy options in the treatment of metastatic prostate cancer. </w:t>
      </w:r>
      <w:r w:rsidRPr="001D4848">
        <w:rPr>
          <w:rFonts w:cs="Arial"/>
          <w:i/>
          <w:iCs/>
        </w:rPr>
        <w:t>Prostate Cancer Prostatic Dis</w:t>
      </w:r>
      <w:r w:rsidRPr="001D4848">
        <w:rPr>
          <w:rFonts w:cs="Arial"/>
        </w:rPr>
        <w:t>. 2008;11(2):153-159. doi:10.1038/sj.pcan.4500992</w:t>
      </w:r>
    </w:p>
    <w:p w14:paraId="1C774B2A" w14:textId="77777777" w:rsidR="001D4848" w:rsidRPr="001D4848" w:rsidRDefault="001D4848" w:rsidP="001D4848">
      <w:pPr>
        <w:pStyle w:val="Bibliography"/>
        <w:rPr>
          <w:rFonts w:cs="Arial"/>
        </w:rPr>
      </w:pPr>
      <w:r w:rsidRPr="001D4848">
        <w:rPr>
          <w:rFonts w:cs="Arial"/>
        </w:rPr>
        <w:t xml:space="preserve">5. </w:t>
      </w:r>
      <w:r w:rsidRPr="001D4848">
        <w:rPr>
          <w:rFonts w:cs="Arial"/>
        </w:rPr>
        <w:tab/>
        <w:t xml:space="preserve">Nakayama M, Kobayashi H, Okazaki M, Imanaka K, Yoshizawa K, Mahlich J. Patient Preferences and Urologist Judgments on Prostate Cancer Therapy in Japan. </w:t>
      </w:r>
      <w:r w:rsidRPr="001D4848">
        <w:rPr>
          <w:rFonts w:cs="Arial"/>
          <w:i/>
          <w:iCs/>
        </w:rPr>
        <w:t>Am J Mens Health</w:t>
      </w:r>
      <w:r w:rsidRPr="001D4848">
        <w:rPr>
          <w:rFonts w:cs="Arial"/>
        </w:rPr>
        <w:t>. 2018;12(4):1094-1101. doi:10.1177/1557988318776123</w:t>
      </w:r>
    </w:p>
    <w:p w14:paraId="278B5E1B" w14:textId="77777777" w:rsidR="001D4848" w:rsidRPr="001D4848" w:rsidRDefault="001D4848" w:rsidP="001D4848">
      <w:pPr>
        <w:pStyle w:val="Bibliography"/>
        <w:rPr>
          <w:rFonts w:cs="Arial"/>
        </w:rPr>
      </w:pPr>
      <w:r w:rsidRPr="001D4848">
        <w:rPr>
          <w:rFonts w:cs="Arial"/>
        </w:rPr>
        <w:t xml:space="preserve">6. </w:t>
      </w:r>
      <w:r w:rsidRPr="001D4848">
        <w:rPr>
          <w:rFonts w:cs="Arial"/>
        </w:rPr>
        <w:tab/>
        <w:t xml:space="preserve">Srinivas S, Mohamed AF, Appukkuttan S, et al. Patient and caregiver benefit‐risk preferences for nonmetastatic castration‐resistant prostate cancer treatment. </w:t>
      </w:r>
      <w:r w:rsidRPr="001D4848">
        <w:rPr>
          <w:rFonts w:cs="Arial"/>
          <w:i/>
          <w:iCs/>
        </w:rPr>
        <w:t>Cancer Med</w:t>
      </w:r>
      <w:r w:rsidRPr="001D4848">
        <w:rPr>
          <w:rFonts w:cs="Arial"/>
        </w:rPr>
        <w:t>. 2020;9(18):6586-6596. doi:10.1002/cam4.3321</w:t>
      </w:r>
    </w:p>
    <w:p w14:paraId="28A5EF1A" w14:textId="77777777" w:rsidR="001D4848" w:rsidRPr="001D4848" w:rsidRDefault="001D4848" w:rsidP="001D4848">
      <w:pPr>
        <w:pStyle w:val="Bibliography"/>
        <w:rPr>
          <w:rFonts w:cs="Arial"/>
        </w:rPr>
      </w:pPr>
      <w:r w:rsidRPr="001D4848">
        <w:rPr>
          <w:rFonts w:cs="Arial"/>
        </w:rPr>
        <w:t xml:space="preserve">7. </w:t>
      </w:r>
      <w:r w:rsidRPr="001D4848">
        <w:rPr>
          <w:rFonts w:cs="Arial"/>
        </w:rPr>
        <w:tab/>
        <w:t xml:space="preserve">Uemura H, Matsubara N, Kimura G, et al. Patient preferences for treatment of castration-resistant prostate cancer in Japan: a discrete-choice experiment. </w:t>
      </w:r>
      <w:r w:rsidRPr="001D4848">
        <w:rPr>
          <w:rFonts w:cs="Arial"/>
          <w:i/>
          <w:iCs/>
        </w:rPr>
        <w:t>BMC Urol</w:t>
      </w:r>
      <w:r w:rsidRPr="001D4848">
        <w:rPr>
          <w:rFonts w:cs="Arial"/>
        </w:rPr>
        <w:t>. 2016;16(1):63. doi:10.1186/s12894-016-0182-2</w:t>
      </w:r>
    </w:p>
    <w:p w14:paraId="00D28241" w14:textId="77777777" w:rsidR="001D4848" w:rsidRPr="001D4848" w:rsidRDefault="001D4848" w:rsidP="001D4848">
      <w:pPr>
        <w:pStyle w:val="Bibliography"/>
        <w:rPr>
          <w:rFonts w:cs="Arial"/>
        </w:rPr>
      </w:pPr>
      <w:r w:rsidRPr="001D4848">
        <w:rPr>
          <w:rFonts w:cs="Arial"/>
        </w:rPr>
        <w:t xml:space="preserve">8. </w:t>
      </w:r>
      <w:r w:rsidRPr="001D4848">
        <w:rPr>
          <w:rFonts w:cs="Arial"/>
        </w:rPr>
        <w:tab/>
        <w:t xml:space="preserve">Bridges JFP, Hauber AB, Marshall D, et al. Conjoint Analysis Applications in Health—a Checklist: A Report of the ISPOR Good Research Practices for Conjoint Analysis Task Force. </w:t>
      </w:r>
      <w:r w:rsidRPr="001D4848">
        <w:rPr>
          <w:rFonts w:cs="Arial"/>
          <w:i/>
          <w:iCs/>
        </w:rPr>
        <w:t>Value Health</w:t>
      </w:r>
      <w:r w:rsidRPr="001D4848">
        <w:rPr>
          <w:rFonts w:cs="Arial"/>
        </w:rPr>
        <w:t>. 2011;14(4):403-413. doi:10.1016/j.jval.2010.11.013</w:t>
      </w:r>
    </w:p>
    <w:p w14:paraId="22939A7B" w14:textId="22F1E281" w:rsidR="007E273A" w:rsidRPr="00953C77" w:rsidRDefault="001D4848" w:rsidP="001D4848">
      <w:r w:rsidRPr="007B5024">
        <w:fldChar w:fldCharType="end"/>
      </w:r>
    </w:p>
    <w:sectPr w:rsidR="007E273A" w:rsidRPr="00953C77" w:rsidSect="0019772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E4A1" w14:textId="77777777" w:rsidR="0094507B" w:rsidRDefault="0094507B" w:rsidP="006B544C">
      <w:pPr>
        <w:spacing w:line="240" w:lineRule="auto"/>
      </w:pPr>
      <w:r>
        <w:separator/>
      </w:r>
    </w:p>
  </w:endnote>
  <w:endnote w:type="continuationSeparator" w:id="0">
    <w:p w14:paraId="397F628A" w14:textId="77777777" w:rsidR="0094507B" w:rsidRDefault="0094507B" w:rsidP="006B5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2160615"/>
      <w:docPartObj>
        <w:docPartGallery w:val="Page Numbers (Bottom of Page)"/>
        <w:docPartUnique/>
      </w:docPartObj>
    </w:sdtPr>
    <w:sdtEndPr>
      <w:rPr>
        <w:rStyle w:val="PageNumber"/>
      </w:rPr>
    </w:sdtEndPr>
    <w:sdtContent>
      <w:p w14:paraId="6915539B" w14:textId="77777777" w:rsidR="00DC7FE8" w:rsidRDefault="00DC7FE8" w:rsidP="00FD28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355FC9" w14:textId="77777777" w:rsidR="00DC7FE8" w:rsidRDefault="00DC7FE8" w:rsidP="006B54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5051" w14:textId="6441DB4F" w:rsidR="00DC7FE8" w:rsidRPr="00953C77" w:rsidRDefault="00953C77" w:rsidP="00953C77">
    <w:pPr>
      <w:pStyle w:val="Footer"/>
      <w:jc w:val="center"/>
    </w:pPr>
    <w:r>
      <w:fldChar w:fldCharType="begin"/>
    </w:r>
    <w:r>
      <w:instrText xml:space="preserve"> PAGE  \* MERGEFORMAT </w:instrText>
    </w:r>
    <w:r>
      <w:fldChar w:fldCharType="separate"/>
    </w:r>
    <w: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8E9D" w14:textId="77777777" w:rsidR="0094507B" w:rsidRDefault="0094507B" w:rsidP="006B544C">
      <w:pPr>
        <w:spacing w:line="240" w:lineRule="auto"/>
      </w:pPr>
      <w:r>
        <w:separator/>
      </w:r>
    </w:p>
  </w:footnote>
  <w:footnote w:type="continuationSeparator" w:id="0">
    <w:p w14:paraId="31757137" w14:textId="77777777" w:rsidR="0094507B" w:rsidRDefault="0094507B" w:rsidP="006B54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C3058"/>
    <w:multiLevelType w:val="hybridMultilevel"/>
    <w:tmpl w:val="DAC6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B5C80"/>
    <w:multiLevelType w:val="hybridMultilevel"/>
    <w:tmpl w:val="D79888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46DA9"/>
    <w:multiLevelType w:val="hybridMultilevel"/>
    <w:tmpl w:val="FCC843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70F8B"/>
    <w:multiLevelType w:val="hybridMultilevel"/>
    <w:tmpl w:val="113ED4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60084"/>
    <w:multiLevelType w:val="hybridMultilevel"/>
    <w:tmpl w:val="04800F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0028D"/>
    <w:multiLevelType w:val="hybridMultilevel"/>
    <w:tmpl w:val="6A56E9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762FF"/>
    <w:multiLevelType w:val="hybridMultilevel"/>
    <w:tmpl w:val="F94A16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D6840"/>
    <w:multiLevelType w:val="hybridMultilevel"/>
    <w:tmpl w:val="134465E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490931">
    <w:abstractNumId w:val="5"/>
  </w:num>
  <w:num w:numId="2" w16cid:durableId="1667514800">
    <w:abstractNumId w:val="6"/>
  </w:num>
  <w:num w:numId="3" w16cid:durableId="1462916316">
    <w:abstractNumId w:val="1"/>
  </w:num>
  <w:num w:numId="4" w16cid:durableId="1226718427">
    <w:abstractNumId w:val="0"/>
  </w:num>
  <w:num w:numId="5" w16cid:durableId="1153595959">
    <w:abstractNumId w:val="3"/>
  </w:num>
  <w:num w:numId="6" w16cid:durableId="5332176">
    <w:abstractNumId w:val="4"/>
  </w:num>
  <w:num w:numId="7" w16cid:durableId="713232443">
    <w:abstractNumId w:val="7"/>
  </w:num>
  <w:num w:numId="8" w16cid:durableId="1060329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C9"/>
    <w:rsid w:val="00005B3E"/>
    <w:rsid w:val="00007915"/>
    <w:rsid w:val="000124ED"/>
    <w:rsid w:val="00023CB7"/>
    <w:rsid w:val="00025868"/>
    <w:rsid w:val="00034E48"/>
    <w:rsid w:val="00045895"/>
    <w:rsid w:val="000516CD"/>
    <w:rsid w:val="0006351D"/>
    <w:rsid w:val="00065429"/>
    <w:rsid w:val="000713C3"/>
    <w:rsid w:val="00082BCA"/>
    <w:rsid w:val="00097F66"/>
    <w:rsid w:val="000A2947"/>
    <w:rsid w:val="000A4CFA"/>
    <w:rsid w:val="000A6A7D"/>
    <w:rsid w:val="000D0AF2"/>
    <w:rsid w:val="000D22D3"/>
    <w:rsid w:val="000D4739"/>
    <w:rsid w:val="000E477B"/>
    <w:rsid w:val="000E6992"/>
    <w:rsid w:val="000F0BFF"/>
    <w:rsid w:val="000F7C5A"/>
    <w:rsid w:val="00100D9E"/>
    <w:rsid w:val="001140F3"/>
    <w:rsid w:val="00120435"/>
    <w:rsid w:val="0012296C"/>
    <w:rsid w:val="00122EAE"/>
    <w:rsid w:val="00140D09"/>
    <w:rsid w:val="00147017"/>
    <w:rsid w:val="0015507D"/>
    <w:rsid w:val="00160F3F"/>
    <w:rsid w:val="00170D72"/>
    <w:rsid w:val="00172211"/>
    <w:rsid w:val="00172410"/>
    <w:rsid w:val="0017381B"/>
    <w:rsid w:val="00182ABB"/>
    <w:rsid w:val="00190B8D"/>
    <w:rsid w:val="00194866"/>
    <w:rsid w:val="00195FF5"/>
    <w:rsid w:val="00197728"/>
    <w:rsid w:val="001A064F"/>
    <w:rsid w:val="001A48D3"/>
    <w:rsid w:val="001B6EB7"/>
    <w:rsid w:val="001C3B69"/>
    <w:rsid w:val="001C5560"/>
    <w:rsid w:val="001C6580"/>
    <w:rsid w:val="001D1508"/>
    <w:rsid w:val="001D21F6"/>
    <w:rsid w:val="001D3A64"/>
    <w:rsid w:val="001D3C22"/>
    <w:rsid w:val="001D4848"/>
    <w:rsid w:val="001D57A5"/>
    <w:rsid w:val="001E6BC9"/>
    <w:rsid w:val="001F0A0C"/>
    <w:rsid w:val="00202E41"/>
    <w:rsid w:val="00205A5A"/>
    <w:rsid w:val="00210EFC"/>
    <w:rsid w:val="00226F0C"/>
    <w:rsid w:val="0022727F"/>
    <w:rsid w:val="00232E40"/>
    <w:rsid w:val="00233C0B"/>
    <w:rsid w:val="002374F2"/>
    <w:rsid w:val="0024210E"/>
    <w:rsid w:val="00243CF5"/>
    <w:rsid w:val="00245B30"/>
    <w:rsid w:val="00255873"/>
    <w:rsid w:val="002622C8"/>
    <w:rsid w:val="00263D8F"/>
    <w:rsid w:val="00281874"/>
    <w:rsid w:val="002827ED"/>
    <w:rsid w:val="00285263"/>
    <w:rsid w:val="00286DF8"/>
    <w:rsid w:val="00293012"/>
    <w:rsid w:val="0029333D"/>
    <w:rsid w:val="002A0760"/>
    <w:rsid w:val="002B0DFA"/>
    <w:rsid w:val="002B4A30"/>
    <w:rsid w:val="002B63BB"/>
    <w:rsid w:val="002C0778"/>
    <w:rsid w:val="002C3EE4"/>
    <w:rsid w:val="002D60EA"/>
    <w:rsid w:val="002E06C5"/>
    <w:rsid w:val="002E30A2"/>
    <w:rsid w:val="002E5335"/>
    <w:rsid w:val="002E6816"/>
    <w:rsid w:val="002F1072"/>
    <w:rsid w:val="002F1117"/>
    <w:rsid w:val="00302CD9"/>
    <w:rsid w:val="00313518"/>
    <w:rsid w:val="0032102E"/>
    <w:rsid w:val="00322DAB"/>
    <w:rsid w:val="003232F4"/>
    <w:rsid w:val="00323F05"/>
    <w:rsid w:val="003257A4"/>
    <w:rsid w:val="00326057"/>
    <w:rsid w:val="00327C57"/>
    <w:rsid w:val="0033222F"/>
    <w:rsid w:val="00352738"/>
    <w:rsid w:val="00356C6C"/>
    <w:rsid w:val="00365139"/>
    <w:rsid w:val="003804AE"/>
    <w:rsid w:val="00386B3F"/>
    <w:rsid w:val="00391707"/>
    <w:rsid w:val="003929AE"/>
    <w:rsid w:val="00393EEA"/>
    <w:rsid w:val="003A2413"/>
    <w:rsid w:val="003A35A0"/>
    <w:rsid w:val="003A4DF0"/>
    <w:rsid w:val="003B0BC3"/>
    <w:rsid w:val="003B7C4A"/>
    <w:rsid w:val="003C19C6"/>
    <w:rsid w:val="003D18F1"/>
    <w:rsid w:val="003E0EC7"/>
    <w:rsid w:val="003E6F68"/>
    <w:rsid w:val="003F1FDB"/>
    <w:rsid w:val="003F3E13"/>
    <w:rsid w:val="0040227A"/>
    <w:rsid w:val="00402293"/>
    <w:rsid w:val="004044A4"/>
    <w:rsid w:val="004069D5"/>
    <w:rsid w:val="00435DC8"/>
    <w:rsid w:val="004374F2"/>
    <w:rsid w:val="0044181C"/>
    <w:rsid w:val="00446FFF"/>
    <w:rsid w:val="004472D5"/>
    <w:rsid w:val="004519FD"/>
    <w:rsid w:val="00460F99"/>
    <w:rsid w:val="004610EE"/>
    <w:rsid w:val="0046227E"/>
    <w:rsid w:val="00473C28"/>
    <w:rsid w:val="00484839"/>
    <w:rsid w:val="0048485B"/>
    <w:rsid w:val="004903D2"/>
    <w:rsid w:val="00492281"/>
    <w:rsid w:val="004A27B7"/>
    <w:rsid w:val="004A7E6F"/>
    <w:rsid w:val="004B1391"/>
    <w:rsid w:val="004B721E"/>
    <w:rsid w:val="004C56EA"/>
    <w:rsid w:val="004C77F6"/>
    <w:rsid w:val="004D4754"/>
    <w:rsid w:val="004D6ED8"/>
    <w:rsid w:val="004E041B"/>
    <w:rsid w:val="004F4129"/>
    <w:rsid w:val="004F5045"/>
    <w:rsid w:val="004F6ECD"/>
    <w:rsid w:val="004F7F83"/>
    <w:rsid w:val="00511815"/>
    <w:rsid w:val="00513E5B"/>
    <w:rsid w:val="00526797"/>
    <w:rsid w:val="00526FD8"/>
    <w:rsid w:val="0053434B"/>
    <w:rsid w:val="005378F5"/>
    <w:rsid w:val="005427C0"/>
    <w:rsid w:val="00544F3F"/>
    <w:rsid w:val="00547FF3"/>
    <w:rsid w:val="00550CA3"/>
    <w:rsid w:val="00551A39"/>
    <w:rsid w:val="00554151"/>
    <w:rsid w:val="00576EF4"/>
    <w:rsid w:val="005778DA"/>
    <w:rsid w:val="005822E1"/>
    <w:rsid w:val="005D6B6C"/>
    <w:rsid w:val="005E33CC"/>
    <w:rsid w:val="005E3EE3"/>
    <w:rsid w:val="005F29F5"/>
    <w:rsid w:val="005F4451"/>
    <w:rsid w:val="005F6171"/>
    <w:rsid w:val="005F6B8D"/>
    <w:rsid w:val="00603ED7"/>
    <w:rsid w:val="006053AA"/>
    <w:rsid w:val="0060760C"/>
    <w:rsid w:val="00616AF0"/>
    <w:rsid w:val="006177A6"/>
    <w:rsid w:val="00617C9D"/>
    <w:rsid w:val="00624910"/>
    <w:rsid w:val="0062521E"/>
    <w:rsid w:val="006332E4"/>
    <w:rsid w:val="0063335C"/>
    <w:rsid w:val="006334F9"/>
    <w:rsid w:val="00637AA2"/>
    <w:rsid w:val="00646CDF"/>
    <w:rsid w:val="00647718"/>
    <w:rsid w:val="00661918"/>
    <w:rsid w:val="006831C7"/>
    <w:rsid w:val="006932E2"/>
    <w:rsid w:val="006A0294"/>
    <w:rsid w:val="006B4377"/>
    <w:rsid w:val="006B544C"/>
    <w:rsid w:val="006C257D"/>
    <w:rsid w:val="006C7DE8"/>
    <w:rsid w:val="006D01F3"/>
    <w:rsid w:val="006D310F"/>
    <w:rsid w:val="006D655E"/>
    <w:rsid w:val="006D7F57"/>
    <w:rsid w:val="006E0EB3"/>
    <w:rsid w:val="006E38DE"/>
    <w:rsid w:val="006F21AF"/>
    <w:rsid w:val="0071213C"/>
    <w:rsid w:val="0071687A"/>
    <w:rsid w:val="00722890"/>
    <w:rsid w:val="0072473D"/>
    <w:rsid w:val="00731F70"/>
    <w:rsid w:val="00742175"/>
    <w:rsid w:val="00747DED"/>
    <w:rsid w:val="007565AC"/>
    <w:rsid w:val="007618DE"/>
    <w:rsid w:val="007678EF"/>
    <w:rsid w:val="007741CD"/>
    <w:rsid w:val="007839C2"/>
    <w:rsid w:val="007960DF"/>
    <w:rsid w:val="00796A3D"/>
    <w:rsid w:val="00796ECC"/>
    <w:rsid w:val="00797448"/>
    <w:rsid w:val="007A2021"/>
    <w:rsid w:val="007B45D4"/>
    <w:rsid w:val="007B4EC4"/>
    <w:rsid w:val="007B5024"/>
    <w:rsid w:val="007C209C"/>
    <w:rsid w:val="007D47FB"/>
    <w:rsid w:val="007E273A"/>
    <w:rsid w:val="007E32C4"/>
    <w:rsid w:val="007F4CE7"/>
    <w:rsid w:val="0080765F"/>
    <w:rsid w:val="00824DA6"/>
    <w:rsid w:val="00825F3C"/>
    <w:rsid w:val="00836C24"/>
    <w:rsid w:val="00853D1A"/>
    <w:rsid w:val="00860C48"/>
    <w:rsid w:val="00861935"/>
    <w:rsid w:val="00862FD4"/>
    <w:rsid w:val="00864027"/>
    <w:rsid w:val="00867BAA"/>
    <w:rsid w:val="00870334"/>
    <w:rsid w:val="0087037B"/>
    <w:rsid w:val="00871EF8"/>
    <w:rsid w:val="00894C67"/>
    <w:rsid w:val="00895A3C"/>
    <w:rsid w:val="00896DCC"/>
    <w:rsid w:val="00897AAA"/>
    <w:rsid w:val="008A43AA"/>
    <w:rsid w:val="008A52FF"/>
    <w:rsid w:val="008B67B6"/>
    <w:rsid w:val="008C58FF"/>
    <w:rsid w:val="008C64B0"/>
    <w:rsid w:val="008C7529"/>
    <w:rsid w:val="008C7802"/>
    <w:rsid w:val="008D02B0"/>
    <w:rsid w:val="008E4E77"/>
    <w:rsid w:val="008E54A5"/>
    <w:rsid w:val="008F3E1C"/>
    <w:rsid w:val="008F571D"/>
    <w:rsid w:val="008F7366"/>
    <w:rsid w:val="009118D6"/>
    <w:rsid w:val="00916457"/>
    <w:rsid w:val="009231B1"/>
    <w:rsid w:val="00926973"/>
    <w:rsid w:val="00943188"/>
    <w:rsid w:val="0094507B"/>
    <w:rsid w:val="00947636"/>
    <w:rsid w:val="009476B0"/>
    <w:rsid w:val="00953C77"/>
    <w:rsid w:val="00960C8B"/>
    <w:rsid w:val="009706AA"/>
    <w:rsid w:val="00971CEF"/>
    <w:rsid w:val="00976407"/>
    <w:rsid w:val="00984177"/>
    <w:rsid w:val="00997BD1"/>
    <w:rsid w:val="00997EF9"/>
    <w:rsid w:val="009C0C26"/>
    <w:rsid w:val="009C514C"/>
    <w:rsid w:val="009C632D"/>
    <w:rsid w:val="009C7FE6"/>
    <w:rsid w:val="009E1450"/>
    <w:rsid w:val="009E3CB9"/>
    <w:rsid w:val="009E4FFC"/>
    <w:rsid w:val="009E5481"/>
    <w:rsid w:val="009E7809"/>
    <w:rsid w:val="009F51B0"/>
    <w:rsid w:val="00A00463"/>
    <w:rsid w:val="00A03DE8"/>
    <w:rsid w:val="00A05DAC"/>
    <w:rsid w:val="00A1136C"/>
    <w:rsid w:val="00A117A1"/>
    <w:rsid w:val="00A1191E"/>
    <w:rsid w:val="00A11E1B"/>
    <w:rsid w:val="00A16EB5"/>
    <w:rsid w:val="00A20656"/>
    <w:rsid w:val="00A23E40"/>
    <w:rsid w:val="00A30C8D"/>
    <w:rsid w:val="00A33799"/>
    <w:rsid w:val="00A37F91"/>
    <w:rsid w:val="00A40567"/>
    <w:rsid w:val="00A42224"/>
    <w:rsid w:val="00A4455C"/>
    <w:rsid w:val="00A5659B"/>
    <w:rsid w:val="00A67D78"/>
    <w:rsid w:val="00A70330"/>
    <w:rsid w:val="00A7060C"/>
    <w:rsid w:val="00A714CC"/>
    <w:rsid w:val="00A73C69"/>
    <w:rsid w:val="00A91026"/>
    <w:rsid w:val="00A940B4"/>
    <w:rsid w:val="00A95FB2"/>
    <w:rsid w:val="00AA0055"/>
    <w:rsid w:val="00AB09DB"/>
    <w:rsid w:val="00AB1BCC"/>
    <w:rsid w:val="00AC0B58"/>
    <w:rsid w:val="00AC27C8"/>
    <w:rsid w:val="00AD03B0"/>
    <w:rsid w:val="00AD49F2"/>
    <w:rsid w:val="00AD72D8"/>
    <w:rsid w:val="00AE1193"/>
    <w:rsid w:val="00AE3D6D"/>
    <w:rsid w:val="00AF262F"/>
    <w:rsid w:val="00AF3932"/>
    <w:rsid w:val="00AF4231"/>
    <w:rsid w:val="00AF7D92"/>
    <w:rsid w:val="00B00A67"/>
    <w:rsid w:val="00B05509"/>
    <w:rsid w:val="00B07CC3"/>
    <w:rsid w:val="00B13531"/>
    <w:rsid w:val="00B17367"/>
    <w:rsid w:val="00B23879"/>
    <w:rsid w:val="00B25F8B"/>
    <w:rsid w:val="00B35A05"/>
    <w:rsid w:val="00B377A5"/>
    <w:rsid w:val="00B41F3D"/>
    <w:rsid w:val="00B5258C"/>
    <w:rsid w:val="00B75718"/>
    <w:rsid w:val="00B7671A"/>
    <w:rsid w:val="00B77871"/>
    <w:rsid w:val="00B8010F"/>
    <w:rsid w:val="00B87279"/>
    <w:rsid w:val="00B93145"/>
    <w:rsid w:val="00B95911"/>
    <w:rsid w:val="00B96354"/>
    <w:rsid w:val="00B97EC2"/>
    <w:rsid w:val="00BA5966"/>
    <w:rsid w:val="00BC2F63"/>
    <w:rsid w:val="00BE265D"/>
    <w:rsid w:val="00BE5690"/>
    <w:rsid w:val="00BF40B7"/>
    <w:rsid w:val="00BF7900"/>
    <w:rsid w:val="00C31966"/>
    <w:rsid w:val="00C42ED0"/>
    <w:rsid w:val="00C458EB"/>
    <w:rsid w:val="00C536F6"/>
    <w:rsid w:val="00C54338"/>
    <w:rsid w:val="00C601F2"/>
    <w:rsid w:val="00C67C81"/>
    <w:rsid w:val="00C756B1"/>
    <w:rsid w:val="00C765D3"/>
    <w:rsid w:val="00C77B6C"/>
    <w:rsid w:val="00C83187"/>
    <w:rsid w:val="00C8393F"/>
    <w:rsid w:val="00C864B8"/>
    <w:rsid w:val="00CA0236"/>
    <w:rsid w:val="00CA051D"/>
    <w:rsid w:val="00CA5D4B"/>
    <w:rsid w:val="00CB0606"/>
    <w:rsid w:val="00CC150E"/>
    <w:rsid w:val="00CC391F"/>
    <w:rsid w:val="00CE2414"/>
    <w:rsid w:val="00CE50AD"/>
    <w:rsid w:val="00CF1D04"/>
    <w:rsid w:val="00CF208D"/>
    <w:rsid w:val="00CF2159"/>
    <w:rsid w:val="00CF25F4"/>
    <w:rsid w:val="00CF4176"/>
    <w:rsid w:val="00CF7F69"/>
    <w:rsid w:val="00D21F25"/>
    <w:rsid w:val="00D34818"/>
    <w:rsid w:val="00D405A6"/>
    <w:rsid w:val="00D4326D"/>
    <w:rsid w:val="00D43A63"/>
    <w:rsid w:val="00D56963"/>
    <w:rsid w:val="00D574CD"/>
    <w:rsid w:val="00D5794F"/>
    <w:rsid w:val="00D57E95"/>
    <w:rsid w:val="00D64C22"/>
    <w:rsid w:val="00D7473E"/>
    <w:rsid w:val="00D75969"/>
    <w:rsid w:val="00D8548C"/>
    <w:rsid w:val="00D86818"/>
    <w:rsid w:val="00D976BF"/>
    <w:rsid w:val="00DA50AE"/>
    <w:rsid w:val="00DB61D6"/>
    <w:rsid w:val="00DC7951"/>
    <w:rsid w:val="00DC7FE8"/>
    <w:rsid w:val="00DE0F09"/>
    <w:rsid w:val="00DE234A"/>
    <w:rsid w:val="00DE6582"/>
    <w:rsid w:val="00DF15B7"/>
    <w:rsid w:val="00DF2BDA"/>
    <w:rsid w:val="00DF3249"/>
    <w:rsid w:val="00DF447D"/>
    <w:rsid w:val="00DF4AA5"/>
    <w:rsid w:val="00DF737E"/>
    <w:rsid w:val="00E011BE"/>
    <w:rsid w:val="00E030C3"/>
    <w:rsid w:val="00E0396A"/>
    <w:rsid w:val="00E06E0F"/>
    <w:rsid w:val="00E1022F"/>
    <w:rsid w:val="00E17F15"/>
    <w:rsid w:val="00E23687"/>
    <w:rsid w:val="00E2521E"/>
    <w:rsid w:val="00E415BE"/>
    <w:rsid w:val="00E50A4D"/>
    <w:rsid w:val="00E64886"/>
    <w:rsid w:val="00E65D5E"/>
    <w:rsid w:val="00E72992"/>
    <w:rsid w:val="00E75C88"/>
    <w:rsid w:val="00E76868"/>
    <w:rsid w:val="00E85646"/>
    <w:rsid w:val="00E85CD9"/>
    <w:rsid w:val="00EA2F27"/>
    <w:rsid w:val="00EB0EE5"/>
    <w:rsid w:val="00EB6BC0"/>
    <w:rsid w:val="00EC2806"/>
    <w:rsid w:val="00EC547B"/>
    <w:rsid w:val="00ED59AB"/>
    <w:rsid w:val="00ED6102"/>
    <w:rsid w:val="00ED6CF7"/>
    <w:rsid w:val="00EE1454"/>
    <w:rsid w:val="00F0397D"/>
    <w:rsid w:val="00F04499"/>
    <w:rsid w:val="00F0615E"/>
    <w:rsid w:val="00F148CF"/>
    <w:rsid w:val="00F15E04"/>
    <w:rsid w:val="00F23241"/>
    <w:rsid w:val="00F2750E"/>
    <w:rsid w:val="00F4166C"/>
    <w:rsid w:val="00F42065"/>
    <w:rsid w:val="00F42F0A"/>
    <w:rsid w:val="00F46633"/>
    <w:rsid w:val="00F541D5"/>
    <w:rsid w:val="00F544F4"/>
    <w:rsid w:val="00F54563"/>
    <w:rsid w:val="00F75D9C"/>
    <w:rsid w:val="00F77771"/>
    <w:rsid w:val="00F77B7E"/>
    <w:rsid w:val="00F8247C"/>
    <w:rsid w:val="00F82989"/>
    <w:rsid w:val="00F86801"/>
    <w:rsid w:val="00F91641"/>
    <w:rsid w:val="00FA1068"/>
    <w:rsid w:val="00FA3DA0"/>
    <w:rsid w:val="00FA4427"/>
    <w:rsid w:val="00FB07E9"/>
    <w:rsid w:val="00FB509F"/>
    <w:rsid w:val="00FB6A53"/>
    <w:rsid w:val="00FC37EF"/>
    <w:rsid w:val="00FC3C48"/>
    <w:rsid w:val="00FC596F"/>
    <w:rsid w:val="00FD1DD3"/>
    <w:rsid w:val="00FD2806"/>
    <w:rsid w:val="00FD7214"/>
    <w:rsid w:val="00FE71E4"/>
    <w:rsid w:val="00FF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C8E2D"/>
  <w15:chartTrackingRefBased/>
  <w15:docId w15:val="{5488C5F1-743C-F743-8B08-EA1415D8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A7D"/>
    <w:pPr>
      <w:spacing w:line="480" w:lineRule="auto"/>
      <w:jc w:val="both"/>
    </w:pPr>
    <w:rPr>
      <w:rFonts w:ascii="Arial" w:hAnsi="Arial"/>
      <w:sz w:val="20"/>
    </w:rPr>
  </w:style>
  <w:style w:type="paragraph" w:styleId="Heading1">
    <w:name w:val="heading 1"/>
    <w:basedOn w:val="Normal"/>
    <w:next w:val="Normal"/>
    <w:link w:val="Heading1Char"/>
    <w:uiPriority w:val="9"/>
    <w:qFormat/>
    <w:rsid w:val="006C257D"/>
    <w:pPr>
      <w:keepNext/>
      <w:keepLines/>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C257D"/>
    <w:pPr>
      <w:jc w:val="left"/>
      <w:outlineLvl w:val="1"/>
    </w:pPr>
    <w:rPr>
      <w:rFonts w:ascii="Calibri" w:hAnsi="Calibri"/>
      <w:b/>
      <w:i/>
    </w:rPr>
  </w:style>
  <w:style w:type="paragraph" w:styleId="Heading3">
    <w:name w:val="heading 3"/>
    <w:basedOn w:val="Heading2"/>
    <w:next w:val="Normal"/>
    <w:link w:val="Heading3Char"/>
    <w:uiPriority w:val="9"/>
    <w:unhideWhenUsed/>
    <w:qFormat/>
    <w:rsid w:val="006C257D"/>
    <w:pPr>
      <w:outlineLvl w:val="2"/>
    </w:pPr>
    <w:rPr>
      <w:rFonts w:asciiTheme="minorHAnsi" w:hAnsiTheme="minorHAnsi"/>
      <w:b w:val="0"/>
    </w:rPr>
  </w:style>
  <w:style w:type="paragraph" w:styleId="Heading4">
    <w:name w:val="heading 4"/>
    <w:basedOn w:val="Normal"/>
    <w:next w:val="Normal"/>
    <w:link w:val="Heading4Char"/>
    <w:uiPriority w:val="9"/>
    <w:semiHidden/>
    <w:unhideWhenUsed/>
    <w:qFormat/>
    <w:rsid w:val="004472D5"/>
    <w:pPr>
      <w:keepNext/>
      <w:keepLines/>
      <w:jc w:val="left"/>
      <w:outlineLvl w:val="3"/>
    </w:pPr>
    <w:rPr>
      <w:rFonts w:eastAsiaTheme="majorEastAsia"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57D"/>
    <w:rPr>
      <w:rFonts w:eastAsiaTheme="majorEastAsia" w:cstheme="majorBidi"/>
      <w:b/>
      <w:sz w:val="20"/>
      <w:szCs w:val="32"/>
    </w:rPr>
  </w:style>
  <w:style w:type="character" w:styleId="LineNumber">
    <w:name w:val="line number"/>
    <w:basedOn w:val="DefaultParagraphFont"/>
    <w:uiPriority w:val="99"/>
    <w:semiHidden/>
    <w:unhideWhenUsed/>
    <w:rsid w:val="006D310F"/>
  </w:style>
  <w:style w:type="character" w:customStyle="1" w:styleId="Heading2Char">
    <w:name w:val="Heading 2 Char"/>
    <w:basedOn w:val="DefaultParagraphFont"/>
    <w:link w:val="Heading2"/>
    <w:uiPriority w:val="9"/>
    <w:rsid w:val="006C257D"/>
    <w:rPr>
      <w:rFonts w:ascii="Calibri" w:hAnsi="Calibri"/>
      <w:b/>
      <w:i/>
      <w:sz w:val="20"/>
    </w:rPr>
  </w:style>
  <w:style w:type="character" w:customStyle="1" w:styleId="Heading3Char">
    <w:name w:val="Heading 3 Char"/>
    <w:basedOn w:val="DefaultParagraphFont"/>
    <w:link w:val="Heading3"/>
    <w:uiPriority w:val="9"/>
    <w:rsid w:val="006C257D"/>
    <w:rPr>
      <w:i/>
      <w:sz w:val="20"/>
    </w:rPr>
  </w:style>
  <w:style w:type="paragraph" w:styleId="NoSpacing">
    <w:name w:val="No Spacing"/>
    <w:basedOn w:val="Normal"/>
    <w:uiPriority w:val="1"/>
    <w:qFormat/>
    <w:rsid w:val="002374F2"/>
    <w:pPr>
      <w:spacing w:line="240" w:lineRule="auto"/>
    </w:pPr>
  </w:style>
  <w:style w:type="character" w:customStyle="1" w:styleId="Heading4Char">
    <w:name w:val="Heading 4 Char"/>
    <w:basedOn w:val="DefaultParagraphFont"/>
    <w:link w:val="Heading4"/>
    <w:uiPriority w:val="9"/>
    <w:semiHidden/>
    <w:rsid w:val="004472D5"/>
    <w:rPr>
      <w:rFonts w:eastAsiaTheme="majorEastAsia" w:cstheme="majorBidi"/>
      <w:iCs/>
      <w:sz w:val="20"/>
      <w:u w:val="single"/>
    </w:rPr>
  </w:style>
  <w:style w:type="paragraph" w:styleId="Title">
    <w:name w:val="Title"/>
    <w:basedOn w:val="Normal"/>
    <w:next w:val="Normal"/>
    <w:link w:val="TitleChar"/>
    <w:uiPriority w:val="10"/>
    <w:qFormat/>
    <w:rsid w:val="00460F99"/>
    <w:pPr>
      <w:contextualSpacing/>
      <w:jc w:val="left"/>
    </w:pPr>
    <w:rPr>
      <w:rFonts w:eastAsiaTheme="majorEastAsia" w:cs="Times New Roman (Headings CS)"/>
      <w:b/>
      <w:kern w:val="28"/>
      <w:sz w:val="24"/>
      <w:szCs w:val="56"/>
    </w:rPr>
  </w:style>
  <w:style w:type="character" w:customStyle="1" w:styleId="TitleChar">
    <w:name w:val="Title Char"/>
    <w:basedOn w:val="DefaultParagraphFont"/>
    <w:link w:val="Title"/>
    <w:uiPriority w:val="10"/>
    <w:rsid w:val="00460F99"/>
    <w:rPr>
      <w:rFonts w:eastAsiaTheme="majorEastAsia" w:cs="Times New Roman (Headings CS)"/>
      <w:b/>
      <w:kern w:val="28"/>
      <w:szCs w:val="56"/>
    </w:rPr>
  </w:style>
  <w:style w:type="paragraph" w:styleId="Subtitle">
    <w:name w:val="Subtitle"/>
    <w:basedOn w:val="Normal"/>
    <w:next w:val="Normal"/>
    <w:link w:val="SubtitleChar"/>
    <w:uiPriority w:val="11"/>
    <w:qFormat/>
    <w:rsid w:val="005D6B6C"/>
    <w:pPr>
      <w:numPr>
        <w:ilvl w:val="1"/>
      </w:numPr>
      <w:spacing w:after="160"/>
      <w:jc w:val="left"/>
    </w:pPr>
    <w:rPr>
      <w:rFonts w:eastAsiaTheme="minorEastAsia"/>
      <w:i/>
      <w:szCs w:val="22"/>
    </w:rPr>
  </w:style>
  <w:style w:type="character" w:customStyle="1" w:styleId="SubtitleChar">
    <w:name w:val="Subtitle Char"/>
    <w:basedOn w:val="DefaultParagraphFont"/>
    <w:link w:val="Subtitle"/>
    <w:uiPriority w:val="11"/>
    <w:rsid w:val="005D6B6C"/>
    <w:rPr>
      <w:rFonts w:eastAsiaTheme="minorEastAsia"/>
      <w:i/>
      <w:sz w:val="20"/>
      <w:szCs w:val="22"/>
    </w:rPr>
  </w:style>
  <w:style w:type="character" w:styleId="SubtleEmphasis">
    <w:name w:val="Subtle Emphasis"/>
    <w:basedOn w:val="DefaultParagraphFont"/>
    <w:uiPriority w:val="19"/>
    <w:qFormat/>
    <w:rsid w:val="006D310F"/>
    <w:rPr>
      <w:rFonts w:ascii="Times New Roman" w:hAnsi="Times New Roman"/>
      <w:i/>
      <w:iCs/>
      <w:color w:val="404040" w:themeColor="text1" w:themeTint="BF"/>
    </w:rPr>
  </w:style>
  <w:style w:type="paragraph" w:styleId="Header">
    <w:name w:val="header"/>
    <w:basedOn w:val="Normal"/>
    <w:link w:val="HeaderChar"/>
    <w:uiPriority w:val="99"/>
    <w:unhideWhenUsed/>
    <w:rsid w:val="006B544C"/>
    <w:pPr>
      <w:tabs>
        <w:tab w:val="center" w:pos="4680"/>
        <w:tab w:val="right" w:pos="9360"/>
      </w:tabs>
      <w:spacing w:line="240" w:lineRule="auto"/>
    </w:pPr>
  </w:style>
  <w:style w:type="character" w:customStyle="1" w:styleId="HeaderChar">
    <w:name w:val="Header Char"/>
    <w:basedOn w:val="DefaultParagraphFont"/>
    <w:link w:val="Header"/>
    <w:uiPriority w:val="99"/>
    <w:rsid w:val="006B544C"/>
    <w:rPr>
      <w:rFonts w:ascii="Times New Roman" w:eastAsiaTheme="minorEastAsia" w:hAnsi="Times New Roman"/>
    </w:rPr>
  </w:style>
  <w:style w:type="paragraph" w:styleId="Footer">
    <w:name w:val="footer"/>
    <w:basedOn w:val="Normal"/>
    <w:link w:val="FooterChar"/>
    <w:uiPriority w:val="99"/>
    <w:unhideWhenUsed/>
    <w:rsid w:val="006B544C"/>
    <w:pPr>
      <w:tabs>
        <w:tab w:val="center" w:pos="4680"/>
        <w:tab w:val="right" w:pos="9360"/>
      </w:tabs>
      <w:spacing w:line="240" w:lineRule="auto"/>
    </w:pPr>
  </w:style>
  <w:style w:type="character" w:customStyle="1" w:styleId="FooterChar">
    <w:name w:val="Footer Char"/>
    <w:basedOn w:val="DefaultParagraphFont"/>
    <w:link w:val="Footer"/>
    <w:uiPriority w:val="99"/>
    <w:rsid w:val="006B544C"/>
    <w:rPr>
      <w:rFonts w:ascii="Times New Roman" w:eastAsiaTheme="minorEastAsia" w:hAnsi="Times New Roman"/>
    </w:rPr>
  </w:style>
  <w:style w:type="character" w:styleId="PageNumber">
    <w:name w:val="page number"/>
    <w:basedOn w:val="DefaultParagraphFont"/>
    <w:uiPriority w:val="99"/>
    <w:unhideWhenUsed/>
    <w:rsid w:val="006B544C"/>
  </w:style>
  <w:style w:type="character" w:styleId="IntenseEmphasis">
    <w:name w:val="Intense Emphasis"/>
    <w:basedOn w:val="DefaultParagraphFont"/>
    <w:uiPriority w:val="21"/>
    <w:qFormat/>
    <w:rsid w:val="006B544C"/>
    <w:rPr>
      <w:i/>
      <w:iCs/>
      <w:color w:val="auto"/>
    </w:rPr>
  </w:style>
  <w:style w:type="paragraph" w:styleId="IntenseQuote">
    <w:name w:val="Intense Quote"/>
    <w:basedOn w:val="Normal"/>
    <w:next w:val="Normal"/>
    <w:link w:val="IntenseQuoteChar"/>
    <w:uiPriority w:val="30"/>
    <w:qFormat/>
    <w:rsid w:val="006B544C"/>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B544C"/>
    <w:rPr>
      <w:i/>
      <w:iCs/>
    </w:rPr>
  </w:style>
  <w:style w:type="character" w:styleId="IntenseReference">
    <w:name w:val="Intense Reference"/>
    <w:basedOn w:val="DefaultParagraphFont"/>
    <w:uiPriority w:val="32"/>
    <w:qFormat/>
    <w:rsid w:val="006B544C"/>
    <w:rPr>
      <w:b/>
      <w:bCs/>
      <w:smallCaps/>
      <w:color w:val="auto"/>
      <w:spacing w:val="5"/>
    </w:rPr>
  </w:style>
  <w:style w:type="paragraph" w:styleId="ListParagraph">
    <w:name w:val="List Paragraph"/>
    <w:basedOn w:val="Normal"/>
    <w:uiPriority w:val="34"/>
    <w:qFormat/>
    <w:rsid w:val="006B544C"/>
    <w:pPr>
      <w:ind w:left="720"/>
      <w:contextualSpacing/>
    </w:pPr>
  </w:style>
  <w:style w:type="paragraph" w:styleId="Caption">
    <w:name w:val="caption"/>
    <w:basedOn w:val="Normal"/>
    <w:next w:val="Normal"/>
    <w:unhideWhenUsed/>
    <w:qFormat/>
    <w:rsid w:val="006B544C"/>
    <w:pPr>
      <w:spacing w:after="120" w:line="240" w:lineRule="auto"/>
    </w:pPr>
    <w:rPr>
      <w:i/>
      <w:iCs/>
      <w:szCs w:val="18"/>
    </w:rPr>
  </w:style>
  <w:style w:type="paragraph" w:styleId="TOC1">
    <w:name w:val="toc 1"/>
    <w:basedOn w:val="Normal"/>
    <w:next w:val="Normal"/>
    <w:autoRedefine/>
    <w:uiPriority w:val="39"/>
    <w:unhideWhenUsed/>
    <w:rsid w:val="006B544C"/>
    <w:pPr>
      <w:spacing w:after="100"/>
    </w:pPr>
  </w:style>
  <w:style w:type="paragraph" w:styleId="BalloonText">
    <w:name w:val="Balloon Text"/>
    <w:basedOn w:val="Normal"/>
    <w:link w:val="BalloonTextChar"/>
    <w:uiPriority w:val="99"/>
    <w:semiHidden/>
    <w:unhideWhenUsed/>
    <w:rsid w:val="005D6B6C"/>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D6B6C"/>
    <w:rPr>
      <w:rFonts w:ascii="Times New Roman" w:hAnsi="Times New Roman" w:cs="Times New Roman"/>
      <w:sz w:val="18"/>
      <w:szCs w:val="18"/>
    </w:rPr>
  </w:style>
  <w:style w:type="character" w:styleId="Emphasis">
    <w:name w:val="Emphasis"/>
    <w:basedOn w:val="DefaultParagraphFont"/>
    <w:uiPriority w:val="20"/>
    <w:qFormat/>
    <w:rsid w:val="004472D5"/>
    <w:rPr>
      <w:b/>
      <w:i/>
      <w:iCs/>
    </w:rPr>
  </w:style>
  <w:style w:type="character" w:styleId="Hyperlink">
    <w:name w:val="Hyperlink"/>
    <w:basedOn w:val="DefaultParagraphFont"/>
    <w:uiPriority w:val="99"/>
    <w:unhideWhenUsed/>
    <w:rsid w:val="00E23687"/>
    <w:rPr>
      <w:color w:val="0563C1" w:themeColor="hyperlink"/>
      <w:u w:val="single"/>
    </w:rPr>
  </w:style>
  <w:style w:type="character" w:styleId="UnresolvedMention">
    <w:name w:val="Unresolved Mention"/>
    <w:basedOn w:val="DefaultParagraphFont"/>
    <w:uiPriority w:val="99"/>
    <w:semiHidden/>
    <w:unhideWhenUsed/>
    <w:rsid w:val="00E23687"/>
    <w:rPr>
      <w:color w:val="605E5C"/>
      <w:shd w:val="clear" w:color="auto" w:fill="E1DFDD"/>
    </w:rPr>
  </w:style>
  <w:style w:type="table" w:styleId="TableGrid">
    <w:name w:val="Table Grid"/>
    <w:basedOn w:val="TableNormal"/>
    <w:uiPriority w:val="39"/>
    <w:rsid w:val="00CE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67B6"/>
    <w:rPr>
      <w:sz w:val="16"/>
      <w:szCs w:val="16"/>
    </w:rPr>
  </w:style>
  <w:style w:type="paragraph" w:styleId="CommentText">
    <w:name w:val="annotation text"/>
    <w:basedOn w:val="Normal"/>
    <w:link w:val="CommentTextChar"/>
    <w:uiPriority w:val="99"/>
    <w:semiHidden/>
    <w:unhideWhenUsed/>
    <w:rsid w:val="008B67B6"/>
    <w:pPr>
      <w:spacing w:line="240" w:lineRule="auto"/>
    </w:pPr>
    <w:rPr>
      <w:szCs w:val="20"/>
    </w:rPr>
  </w:style>
  <w:style w:type="character" w:customStyle="1" w:styleId="CommentTextChar">
    <w:name w:val="Comment Text Char"/>
    <w:basedOn w:val="DefaultParagraphFont"/>
    <w:link w:val="CommentText"/>
    <w:uiPriority w:val="99"/>
    <w:semiHidden/>
    <w:rsid w:val="008B67B6"/>
    <w:rPr>
      <w:sz w:val="20"/>
      <w:szCs w:val="20"/>
    </w:rPr>
  </w:style>
  <w:style w:type="paragraph" w:styleId="CommentSubject">
    <w:name w:val="annotation subject"/>
    <w:basedOn w:val="CommentText"/>
    <w:next w:val="CommentText"/>
    <w:link w:val="CommentSubjectChar"/>
    <w:uiPriority w:val="99"/>
    <w:semiHidden/>
    <w:unhideWhenUsed/>
    <w:rsid w:val="008B67B6"/>
    <w:rPr>
      <w:b/>
      <w:bCs/>
    </w:rPr>
  </w:style>
  <w:style w:type="character" w:customStyle="1" w:styleId="CommentSubjectChar">
    <w:name w:val="Comment Subject Char"/>
    <w:basedOn w:val="CommentTextChar"/>
    <w:link w:val="CommentSubject"/>
    <w:uiPriority w:val="99"/>
    <w:semiHidden/>
    <w:rsid w:val="008B67B6"/>
    <w:rPr>
      <w:b/>
      <w:bCs/>
      <w:sz w:val="20"/>
      <w:szCs w:val="20"/>
    </w:rPr>
  </w:style>
  <w:style w:type="paragraph" w:styleId="Bibliography">
    <w:name w:val="Bibliography"/>
    <w:basedOn w:val="Normal"/>
    <w:next w:val="Normal"/>
    <w:uiPriority w:val="37"/>
    <w:unhideWhenUsed/>
    <w:rsid w:val="00C54338"/>
    <w:pPr>
      <w:spacing w:line="300" w:lineRule="auto"/>
      <w:ind w:left="386" w:hanging="386"/>
    </w:pPr>
  </w:style>
  <w:style w:type="paragraph" w:styleId="Revision">
    <w:name w:val="Revision"/>
    <w:hidden/>
    <w:uiPriority w:val="99"/>
    <w:semiHidden/>
    <w:rsid w:val="00D57E9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5455">
      <w:bodyDiv w:val="1"/>
      <w:marLeft w:val="0"/>
      <w:marRight w:val="0"/>
      <w:marTop w:val="0"/>
      <w:marBottom w:val="0"/>
      <w:divBdr>
        <w:top w:val="none" w:sz="0" w:space="0" w:color="auto"/>
        <w:left w:val="none" w:sz="0" w:space="0" w:color="auto"/>
        <w:bottom w:val="none" w:sz="0" w:space="0" w:color="auto"/>
        <w:right w:val="none" w:sz="0" w:space="0" w:color="auto"/>
      </w:divBdr>
    </w:div>
    <w:div w:id="1141074663">
      <w:bodyDiv w:val="1"/>
      <w:marLeft w:val="0"/>
      <w:marRight w:val="0"/>
      <w:marTop w:val="0"/>
      <w:marBottom w:val="0"/>
      <w:divBdr>
        <w:top w:val="none" w:sz="0" w:space="0" w:color="auto"/>
        <w:left w:val="none" w:sz="0" w:space="0" w:color="auto"/>
        <w:bottom w:val="none" w:sz="0" w:space="0" w:color="auto"/>
        <w:right w:val="none" w:sz="0" w:space="0" w:color="auto"/>
      </w:divBdr>
    </w:div>
    <w:div w:id="1214655695">
      <w:bodyDiv w:val="1"/>
      <w:marLeft w:val="0"/>
      <w:marRight w:val="0"/>
      <w:marTop w:val="0"/>
      <w:marBottom w:val="0"/>
      <w:divBdr>
        <w:top w:val="none" w:sz="0" w:space="0" w:color="auto"/>
        <w:left w:val="none" w:sz="0" w:space="0" w:color="auto"/>
        <w:bottom w:val="none" w:sz="0" w:space="0" w:color="auto"/>
        <w:right w:val="none" w:sz="0" w:space="0" w:color="auto"/>
      </w:divBdr>
    </w:div>
    <w:div w:id="1481771128">
      <w:bodyDiv w:val="1"/>
      <w:marLeft w:val="0"/>
      <w:marRight w:val="0"/>
      <w:marTop w:val="0"/>
      <w:marBottom w:val="0"/>
      <w:divBdr>
        <w:top w:val="none" w:sz="0" w:space="0" w:color="auto"/>
        <w:left w:val="none" w:sz="0" w:space="0" w:color="auto"/>
        <w:bottom w:val="none" w:sz="0" w:space="0" w:color="auto"/>
        <w:right w:val="none" w:sz="0" w:space="0" w:color="auto"/>
      </w:divBdr>
      <w:divsChild>
        <w:div w:id="1730571086">
          <w:marLeft w:val="0"/>
          <w:marRight w:val="0"/>
          <w:marTop w:val="0"/>
          <w:marBottom w:val="0"/>
          <w:divBdr>
            <w:top w:val="none" w:sz="0" w:space="0" w:color="auto"/>
            <w:left w:val="none" w:sz="0" w:space="0" w:color="auto"/>
            <w:bottom w:val="none" w:sz="0" w:space="0" w:color="auto"/>
            <w:right w:val="none" w:sz="0" w:space="0" w:color="auto"/>
          </w:divBdr>
        </w:div>
        <w:div w:id="866601413">
          <w:marLeft w:val="0"/>
          <w:marRight w:val="0"/>
          <w:marTop w:val="0"/>
          <w:marBottom w:val="0"/>
          <w:divBdr>
            <w:top w:val="none" w:sz="0" w:space="0" w:color="auto"/>
            <w:left w:val="none" w:sz="0" w:space="0" w:color="auto"/>
            <w:bottom w:val="none" w:sz="0" w:space="0" w:color="auto"/>
            <w:right w:val="none" w:sz="0" w:space="0" w:color="auto"/>
          </w:divBdr>
        </w:div>
        <w:div w:id="914241012">
          <w:marLeft w:val="0"/>
          <w:marRight w:val="0"/>
          <w:marTop w:val="0"/>
          <w:marBottom w:val="0"/>
          <w:divBdr>
            <w:top w:val="none" w:sz="0" w:space="0" w:color="auto"/>
            <w:left w:val="none" w:sz="0" w:space="0" w:color="auto"/>
            <w:bottom w:val="none" w:sz="0" w:space="0" w:color="auto"/>
            <w:right w:val="none" w:sz="0" w:space="0" w:color="auto"/>
          </w:divBdr>
        </w:div>
        <w:div w:id="1963460245">
          <w:marLeft w:val="0"/>
          <w:marRight w:val="0"/>
          <w:marTop w:val="0"/>
          <w:marBottom w:val="0"/>
          <w:divBdr>
            <w:top w:val="none" w:sz="0" w:space="0" w:color="auto"/>
            <w:left w:val="none" w:sz="0" w:space="0" w:color="auto"/>
            <w:bottom w:val="none" w:sz="0" w:space="0" w:color="auto"/>
            <w:right w:val="none" w:sz="0" w:space="0" w:color="auto"/>
          </w:divBdr>
        </w:div>
        <w:div w:id="480075759">
          <w:marLeft w:val="0"/>
          <w:marRight w:val="0"/>
          <w:marTop w:val="0"/>
          <w:marBottom w:val="0"/>
          <w:divBdr>
            <w:top w:val="none" w:sz="0" w:space="0" w:color="auto"/>
            <w:left w:val="none" w:sz="0" w:space="0" w:color="auto"/>
            <w:bottom w:val="none" w:sz="0" w:space="0" w:color="auto"/>
            <w:right w:val="none" w:sz="0" w:space="0" w:color="auto"/>
          </w:divBdr>
        </w:div>
        <w:div w:id="85424114">
          <w:marLeft w:val="0"/>
          <w:marRight w:val="0"/>
          <w:marTop w:val="0"/>
          <w:marBottom w:val="0"/>
          <w:divBdr>
            <w:top w:val="none" w:sz="0" w:space="0" w:color="auto"/>
            <w:left w:val="none" w:sz="0" w:space="0" w:color="auto"/>
            <w:bottom w:val="none" w:sz="0" w:space="0" w:color="auto"/>
            <w:right w:val="none" w:sz="0" w:space="0" w:color="auto"/>
          </w:divBdr>
        </w:div>
        <w:div w:id="421729251">
          <w:marLeft w:val="0"/>
          <w:marRight w:val="0"/>
          <w:marTop w:val="0"/>
          <w:marBottom w:val="0"/>
          <w:divBdr>
            <w:top w:val="none" w:sz="0" w:space="0" w:color="auto"/>
            <w:left w:val="none" w:sz="0" w:space="0" w:color="auto"/>
            <w:bottom w:val="none" w:sz="0" w:space="0" w:color="auto"/>
            <w:right w:val="none" w:sz="0" w:space="0" w:color="auto"/>
          </w:divBdr>
        </w:div>
        <w:div w:id="15424330">
          <w:marLeft w:val="0"/>
          <w:marRight w:val="0"/>
          <w:marTop w:val="0"/>
          <w:marBottom w:val="0"/>
          <w:divBdr>
            <w:top w:val="none" w:sz="0" w:space="0" w:color="auto"/>
            <w:left w:val="none" w:sz="0" w:space="0" w:color="auto"/>
            <w:bottom w:val="none" w:sz="0" w:space="0" w:color="auto"/>
            <w:right w:val="none" w:sz="0" w:space="0" w:color="auto"/>
          </w:divBdr>
        </w:div>
        <w:div w:id="1533499710">
          <w:marLeft w:val="0"/>
          <w:marRight w:val="0"/>
          <w:marTop w:val="0"/>
          <w:marBottom w:val="0"/>
          <w:divBdr>
            <w:top w:val="none" w:sz="0" w:space="0" w:color="auto"/>
            <w:left w:val="none" w:sz="0" w:space="0" w:color="auto"/>
            <w:bottom w:val="none" w:sz="0" w:space="0" w:color="auto"/>
            <w:right w:val="none" w:sz="0" w:space="0" w:color="auto"/>
          </w:divBdr>
        </w:div>
        <w:div w:id="1188063212">
          <w:marLeft w:val="0"/>
          <w:marRight w:val="0"/>
          <w:marTop w:val="0"/>
          <w:marBottom w:val="0"/>
          <w:divBdr>
            <w:top w:val="none" w:sz="0" w:space="0" w:color="auto"/>
            <w:left w:val="none" w:sz="0" w:space="0" w:color="auto"/>
            <w:bottom w:val="none" w:sz="0" w:space="0" w:color="auto"/>
            <w:right w:val="none" w:sz="0" w:space="0" w:color="auto"/>
          </w:divBdr>
        </w:div>
        <w:div w:id="16398159">
          <w:marLeft w:val="0"/>
          <w:marRight w:val="0"/>
          <w:marTop w:val="0"/>
          <w:marBottom w:val="0"/>
          <w:divBdr>
            <w:top w:val="none" w:sz="0" w:space="0" w:color="auto"/>
            <w:left w:val="none" w:sz="0" w:space="0" w:color="auto"/>
            <w:bottom w:val="none" w:sz="0" w:space="0" w:color="auto"/>
            <w:right w:val="none" w:sz="0" w:space="0" w:color="auto"/>
          </w:divBdr>
        </w:div>
        <w:div w:id="2027516311">
          <w:marLeft w:val="0"/>
          <w:marRight w:val="0"/>
          <w:marTop w:val="0"/>
          <w:marBottom w:val="0"/>
          <w:divBdr>
            <w:top w:val="none" w:sz="0" w:space="0" w:color="auto"/>
            <w:left w:val="none" w:sz="0" w:space="0" w:color="auto"/>
            <w:bottom w:val="none" w:sz="0" w:space="0" w:color="auto"/>
            <w:right w:val="none" w:sz="0" w:space="0" w:color="auto"/>
          </w:divBdr>
        </w:div>
        <w:div w:id="1322155684">
          <w:marLeft w:val="0"/>
          <w:marRight w:val="0"/>
          <w:marTop w:val="0"/>
          <w:marBottom w:val="0"/>
          <w:divBdr>
            <w:top w:val="none" w:sz="0" w:space="0" w:color="auto"/>
            <w:left w:val="none" w:sz="0" w:space="0" w:color="auto"/>
            <w:bottom w:val="none" w:sz="0" w:space="0" w:color="auto"/>
            <w:right w:val="none" w:sz="0" w:space="0" w:color="auto"/>
          </w:divBdr>
        </w:div>
        <w:div w:id="296185870">
          <w:marLeft w:val="0"/>
          <w:marRight w:val="0"/>
          <w:marTop w:val="0"/>
          <w:marBottom w:val="0"/>
          <w:divBdr>
            <w:top w:val="none" w:sz="0" w:space="0" w:color="auto"/>
            <w:left w:val="none" w:sz="0" w:space="0" w:color="auto"/>
            <w:bottom w:val="none" w:sz="0" w:space="0" w:color="auto"/>
            <w:right w:val="none" w:sz="0" w:space="0" w:color="auto"/>
          </w:divBdr>
        </w:div>
        <w:div w:id="2061858218">
          <w:marLeft w:val="0"/>
          <w:marRight w:val="0"/>
          <w:marTop w:val="0"/>
          <w:marBottom w:val="0"/>
          <w:divBdr>
            <w:top w:val="none" w:sz="0" w:space="0" w:color="auto"/>
            <w:left w:val="none" w:sz="0" w:space="0" w:color="auto"/>
            <w:bottom w:val="none" w:sz="0" w:space="0" w:color="auto"/>
            <w:right w:val="none" w:sz="0" w:space="0" w:color="auto"/>
          </w:divBdr>
        </w:div>
        <w:div w:id="749547648">
          <w:marLeft w:val="0"/>
          <w:marRight w:val="0"/>
          <w:marTop w:val="0"/>
          <w:marBottom w:val="0"/>
          <w:divBdr>
            <w:top w:val="none" w:sz="0" w:space="0" w:color="auto"/>
            <w:left w:val="none" w:sz="0" w:space="0" w:color="auto"/>
            <w:bottom w:val="none" w:sz="0" w:space="0" w:color="auto"/>
            <w:right w:val="none" w:sz="0" w:space="0" w:color="auto"/>
          </w:divBdr>
        </w:div>
        <w:div w:id="104911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ominikmenges/switchdrive/_private/template%20documents/template_journal%20article_Calib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7DED-9DEF-044A-B4F3-D457FC0B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template_journal article_Calibri.dotx</Template>
  <TotalTime>1</TotalTime>
  <Pages>7</Pages>
  <Words>6400</Words>
  <Characters>36483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Menges</dc:creator>
  <cp:keywords/>
  <dc:description/>
  <cp:lastModifiedBy>Dominik Menges</cp:lastModifiedBy>
  <cp:revision>3</cp:revision>
  <cp:lastPrinted>2022-01-07T12:45:00Z</cp:lastPrinted>
  <dcterms:created xsi:type="dcterms:W3CDTF">2022-06-08T06:28:00Z</dcterms:created>
  <dcterms:modified xsi:type="dcterms:W3CDTF">2022-06-08T06:29:00Z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id="hF0gsJBc"/&gt;&lt;style id="http://www.zotero.org/styles/american-medical-association" hasBibliography="1" bibliographyStyleHasBeenSet="1"/&gt;&lt;prefs&gt;&lt;pref name="fieldType" value="Field"/&gt;&lt;pref name="autom</vt:lpwstr>
  </property>
  <property fmtid="{D5CDD505-2E9C-101B-9397-08002B2CF9AE}" pid="3" name="ZOTERO_PREF_2">
    <vt:lpwstr>aticJournalAbbreviations" value="true"/&gt;&lt;pref name="delayCitationUpdates" value="true"/&gt;&lt;/prefs&gt;&lt;/data&gt;</vt:lpwstr>
  </property>
</Properties>
</file>