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shd w:val="clear" w:color="auto" w:fill="FFFFFF"/>
        </w:rPr>
        <w:t>Supplementary material</w:t>
      </w:r>
    </w:p>
    <w:p>
      <w:pPr>
        <w:rPr>
          <w:rFonts w:ascii="Arial" w:hAnsi="Arial" w:cs="Arial"/>
        </w:rPr>
      </w:pPr>
      <w:r>
        <w:drawing>
          <wp:inline distT="0" distB="0" distL="114300" distR="114300">
            <wp:extent cx="4443095" cy="6205220"/>
            <wp:effectExtent l="0" t="0" r="14605" b="508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3095" cy="620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Arial" w:hAnsi="Arial" w:eastAsia="Times New Roman" w:cs="Arial"/>
          <w:b/>
          <w:sz w:val="20"/>
          <w:szCs w:val="20"/>
          <w:lang w:bidi="ar"/>
        </w:rPr>
      </w:pPr>
      <w:r>
        <w:rPr>
          <w:rFonts w:ascii="Arial" w:hAnsi="Arial" w:cs="Arial"/>
          <w:b/>
          <w:bCs/>
          <w:sz w:val="20"/>
          <w:szCs w:val="20"/>
        </w:rPr>
        <w:t xml:space="preserve">Figure S1: </w:t>
      </w:r>
      <w:r>
        <w:rPr>
          <w:rFonts w:ascii="Arial" w:hAnsi="Arial" w:eastAsia="宋体" w:cs="Arial"/>
          <w:sz w:val="20"/>
          <w:szCs w:val="20"/>
          <w:lang w:bidi="ar"/>
        </w:rPr>
        <w:t>Study design.</w:t>
      </w:r>
    </w:p>
    <w:p>
      <w:pPr>
        <w:spacing w:line="480" w:lineRule="auto"/>
        <w:rPr>
          <w:rFonts w:ascii="Arial" w:hAnsi="Arial" w:eastAsia="宋体" w:cs="Arial"/>
          <w:sz w:val="20"/>
          <w:szCs w:val="20"/>
          <w:lang w:bidi="ar"/>
        </w:rPr>
      </w:pPr>
      <w:r>
        <w:rPr>
          <w:rFonts w:ascii="Arial" w:hAnsi="Arial" w:eastAsia="Times New Roman" w:cs="Arial"/>
          <w:b/>
          <w:sz w:val="20"/>
          <w:szCs w:val="20"/>
          <w:lang w:bidi="ar"/>
        </w:rPr>
        <w:t xml:space="preserve">Abbreviations: </w:t>
      </w:r>
      <w:r>
        <w:rPr>
          <w:rFonts w:ascii="Arial" w:hAnsi="Arial" w:eastAsia="宋体" w:cs="Arial"/>
          <w:sz w:val="20"/>
          <w:szCs w:val="20"/>
          <w:lang w:bidi="ar"/>
        </w:rPr>
        <w:t xml:space="preserve">HCC, hepatocellular carcinoma; RFS, </w:t>
      </w:r>
      <w:r>
        <w:rPr>
          <w:rFonts w:ascii="Arial" w:hAnsi="Arial" w:eastAsia="宋体" w:cs="Arial"/>
          <w:bCs/>
          <w:sz w:val="20"/>
          <w:szCs w:val="20"/>
          <w:lang w:bidi="ar"/>
        </w:rPr>
        <w:t xml:space="preserve">recurrence-free survival; Rad-score, radiomics score; </w:t>
      </w:r>
      <w:r>
        <w:rPr>
          <w:rFonts w:ascii="Arial" w:hAnsi="Arial" w:eastAsia="宋体" w:cs="Arial"/>
          <w:sz w:val="20"/>
          <w:szCs w:val="20"/>
          <w:lang w:bidi="ar"/>
        </w:rPr>
        <w:t>PA-TACE, postoperative adjuvant transcatheter arterial chemoembolization; LRS, low radiomics score; HRS, high radiomics score.</w:t>
      </w:r>
    </w:p>
    <w:p>
      <w:pPr>
        <w:rPr>
          <w:rFonts w:ascii="Arial" w:hAnsi="Arial" w:eastAsia="宋体" w:cs="Arial"/>
          <w:sz w:val="20"/>
          <w:szCs w:val="20"/>
          <w:lang w:bidi="ar"/>
        </w:rPr>
      </w:pPr>
    </w:p>
    <w:p>
      <w:pPr>
        <w:rPr>
          <w:rFonts w:ascii="Arial" w:hAnsi="Arial" w:eastAsia="宋体" w:cs="Arial"/>
          <w:b/>
          <w:bCs/>
          <w:sz w:val="20"/>
          <w:szCs w:val="20"/>
          <w:lang w:bidi="ar"/>
        </w:rPr>
      </w:pPr>
      <w:r>
        <w:drawing>
          <wp:inline distT="0" distB="0" distL="114300" distR="114300">
            <wp:extent cx="5391785" cy="2980690"/>
            <wp:effectExtent l="0" t="0" r="1841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1785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  <w:r>
        <w:rPr>
          <w:rFonts w:ascii="Arial" w:hAnsi="Arial" w:eastAsia="宋体" w:cs="Arial"/>
          <w:b/>
          <w:bCs/>
          <w:sz w:val="20"/>
          <w:szCs w:val="20"/>
          <w:lang w:bidi="ar"/>
        </w:rPr>
        <w:t>Figure S2</w:t>
      </w:r>
      <w:bookmarkStart w:id="0" w:name="OLE_LINK92"/>
      <w:bookmarkStart w:id="1" w:name="OLE_LINK93"/>
      <w:r>
        <w:rPr>
          <w:rFonts w:ascii="Arial" w:hAnsi="Arial" w:eastAsia="宋体" w:cs="Arial"/>
          <w:b/>
          <w:bCs/>
          <w:sz w:val="20"/>
          <w:szCs w:val="20"/>
          <w:lang w:bidi="ar"/>
        </w:rPr>
        <w:t>:</w:t>
      </w:r>
      <w:r>
        <w:rPr>
          <w:rFonts w:ascii="Arial" w:hAnsi="Arial" w:eastAsia="宋体" w:cs="Arial"/>
          <w:sz w:val="20"/>
          <w:szCs w:val="20"/>
          <w:lang w:bidi="ar"/>
        </w:rPr>
        <w:t xml:space="preserve"> </w:t>
      </w:r>
      <w:bookmarkStart w:id="2" w:name="OLE_LINK94"/>
      <w:bookmarkStart w:id="3" w:name="OLE_LINK95"/>
      <w:r>
        <w:rPr>
          <w:rFonts w:ascii="Arial" w:hAnsi="Arial" w:eastAsia="宋体" w:cs="Arial"/>
          <w:sz w:val="20"/>
          <w:szCs w:val="20"/>
          <w:lang w:bidi="ar"/>
        </w:rPr>
        <w:t>Kaplan-Meier RFS curves among HCC patient subgroups</w:t>
      </w:r>
      <w:bookmarkEnd w:id="2"/>
      <w:bookmarkEnd w:id="3"/>
      <w:r>
        <w:rPr>
          <w:rFonts w:ascii="Arial" w:hAnsi="Arial" w:eastAsia="宋体" w:cs="Arial"/>
          <w:sz w:val="20"/>
          <w:szCs w:val="20"/>
          <w:lang w:bidi="ar"/>
        </w:rPr>
        <w:t xml:space="preserve"> </w:t>
      </w:r>
      <w:bookmarkEnd w:id="0"/>
      <w:bookmarkEnd w:id="1"/>
      <w:r>
        <w:rPr>
          <w:rFonts w:ascii="Arial" w:hAnsi="Arial" w:eastAsia="宋体" w:cs="Arial"/>
          <w:sz w:val="20"/>
          <w:szCs w:val="20"/>
          <w:lang w:bidi="ar"/>
        </w:rPr>
        <w:t xml:space="preserve">in the training, </w:t>
      </w:r>
      <w:r>
        <w:rPr>
          <w:rFonts w:hint="eastAsia" w:ascii="Arial" w:hAnsi="Arial" w:eastAsia="宋体" w:cs="Arial"/>
          <w:sz w:val="20"/>
          <w:szCs w:val="20"/>
          <w:lang w:bidi="ar"/>
        </w:rPr>
        <w:t>the</w:t>
      </w:r>
      <w:r>
        <w:rPr>
          <w:rFonts w:ascii="Arial" w:hAnsi="Arial" w:eastAsia="宋体" w:cs="Arial"/>
          <w:sz w:val="20"/>
          <w:szCs w:val="20"/>
          <w:lang w:bidi="ar"/>
        </w:rPr>
        <w:t xml:space="preserve"> internal and external validation cohorts. (A) BCLC 0 and A; (B) BCLC A1 and B.</w:t>
      </w: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  <w:r>
        <w:rPr>
          <w:rFonts w:ascii="Arial" w:hAnsi="Arial" w:eastAsia="Times New Roman" w:cs="Arial"/>
          <w:b/>
          <w:sz w:val="20"/>
          <w:szCs w:val="20"/>
          <w:lang w:bidi="ar"/>
        </w:rPr>
        <w:t xml:space="preserve">Abbreviations: </w:t>
      </w:r>
      <w:r>
        <w:rPr>
          <w:rFonts w:ascii="Arial" w:hAnsi="Arial" w:eastAsia="宋体" w:cs="Arial"/>
          <w:sz w:val="20"/>
          <w:szCs w:val="20"/>
          <w:lang w:bidi="ar"/>
        </w:rPr>
        <w:t xml:space="preserve">LRS, low radiomics score; HRS, high radiomics score; HR, hazard ratio; </w:t>
      </w:r>
      <w:r>
        <w:rPr>
          <w:rFonts w:ascii="Arial" w:hAnsi="Arial" w:eastAsia="宋体" w:cs="Arial"/>
          <w:bCs/>
          <w:sz w:val="20"/>
          <w:szCs w:val="20"/>
          <w:lang w:bidi="ar"/>
        </w:rPr>
        <w:t xml:space="preserve">BCLC, Barcelona Clinic Liver Cancer; HCC, hepatocellular carcinoma; </w:t>
      </w:r>
      <w:r>
        <w:rPr>
          <w:rFonts w:ascii="Arial" w:hAnsi="Arial" w:eastAsia="宋体" w:cs="Arial"/>
          <w:sz w:val="20"/>
          <w:szCs w:val="20"/>
          <w:lang w:bidi="ar"/>
        </w:rPr>
        <w:t xml:space="preserve">RFS, </w:t>
      </w:r>
      <w:r>
        <w:rPr>
          <w:rFonts w:ascii="Arial" w:hAnsi="Arial" w:eastAsia="宋体" w:cs="Arial"/>
          <w:bCs/>
          <w:sz w:val="20"/>
          <w:szCs w:val="20"/>
          <w:lang w:bidi="ar"/>
        </w:rPr>
        <w:t>recurrence-free survival.</w:t>
      </w: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  <w:r>
        <w:drawing>
          <wp:inline distT="0" distB="0" distL="114300" distR="114300">
            <wp:extent cx="5392420" cy="2220595"/>
            <wp:effectExtent l="0" t="0" r="1778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242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eastAsia="宋体" w:cs="Arial"/>
          <w:sz w:val="20"/>
          <w:szCs w:val="20"/>
          <w:lang w:bidi="ar"/>
        </w:rPr>
      </w:pPr>
      <w:r>
        <w:rPr>
          <w:rFonts w:ascii="Arial" w:hAnsi="Arial" w:eastAsia="宋体" w:cs="Arial"/>
          <w:b/>
          <w:bCs/>
          <w:sz w:val="20"/>
          <w:szCs w:val="20"/>
          <w:lang w:bidi="ar"/>
        </w:rPr>
        <w:t>Figure S3:</w:t>
      </w:r>
      <w:r>
        <w:rPr>
          <w:rFonts w:ascii="Arial" w:hAnsi="Arial" w:eastAsia="宋体" w:cs="Arial"/>
          <w:sz w:val="20"/>
          <w:szCs w:val="20"/>
          <w:lang w:bidi="ar"/>
        </w:rPr>
        <w:t xml:space="preserve"> The Clinical nomogram to estimate RFS. </w:t>
      </w: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  <w:r>
        <w:rPr>
          <w:rFonts w:ascii="Arial" w:hAnsi="Arial" w:eastAsia="Times New Roman" w:cs="Arial"/>
          <w:b/>
          <w:sz w:val="20"/>
          <w:szCs w:val="20"/>
          <w:lang w:bidi="ar"/>
        </w:rPr>
        <w:t xml:space="preserve">Abbreviations: </w:t>
      </w:r>
      <w:r>
        <w:rPr>
          <w:rFonts w:ascii="Arial" w:hAnsi="Arial" w:eastAsia="宋体" w:cs="Arial"/>
          <w:sz w:val="20"/>
          <w:szCs w:val="20"/>
          <w:lang w:bidi="ar"/>
        </w:rPr>
        <w:t xml:space="preserve">RFS, </w:t>
      </w:r>
      <w:r>
        <w:rPr>
          <w:rFonts w:ascii="Arial" w:hAnsi="Arial" w:eastAsia="宋体" w:cs="Arial"/>
          <w:bCs/>
          <w:sz w:val="20"/>
          <w:szCs w:val="20"/>
          <w:lang w:bidi="ar"/>
        </w:rPr>
        <w:t>recurrence-free survival; MVI, microvascular invasion.</w:t>
      </w: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  <w:r>
        <w:drawing>
          <wp:inline distT="0" distB="0" distL="114300" distR="114300">
            <wp:extent cx="5386705" cy="1758315"/>
            <wp:effectExtent l="0" t="0" r="4445" b="1333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86705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left"/>
        <w:rPr>
          <w:rFonts w:ascii="Arial" w:hAnsi="Arial" w:eastAsia="宋体" w:cs="Arial"/>
          <w:sz w:val="20"/>
          <w:szCs w:val="20"/>
          <w:lang w:bidi="ar"/>
        </w:rPr>
      </w:pPr>
      <w:r>
        <w:rPr>
          <w:rFonts w:ascii="Arial" w:hAnsi="Arial" w:eastAsia="宋体" w:cs="Arial"/>
          <w:b/>
          <w:bCs/>
          <w:sz w:val="20"/>
          <w:szCs w:val="20"/>
          <w:lang w:bidi="ar"/>
        </w:rPr>
        <w:t>Figure S4:</w:t>
      </w:r>
      <w:r>
        <w:rPr>
          <w:rFonts w:ascii="Arial" w:hAnsi="Arial" w:eastAsia="宋体" w:cs="Arial"/>
          <w:sz w:val="20"/>
          <w:szCs w:val="20"/>
          <w:lang w:bidi="ar"/>
        </w:rPr>
        <w:t xml:space="preserve"> The calibration curves for the clinical nomogram. (A) the training cohort; (B) the internal validation cohort; (C) the external validation cohort.</w:t>
      </w:r>
    </w:p>
    <w:p>
      <w:pPr>
        <w:spacing w:line="480" w:lineRule="auto"/>
        <w:jc w:val="left"/>
        <w:rPr>
          <w:rFonts w:ascii="Arial" w:hAnsi="Arial" w:eastAsia="宋体" w:cs="Arial"/>
          <w:sz w:val="20"/>
          <w:szCs w:val="20"/>
          <w:lang w:bidi="ar"/>
        </w:rPr>
      </w:pPr>
      <w:r>
        <w:rPr>
          <w:rFonts w:ascii="Arial" w:hAnsi="Arial" w:eastAsia="Times New Roman" w:cs="Arial"/>
          <w:b/>
          <w:sz w:val="20"/>
          <w:szCs w:val="20"/>
          <w:lang w:bidi="ar"/>
        </w:rPr>
        <w:t xml:space="preserve">Abbreviations: </w:t>
      </w:r>
      <w:r>
        <w:rPr>
          <w:rFonts w:ascii="Arial" w:hAnsi="Arial" w:eastAsia="宋体" w:cs="Arial"/>
          <w:sz w:val="20"/>
          <w:szCs w:val="20"/>
          <w:lang w:bidi="ar"/>
        </w:rPr>
        <w:t xml:space="preserve">RFS, </w:t>
      </w:r>
      <w:r>
        <w:rPr>
          <w:rFonts w:ascii="Arial" w:hAnsi="Arial" w:eastAsia="宋体" w:cs="Arial"/>
          <w:bCs/>
          <w:sz w:val="20"/>
          <w:szCs w:val="20"/>
          <w:lang w:bidi="ar"/>
        </w:rPr>
        <w:t>recurrence-free survival.</w:t>
      </w:r>
    </w:p>
    <w:p>
      <w:pPr>
        <w:spacing w:line="480" w:lineRule="auto"/>
        <w:jc w:val="left"/>
        <w:rPr>
          <w:rFonts w:ascii="Arial" w:hAnsi="Arial" w:eastAsia="宋体" w:cs="Arial"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Table S1:</w:t>
      </w:r>
      <w:r>
        <w:rPr>
          <w:rFonts w:ascii="Arial" w:hAnsi="Arial" w:cs="Arial"/>
          <w:sz w:val="20"/>
          <w:szCs w:val="20"/>
        </w:rPr>
        <w:t xml:space="preserve"> CT protocols of the two institutions</w:t>
      </w:r>
    </w:p>
    <w:tbl>
      <w:tblPr>
        <w:tblStyle w:val="7"/>
        <w:tblW w:w="11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1832"/>
        <w:gridCol w:w="1895"/>
        <w:gridCol w:w="1868"/>
        <w:gridCol w:w="1930"/>
        <w:gridCol w:w="1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2" w:type="dxa"/>
            <w:tcBorders>
              <w:top w:val="single" w:color="000000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Parameters</w:t>
            </w:r>
          </w:p>
        </w:tc>
        <w:tc>
          <w:tcPr>
            <w:tcW w:w="5595" w:type="dxa"/>
            <w:gridSpan w:val="3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</w:t>
            </w:r>
            <w:r>
              <w:rPr>
                <w:rFonts w:hint="eastAsia" w:ascii="Arial" w:hAnsi="Arial" w:cs="Arial"/>
                <w:sz w:val="20"/>
                <w:szCs w:val="20"/>
              </w:rPr>
              <w:t xml:space="preserve"> I</w:t>
            </w:r>
          </w:p>
        </w:tc>
        <w:tc>
          <w:tcPr>
            <w:tcW w:w="3886" w:type="dxa"/>
            <w:gridSpan w:val="2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</w:t>
            </w:r>
            <w:r>
              <w:rPr>
                <w:rFonts w:hint="eastAsia" w:ascii="Arial" w:hAnsi="Arial" w:cs="Arial"/>
                <w:sz w:val="20"/>
                <w:szCs w:val="20"/>
              </w:rPr>
              <w:t xml:space="preserve"> 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2" w:type="dxa"/>
            <w:tcBorders>
              <w:top w:val="nil"/>
              <w:left w:val="nil"/>
              <w:bottom w:val="single" w:color="000000" w:sz="6" w:space="0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Sir Run Run Shaw Hospital,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Zhejiang University School of Medicine</w:t>
            </w:r>
          </w:p>
        </w:tc>
        <w:tc>
          <w:tcPr>
            <w:tcW w:w="3886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bCs/>
                <w:sz w:val="20"/>
                <w:szCs w:val="20"/>
              </w:rPr>
              <w:t>he First Affiliated Hospital of Wenzhou Medical University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2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>
            <w:pPr>
              <w:spacing w:line="9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CT version</w:t>
            </w:r>
          </w:p>
        </w:tc>
        <w:tc>
          <w:tcPr>
            <w:tcW w:w="1832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64-slice spiral CT </w:t>
            </w:r>
          </w:p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(GE LightSpeedVCT, Waukesha,</w:t>
            </w:r>
          </w:p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Wisconsin, USA)</w:t>
            </w:r>
          </w:p>
        </w:tc>
        <w:tc>
          <w:tcPr>
            <w:tcW w:w="1895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40-slice spiral CT</w:t>
            </w:r>
          </w:p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(Siemens SOMATOM Definition AS 40, Forchheim, Germany)</w:t>
            </w:r>
          </w:p>
        </w:tc>
        <w:tc>
          <w:tcPr>
            <w:tcW w:w="1868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96-slice spiral CT (Siemens Sensation16,</w:t>
            </w:r>
          </w:p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Forchheim, Germany)</w:t>
            </w:r>
          </w:p>
        </w:tc>
        <w:tc>
          <w:tcPr>
            <w:tcW w:w="1930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256-slice spiral CT</w:t>
            </w:r>
          </w:p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(Philips Healthcare, The Netherlands)</w:t>
            </w:r>
          </w:p>
        </w:tc>
        <w:tc>
          <w:tcPr>
            <w:tcW w:w="1956" w:type="dxa"/>
            <w:tcBorders>
              <w:top w:val="single" w:color="000000" w:sz="6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16-slice spiral CT (Toshiba Medical Systems, Tokyo, Japan)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CT tube voltage</w:t>
            </w:r>
            <w:r>
              <w:rPr>
                <w:rFonts w:hint="eastAsia" w:ascii="Arial" w:hAnsi="Arial" w:cs="Arial"/>
                <w:sz w:val="20"/>
                <w:szCs w:val="20"/>
              </w:rPr>
              <w:t xml:space="preserve"> (kVp)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CT tube current</w:t>
            </w:r>
            <w:r>
              <w:rPr>
                <w:rFonts w:hint="eastAsia" w:ascii="Arial" w:hAnsi="Arial" w:cs="Arial"/>
                <w:sz w:val="20"/>
                <w:szCs w:val="20"/>
              </w:rPr>
              <w:t xml:space="preserve"> (mAs)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CT rotation time</w:t>
            </w:r>
            <w:r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  <w:t xml:space="preserve"> (s)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Bolus-tracking threshold (aorta)</w:t>
            </w:r>
            <w:r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  <w:t xml:space="preserve"> (HU)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Image matrix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512×512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512×512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512×512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512×512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512×512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pixel spacing</w:t>
            </w:r>
            <w:r>
              <w:rPr>
                <w:rFonts w:hint="eastAsia" w:ascii="Arial" w:hAnsi="Arial" w:eastAsia="宋体" w:cs="Arial"/>
                <w:color w:val="000000"/>
                <w:sz w:val="20"/>
                <w:szCs w:val="20"/>
              </w:rPr>
              <w:t xml:space="preserve"> (mm)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0.81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Slice thickness(mm)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2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 w:val="20"/>
                <w:szCs w:val="20"/>
              </w:rPr>
              <w:t>Reconstruction interval (mm)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95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68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56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>
      <w:pPr>
        <w:rPr>
          <w:rFonts w:ascii="Arial" w:hAnsi="Arial" w:cs="Arial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p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Table S2:</w:t>
      </w:r>
      <w:r>
        <w:rPr>
          <w:rFonts w:ascii="Arial" w:hAnsi="Arial" w:cs="Arial"/>
        </w:rPr>
        <w:t xml:space="preserve"> </w:t>
      </w:r>
      <w:bookmarkStart w:id="4" w:name="OLE_LINK100"/>
      <w:bookmarkStart w:id="5" w:name="OLE_LINK101"/>
      <w:r>
        <w:rPr>
          <w:rFonts w:ascii="Arial" w:hAnsi="Arial" w:cs="Arial"/>
          <w:sz w:val="20"/>
          <w:szCs w:val="20"/>
        </w:rPr>
        <w:t xml:space="preserve">Imaging features selected for the construction of </w:t>
      </w:r>
      <w:r>
        <w:rPr>
          <w:rFonts w:hint="eastAsia" w:ascii="Arial" w:hAnsi="Arial" w:cs="Arial"/>
          <w:sz w:val="20"/>
          <w:szCs w:val="20"/>
        </w:rPr>
        <w:t>radio</w:t>
      </w:r>
      <w:r>
        <w:rPr>
          <w:rFonts w:ascii="Arial" w:hAnsi="Arial" w:cs="Arial"/>
          <w:sz w:val="20"/>
          <w:szCs w:val="20"/>
        </w:rPr>
        <w:t xml:space="preserve">mics </w:t>
      </w:r>
      <w:r>
        <w:rPr>
          <w:rFonts w:hint="eastAsia" w:ascii="Arial" w:hAnsi="Arial" w:cs="Arial"/>
          <w:sz w:val="20"/>
          <w:szCs w:val="20"/>
        </w:rPr>
        <w:t>model</w:t>
      </w:r>
      <w:bookmarkEnd w:id="4"/>
      <w:bookmarkEnd w:id="5"/>
    </w:p>
    <w:tbl>
      <w:tblPr>
        <w:tblStyle w:val="6"/>
        <w:tblpPr w:leftFromText="180" w:rightFromText="180" w:vertAnchor="text" w:tblpX="70" w:tblpY="1"/>
        <w:tblOverlap w:val="never"/>
        <w:tblW w:w="89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155"/>
        <w:gridCol w:w="1020"/>
        <w:gridCol w:w="5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3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Phase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Region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Features number</w:t>
            </w:r>
          </w:p>
        </w:tc>
        <w:tc>
          <w:tcPr>
            <w:tcW w:w="54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Features selected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9" w:hRule="atLeast"/>
        </w:trPr>
        <w:tc>
          <w:tcPr>
            <w:tcW w:w="130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 xml:space="preserve">       Pre-contrast phase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Tumor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54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(1) original glszm Zone Entropy;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(2) original ngtdm Coarseness;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 xml:space="preserve">(3) wavelet-HHH-glcm Cluster Shade;   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(4) wavelet-HHL-glszm-Gray Level Non-Uniformity;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(5) wavelet-HHL-glszm Size Zone Non-Uniformity;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(6) wavelet-HLL-first order Mean;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(7) wavelet-HLL-glcm Cluster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Tendency;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(8) wavelet-HLL-glcm Imc1;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(9) wavelet-LHL-glrlm Long Run Emphasis;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(10) wavelet-LHL-glszm Zone Entropy;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 xml:space="preserve">(11) wavelet-LLH-gldm Large Dependence Low Gray Level Emphasis;  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 xml:space="preserve">(12) wavelet-LLL-glcm Cluster Prominence; 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(13) wavelet-LLL-glcm Cluster Shade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0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bookmarkStart w:id="6" w:name="OLE_LINK102"/>
            <w:bookmarkStart w:id="7" w:name="OLE_LINK103"/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Peritumor</w:t>
            </w:r>
            <w:bookmarkEnd w:id="6"/>
            <w:bookmarkEnd w:id="7"/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54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 xml:space="preserve">(1) original shape Surface Volume Ratio;   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 xml:space="preserve">(2) wavelet-HHH-glcm Cluster Shade; 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(3) wavelet-HHL-glszm Size Zone Non-Uniformity;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(4) wavelet-HLL-first order 10 Percentile;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(5) wavelet-HLL-first order Uniformity;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(6) wavelet-HLL-glcm Sum Entropy;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(7) wavelet-HLL-glszm Zone Percentage;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(8) wavelet-LLH-first order Minimum;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(9) wavelet-LLH-glcm Correlation;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(10) wavelet-LLH-gldm Large Dependence Low Gray Level Emphasis;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(11) wavelet-LLL-first order Skewness;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(12) wavelet-LLL-glcm Cluster Prominence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Arterial phase</w:t>
            </w:r>
          </w:p>
        </w:tc>
        <w:tc>
          <w:tcPr>
            <w:tcW w:w="11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Tumor</w:t>
            </w:r>
          </w:p>
        </w:tc>
        <w:tc>
          <w:tcPr>
            <w:tcW w:w="10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548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(1) original glszm Low Gray Level Zone Emphasis;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(2) original glszm Zone Entropy;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(3) original ngtdm Contrast;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(4) wavelet-HHL-glszm Gray Level Non-Uniformity;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(5) wavelet-HLL-first order Mean;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(6) wavelet-HLL-first order Median;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(7) wavelet-HLL-glcm Cluster Tendency;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(8) wavelet-HLL-glcm Imc1;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(9) wavelet-LHL-glszm Zone Entropy;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(10) wavelet-LLH-gldm Small Dependence Low Gray Level Emphasis;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(11) wavelet-LLL-ngtdm Busyness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Peritumor</w:t>
            </w:r>
          </w:p>
        </w:tc>
        <w:tc>
          <w:tcPr>
            <w:tcW w:w="10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548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(1) original first order Median;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 xml:space="preserve">(2) original glszm Large Area Low Gray Level </w:t>
            </w:r>
            <w:bookmarkStart w:id="8" w:name="_GoBack"/>
            <w:bookmarkEnd w:id="8"/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Emphasis;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(3) original shape Surface Volume Ratio;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(4) wavelet-HHL-glszm Size Zone Non-Uniformity;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(5) wavelet-HLL-glcm Sum Entropy;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(6) wavelet-LLH-glcm Joint Average;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(7) wavelet-LLH-glcm Sum Average;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(8) wavelet-LLH-gldm Small Dependence Low Gray Level Emphasis;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(9) wavelet-LLL-gldm Small Dependence Low Gray Level Emphasis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Portal venous phase</w:t>
            </w:r>
          </w:p>
        </w:tc>
        <w:tc>
          <w:tcPr>
            <w:tcW w:w="11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Tumor</w:t>
            </w:r>
          </w:p>
        </w:tc>
        <w:tc>
          <w:tcPr>
            <w:tcW w:w="10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548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(1) original first order Skewness;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(2) original glszm GrayLevelNonUniformityNormalized;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(3) wavelet-HHH-glcm Cluster Shade;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(4) wavelet-HHH-glszm Zone Percentage;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(5) wavelet-HHH-ngtdm Busyness;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(6) wavelet-HHL-glszm Size Zone Non-Uniformity;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(7) wavelet-HLH-glcm Maximum Probability;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(8) wavelet-HLL-first order Mean;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(9) wavelet-HLL-first order Median;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(10) wavelet-HLL-glrlm Gray Level Variance;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(11) wavelet-HLL-ngtdm Strength;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(12) wavelet-LHH-first order Median;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 xml:space="preserve">(13) wavelet-LHH-glcm Imc1; 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(14) wavelet-LHH-glszm Small Area Low Gray Level Emphasis;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(15) wavelet-LHL-glcm Idn;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(16) wavelet-LHL-glcm Maximum Probability;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(17) wavelet-LHL-gldm Small Dependence Low Gray Level Emphasis;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(18) wavelet-LHL-glszm Gray Level Variance;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(19) wavelet-LLH-glcm Difference Entropy;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(20) wavelet-LLL-first order Skewness;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(21) wavelet-LLL-glszm Large Area Low Gray Level Emphasis;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(22) wavelet-LLL-glszm Zone Percentage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Peritumor</w:t>
            </w:r>
          </w:p>
        </w:tc>
        <w:tc>
          <w:tcPr>
            <w:tcW w:w="10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548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(1) original gldm Small Dependence Low Gray Level Emphasis;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(2) original ngtdm Coarseness;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(3) original shape Surface Volume Ratio;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(4) wavelet-HHH-glcm Cluster Shade;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(5) wavelet-HHH-glszm Zone Percentage;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(6) wavelet-HHL-glszm Size Zone Non-Uniformity;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(7) wavelet-HLL-first order Entropy;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(8) wavelet-LHH-glcm Cluster Prominence;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(9) wavelet-LHH-glcm Difference Entropy;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(10) wavelet-LHH-glszm Small Area Low Gray Level Emphasis;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(11) wavelet-LHL-glcm Maximum Probability;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(12) wavelet-LLL-glcm Cluster Prominence;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(13) wavelet-LLL-glszm Large Area Low Gray Level Emphasis;</w:t>
            </w:r>
          </w:p>
          <w:p>
            <w:pPr>
              <w:widowControl/>
              <w:wordWrap w:val="0"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(14) wavelet-LLL-glszm Zone Percentage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548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</w:tbl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rPr>
          <w:rFonts w:ascii="Arial" w:hAnsi="Arial" w:cs="Arial"/>
          <w:sz w:val="20"/>
          <w:szCs w:val="20"/>
        </w:rPr>
      </w:pPr>
    </w:p>
    <w:p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Table S3: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eastAsia="宋体" w:cs="Arial"/>
          <w:color w:val="000000"/>
          <w:kern w:val="0"/>
          <w:sz w:val="20"/>
          <w:szCs w:val="20"/>
          <w:lang w:bidi="ar"/>
        </w:rPr>
        <w:t>Univariate Cox regression analysis of predictors of recurrence in the training cohort</w:t>
      </w:r>
    </w:p>
    <w:tbl>
      <w:tblPr>
        <w:tblStyle w:val="6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1368"/>
        <w:gridCol w:w="2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Characteristics</w:t>
            </w:r>
          </w:p>
        </w:tc>
        <w:tc>
          <w:tcPr>
            <w:tcW w:w="1368" w:type="dxa"/>
            <w:tcBorders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  <w:tc>
          <w:tcPr>
            <w:tcW w:w="2718" w:type="dxa"/>
            <w:tcBorders>
              <w:left w:val="nil"/>
              <w:bottom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>HR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single" w:color="000000" w:sz="6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FF000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bidi="ar"/>
              </w:rPr>
              <w:t>Age, years</w:t>
            </w:r>
          </w:p>
        </w:tc>
        <w:tc>
          <w:tcPr>
            <w:tcW w:w="1368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0.191</w:t>
            </w:r>
          </w:p>
        </w:tc>
        <w:tc>
          <w:tcPr>
            <w:tcW w:w="2718" w:type="dxa"/>
            <w:tcBorders>
              <w:top w:val="single" w:color="000000" w:sz="6" w:space="0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0.99(0.97-1.01)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Gender (male, female)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0.831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0.93(0.46-1.86)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Liver cirrhosis (no, yes)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0.576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1.15(0.71-1.86)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Etiology (Unknown/Other, HBV)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0.391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1.27(0.74-2.17)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AFP, ng/mL (≤200, &gt;200)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0.377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1.23(0.78-1.93)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ALT, U/mL (≤50, &gt;50)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0.201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1.35(0.85-2.14)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AST, U/mL (≤40, &gt;40)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0.626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1.12(0.71-1.75)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ALB, g/L (≤36, &gt;36)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0.956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0.99(0.58-1.67)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GGT, U/L (≤45, &gt;45)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0.201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0.75(0.48-1.17)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TB, µmol/L (≤19, &gt;19)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0.79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0.94(0.6-1.48)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CB, µmol/L (≤6.8, &gt;6.8)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0.386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0.79(0.46-1.35)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PLT, ×10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9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/L (≤100, &gt;100)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0.138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0.7(0.44-1.12)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PT, seconds (≤13, &gt;13)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0.972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0.99(0.6-1.63)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INR (≤1, &gt;1)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0.269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1.4(0.77-2.54)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Child-Pugh grade (A, B or C)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0.677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1.14(0.62-2.11)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ALBI grade (1, 2 or 3)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 xml:space="preserve">0.800 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1.06(0.68-1.66)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bidi="ar"/>
              </w:rPr>
              <w:t>BCLC classification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0.221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1.73(0.72-4.17)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A1 or B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0.009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3.13(1.32-7.41)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bidi="ar"/>
              </w:rPr>
              <w:t>MVI (Negative, Positive)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2.88(1.82-4.56)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Edmondson grade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>0.174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II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0.257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1.37(0.79-2.38)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III/IV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0.057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1.81(0.98-3.32)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Tumor number (Solitary, Multiple)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0.067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1.99(0.95-4.15)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bidi="ar"/>
              </w:rPr>
              <w:t xml:space="preserve">Tumor size, cm (≤5.0, 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bidi="ar"/>
              </w:rPr>
              <w:t>&gt;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  <w:lang w:bidi="ar"/>
              </w:rPr>
              <w:t>5.0)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0.003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1.94(1.24-3.03)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Tumor growth pattern</w:t>
            </w:r>
          </w:p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(intrahepatic growth, extrahepatic growth)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0.191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1.46(0.83-2.57)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Tumor margin (smooth, non–smooth)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0.481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1.18(0.74-1.89)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Capsule appearance (incomplete, complete)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0.346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0.75(0.41-1.36)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Intratumor hemorrhage (Absent, Present)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0.096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1.69(0.91-3.13)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Intratumoral necrosis (Absent, Present)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0.182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1.37(0.86-2.16)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bidi="ar"/>
              </w:rPr>
              <w:t xml:space="preserve">Arterial peritumoral enhancement </w:t>
            </w:r>
          </w:p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bidi="ar"/>
              </w:rPr>
              <w:t>(Absent, Present)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2.22(1.38-3.59)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bidi="ar"/>
              </w:rPr>
              <w:t xml:space="preserve">Radiogenomic venous invasion  </w:t>
            </w:r>
          </w:p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bidi="ar"/>
              </w:rPr>
              <w:t>(Negative, Positive)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0.043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1.59(1.01-2.48)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19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kern w:val="0"/>
                <w:sz w:val="20"/>
                <w:szCs w:val="20"/>
                <w:lang w:bidi="ar"/>
              </w:rPr>
              <w:t>Rad-score</w:t>
            </w:r>
          </w:p>
        </w:tc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2718" w:type="dxa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2.72(2.28-3.25)</w:t>
            </w:r>
          </w:p>
        </w:tc>
      </w:tr>
    </w:tbl>
    <w:p>
      <w:pPr>
        <w:rPr>
          <w:rFonts w:ascii="Arial" w:hAnsi="Arial" w:eastAsia="Times New Roman" w:cs="Arial"/>
          <w:b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  <w:r>
        <w:rPr>
          <w:rFonts w:ascii="Arial" w:hAnsi="Arial" w:eastAsia="Times New Roman" w:cs="Arial"/>
          <w:b/>
          <w:sz w:val="20"/>
          <w:szCs w:val="20"/>
          <w:lang w:bidi="ar"/>
        </w:rPr>
        <w:t xml:space="preserve">Abbreviations: </w:t>
      </w:r>
      <w:r>
        <w:rPr>
          <w:rFonts w:ascii="Arial" w:hAnsi="Arial" w:eastAsia="宋体" w:cs="Arial"/>
          <w:sz w:val="20"/>
          <w:szCs w:val="20"/>
          <w:lang w:bidi="ar"/>
        </w:rPr>
        <w:t xml:space="preserve">HR, hazard ratio; </w:t>
      </w:r>
      <w:r>
        <w:rPr>
          <w:rFonts w:ascii="Arial" w:hAnsi="Arial" w:eastAsia="宋体" w:cs="Arial"/>
          <w:bCs/>
          <w:sz w:val="20"/>
          <w:szCs w:val="20"/>
          <w:lang w:bidi="ar"/>
        </w:rPr>
        <w:t>AFP, alpha-fetoprotein; ALT, alanine aminotransferase; AST, aspartate aminotransferase; ALB, albumin; GGT, glutamyl transpeptidase; TB, total bilirubin; CB; conjugated bilirubin; PLT, platelet count; PT, prothrombin time; INR, international normalized ratio; ALBI, albumin-bilirubin; BCLC, Barcelona Clinic Liver Cancer; MVI, microvascular invasion; Rad-score, radiomics score.</w:t>
      </w: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eastAsia="宋体" w:cs="Arial"/>
          <w:bCs/>
          <w:sz w:val="20"/>
          <w:szCs w:val="20"/>
          <w:lang w:bidi="ar"/>
        </w:rPr>
      </w:pPr>
      <w:r>
        <w:rPr>
          <w:rFonts w:ascii="Arial" w:hAnsi="Arial" w:eastAsia="宋体" w:cs="Arial"/>
          <w:b/>
          <w:bCs/>
          <w:color w:val="000000"/>
          <w:kern w:val="0"/>
          <w:sz w:val="20"/>
          <w:szCs w:val="20"/>
          <w:lang w:bidi="ar"/>
        </w:rPr>
        <w:t>Table S4:</w:t>
      </w:r>
      <w:r>
        <w:rPr>
          <w:rFonts w:ascii="Arial" w:hAnsi="Arial" w:eastAsia="宋体" w:cs="Arial"/>
          <w:color w:val="000000"/>
          <w:kern w:val="0"/>
          <w:sz w:val="20"/>
          <w:szCs w:val="20"/>
          <w:lang w:bidi="ar"/>
        </w:rPr>
        <w:t xml:space="preserve"> Univariate and multivariate Cox regression analysis of predictors of recurrence in the training cohort</w:t>
      </w:r>
    </w:p>
    <w:tbl>
      <w:tblPr>
        <w:tblStyle w:val="6"/>
        <w:tblpPr w:leftFromText="180" w:rightFromText="180" w:vertAnchor="text" w:horzAnchor="page" w:tblpX="1262" w:tblpY="285"/>
        <w:tblOverlap w:val="never"/>
        <w:tblW w:w="96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1590"/>
        <w:gridCol w:w="840"/>
        <w:gridCol w:w="1650"/>
        <w:gridCol w:w="915"/>
        <w:gridCol w:w="1620"/>
        <w:gridCol w:w="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115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2430" w:type="dxa"/>
            <w:gridSpan w:val="2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231F2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231F20"/>
                <w:kern w:val="0"/>
                <w:sz w:val="20"/>
                <w:szCs w:val="20"/>
                <w:lang w:bidi="ar"/>
              </w:rPr>
              <w:t>Univariate Cox Regression Analysis</w:t>
            </w:r>
          </w:p>
        </w:tc>
        <w:tc>
          <w:tcPr>
            <w:tcW w:w="5120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Multivariate Cox Regression Analysis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1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gridSpan w:val="2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231F20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231F2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231F20"/>
                <w:kern w:val="0"/>
                <w:sz w:val="20"/>
                <w:szCs w:val="20"/>
                <w:lang w:bidi="ar"/>
              </w:rPr>
              <w:t>Clinical Model</w:t>
            </w:r>
          </w:p>
        </w:tc>
        <w:tc>
          <w:tcPr>
            <w:tcW w:w="2555" w:type="dxa"/>
            <w:gridSpan w:val="2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231F2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231F20"/>
                <w:kern w:val="0"/>
                <w:sz w:val="20"/>
                <w:szCs w:val="20"/>
                <w:lang w:bidi="ar"/>
              </w:rPr>
              <w:t>Combined Model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15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231F2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231F20"/>
                <w:kern w:val="0"/>
                <w:sz w:val="20"/>
                <w:szCs w:val="20"/>
                <w:lang w:bidi="ar"/>
              </w:rPr>
              <w:t>HR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i/>
                <w:iCs/>
                <w:color w:val="231F20"/>
                <w:sz w:val="20"/>
                <w:szCs w:val="20"/>
              </w:rPr>
            </w:pPr>
            <w:r>
              <w:rPr>
                <w:rStyle w:val="10"/>
                <w:rFonts w:ascii="Arial" w:hAnsi="Arial" w:eastAsia="宋体" w:cs="Arial"/>
                <w:sz w:val="20"/>
                <w:szCs w:val="20"/>
                <w:lang w:bidi="ar"/>
              </w:rPr>
              <w:t>P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231F2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231F20"/>
                <w:kern w:val="0"/>
                <w:sz w:val="20"/>
                <w:szCs w:val="20"/>
                <w:lang w:bidi="ar"/>
              </w:rPr>
              <w:t>HR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i/>
                <w:iCs/>
                <w:color w:val="231F20"/>
                <w:sz w:val="20"/>
                <w:szCs w:val="20"/>
              </w:rPr>
            </w:pPr>
            <w:r>
              <w:rPr>
                <w:rStyle w:val="10"/>
                <w:rFonts w:ascii="Arial" w:hAnsi="Arial" w:eastAsia="宋体" w:cs="Arial"/>
                <w:sz w:val="20"/>
                <w:szCs w:val="20"/>
                <w:lang w:bidi="ar"/>
              </w:rPr>
              <w:t>P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231F2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231F20"/>
                <w:kern w:val="0"/>
                <w:sz w:val="20"/>
                <w:szCs w:val="20"/>
                <w:lang w:bidi="ar"/>
              </w:rPr>
              <w:t>HR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i/>
                <w:iCs/>
                <w:color w:val="231F20"/>
                <w:sz w:val="20"/>
                <w:szCs w:val="20"/>
              </w:rPr>
            </w:pPr>
            <w:r>
              <w:rPr>
                <w:rStyle w:val="10"/>
                <w:rFonts w:ascii="Arial" w:hAnsi="Arial" w:eastAsia="宋体" w:cs="Arial"/>
                <w:sz w:val="20"/>
                <w:szCs w:val="20"/>
                <w:lang w:bidi="ar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MVI</w:t>
            </w:r>
          </w:p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 xml:space="preserve"> (Negative, Positive)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2.88(1.82-4.56)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2.65(1.66-4.23)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2.25(1.39-3.63)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 xml:space="preserve">Arterial peritumoral enhancement </w:t>
            </w:r>
          </w:p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 xml:space="preserve"> (Absent, Present)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2.22(1.38-3.59)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0.001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1.96(1.20-3.20)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0.007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 xml:space="preserve">Radiogenomic venous invasion </w:t>
            </w:r>
          </w:p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 xml:space="preserve"> (Negative, Positive)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1.59(1.01-2.48)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0.043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Tumor size, cm</w:t>
            </w:r>
          </w:p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 xml:space="preserve"> (≤5.0, 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&gt;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5.0)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1.94(1.24-3.03)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0.003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BCLC classification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Reference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1.73(0.72-4.17)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0.221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A1 or B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3.13(1.32-7.41)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0.009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Rad-score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2.72(2.28-3.25)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2.88(2.35-3.53)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Arial" w:hAnsi="Arial" w:eastAsia="宋体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  <w:lang w:bidi="ar"/>
              </w:rPr>
              <w:t>&lt;0.001</w:t>
            </w:r>
          </w:p>
        </w:tc>
      </w:tr>
    </w:tbl>
    <w:p>
      <w:pPr>
        <w:rPr>
          <w:rFonts w:ascii="Arial" w:hAnsi="Arial" w:eastAsia="宋体" w:cs="Arial"/>
          <w:bCs/>
          <w:sz w:val="20"/>
          <w:szCs w:val="20"/>
          <w:lang w:bidi="ar"/>
        </w:rPr>
      </w:pPr>
    </w:p>
    <w:p>
      <w:pPr>
        <w:spacing w:line="480" w:lineRule="auto"/>
        <w:rPr>
          <w:rFonts w:ascii="Arial" w:hAnsi="Arial" w:cs="Arial"/>
        </w:rPr>
      </w:pPr>
      <w:r>
        <w:rPr>
          <w:rFonts w:ascii="Arial" w:hAnsi="Arial" w:eastAsia="Times New Roman" w:cs="Arial"/>
          <w:b/>
          <w:sz w:val="20"/>
          <w:szCs w:val="20"/>
          <w:lang w:bidi="ar"/>
        </w:rPr>
        <w:t xml:space="preserve">Abbreviations: </w:t>
      </w:r>
      <w:r>
        <w:rPr>
          <w:rFonts w:ascii="Arial" w:hAnsi="Arial" w:eastAsia="Times New Roman" w:cs="Arial"/>
          <w:bCs/>
          <w:sz w:val="20"/>
          <w:szCs w:val="20"/>
          <w:lang w:bidi="ar"/>
        </w:rPr>
        <w:t xml:space="preserve">HR, </w:t>
      </w:r>
      <w:r>
        <w:rPr>
          <w:rFonts w:ascii="Arial" w:hAnsi="Arial" w:eastAsia="宋体" w:cs="Arial"/>
          <w:sz w:val="20"/>
          <w:szCs w:val="20"/>
          <w:lang w:bidi="ar"/>
        </w:rPr>
        <w:t>hazard ratio;</w:t>
      </w:r>
      <w:r>
        <w:rPr>
          <w:rFonts w:ascii="Arial" w:hAnsi="Arial" w:eastAsia="Times New Roman" w:cs="Arial"/>
          <w:b/>
          <w:sz w:val="20"/>
          <w:szCs w:val="20"/>
          <w:lang w:bidi="ar"/>
        </w:rPr>
        <w:t xml:space="preserve"> </w:t>
      </w:r>
      <w:r>
        <w:rPr>
          <w:rFonts w:ascii="Arial" w:hAnsi="Arial" w:eastAsia="宋体" w:cs="Arial"/>
          <w:bCs/>
          <w:sz w:val="20"/>
          <w:szCs w:val="20"/>
          <w:lang w:bidi="ar"/>
        </w:rPr>
        <w:t>MVI, microvascular invasion; BCLC, Barcelona Clinic Liver Cancer; Rad-score, radiomics score.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0NWEwZTY2OTg1OTBhZmRmMzI3YTg5ZGU5YjNlZmUifQ=="/>
    <w:docVar w:name="KY_MEDREF_DOCUID" w:val="{0C32D38E-8A8D-4085-A0DF-5BB4DFF8C55C}"/>
    <w:docVar w:name="KY_MEDREF_VERSION" w:val="3"/>
  </w:docVars>
  <w:rsids>
    <w:rsidRoot w:val="19D73C0F"/>
    <w:rsid w:val="000B7EB2"/>
    <w:rsid w:val="001D2947"/>
    <w:rsid w:val="002863C4"/>
    <w:rsid w:val="00334278"/>
    <w:rsid w:val="003A051A"/>
    <w:rsid w:val="004C2D24"/>
    <w:rsid w:val="004D579A"/>
    <w:rsid w:val="0056370A"/>
    <w:rsid w:val="005D5100"/>
    <w:rsid w:val="005E6CBA"/>
    <w:rsid w:val="007478F0"/>
    <w:rsid w:val="00942C4A"/>
    <w:rsid w:val="009C05C1"/>
    <w:rsid w:val="009E01FA"/>
    <w:rsid w:val="00AC31F8"/>
    <w:rsid w:val="00AD3456"/>
    <w:rsid w:val="00B7546A"/>
    <w:rsid w:val="00CC3DCE"/>
    <w:rsid w:val="00CE296D"/>
    <w:rsid w:val="00D16A6C"/>
    <w:rsid w:val="00D34A4D"/>
    <w:rsid w:val="00D7147A"/>
    <w:rsid w:val="00E72531"/>
    <w:rsid w:val="00EE0628"/>
    <w:rsid w:val="00F43D69"/>
    <w:rsid w:val="038E2ECE"/>
    <w:rsid w:val="09825A6F"/>
    <w:rsid w:val="15553252"/>
    <w:rsid w:val="17C312B5"/>
    <w:rsid w:val="19D73C0F"/>
    <w:rsid w:val="2BF35068"/>
    <w:rsid w:val="31717AA8"/>
    <w:rsid w:val="3D530494"/>
    <w:rsid w:val="4F7D28DF"/>
    <w:rsid w:val="59925DE8"/>
    <w:rsid w:val="75DF7F61"/>
    <w:rsid w:val="7A87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rPr>
      <w:sz w:val="2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annotation subject"/>
    <w:basedOn w:val="2"/>
    <w:next w:val="2"/>
    <w:link w:val="14"/>
    <w:qFormat/>
    <w:uiPriority w:val="0"/>
    <w:rPr>
      <w:b/>
      <w:bCs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qFormat/>
    <w:uiPriority w:val="0"/>
    <w:rPr>
      <w:sz w:val="16"/>
      <w:szCs w:val="16"/>
    </w:rPr>
  </w:style>
  <w:style w:type="character" w:customStyle="1" w:styleId="10">
    <w:name w:val="font21"/>
    <w:basedOn w:val="8"/>
    <w:qFormat/>
    <w:uiPriority w:val="0"/>
    <w:rPr>
      <w:rFonts w:hint="default" w:ascii="Times New Roman" w:hAnsi="Times New Roman" w:cs="Times New Roman"/>
      <w:i/>
      <w:iCs/>
      <w:color w:val="231F20"/>
      <w:sz w:val="24"/>
      <w:szCs w:val="24"/>
      <w:u w:val="none"/>
    </w:rPr>
  </w:style>
  <w:style w:type="character" w:customStyle="1" w:styleId="11">
    <w:name w:val="font31"/>
    <w:basedOn w:val="8"/>
    <w:qFormat/>
    <w:uiPriority w:val="0"/>
    <w:rPr>
      <w:rFonts w:hint="default" w:ascii="Times New Roman" w:hAnsi="Times New Roman" w:cs="Times New Roman"/>
      <w:color w:val="231F20"/>
      <w:sz w:val="24"/>
      <w:szCs w:val="24"/>
      <w:u w:val="none"/>
    </w:rPr>
  </w:style>
  <w:style w:type="paragraph" w:customStyle="1" w:styleId="1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3">
    <w:name w:val="批注文字 字符"/>
    <w:basedOn w:val="8"/>
    <w:link w:val="2"/>
    <w:qFormat/>
    <w:uiPriority w:val="0"/>
    <w:rPr>
      <w:rFonts w:asciiTheme="minorHAnsi" w:hAnsiTheme="minorHAnsi" w:eastAsiaTheme="minorEastAsia" w:cstheme="minorBidi"/>
      <w:kern w:val="2"/>
      <w:lang w:val="en-US"/>
    </w:rPr>
  </w:style>
  <w:style w:type="character" w:customStyle="1" w:styleId="14">
    <w:name w:val="批注主题 字符"/>
    <w:basedOn w:val="13"/>
    <w:link w:val="5"/>
    <w:qFormat/>
    <w:uiPriority w:val="0"/>
    <w:rPr>
      <w:rFonts w:asciiTheme="minorHAnsi" w:hAnsiTheme="minorHAnsi" w:eastAsiaTheme="minorEastAsia" w:cstheme="minorBidi"/>
      <w:b/>
      <w:bCs/>
      <w:kern w:val="2"/>
      <w:lang w:val="en-US"/>
    </w:rPr>
  </w:style>
  <w:style w:type="paragraph" w:styleId="15">
    <w:name w:val="List Paragraph"/>
    <w:basedOn w:val="1"/>
    <w:qFormat/>
    <w:uiPriority w:val="99"/>
    <w:pPr>
      <w:ind w:left="720"/>
      <w:contextualSpacing/>
    </w:pPr>
  </w:style>
  <w:style w:type="paragraph" w:customStyle="1" w:styleId="16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1045</Words>
  <Characters>7342</Characters>
  <Lines>62</Lines>
  <Paragraphs>17</Paragraphs>
  <TotalTime>4</TotalTime>
  <ScaleCrop>false</ScaleCrop>
  <LinksUpToDate>false</LinksUpToDate>
  <CharactersWithSpaces>8084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2022-04-27T06:32:00Z</dcterms:created>
  <dc:creator>wang fang</dc:creator>
  <cp:lastModifiedBy>wang fang</cp:lastModifiedBy>
  <dcterms:modified xsi:type="dcterms:W3CDTF">2022-04-28T13:42:16Z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6C790BB9D5BD4C1FA888F61CCD830E44</vt:lpwstr>
  </property>
  <property fmtid="{D5CDD505-2E9C-101B-9397-08002B2CF9AE}" pid="4" name="commondata">
    <vt:lpwstr>eyJoZGlkIjoiZmE0NWEwZTY2OTg1OTBhZmRmMzI3YTg5ZGU5YjNlZmUifQ==</vt:lpwstr>
  </property>
</Properties>
</file>