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Arial" w:hAnsi="Arial" w:cs="Arial"/>
          <w:b/>
          <w:bCs/>
          <w:color w:val="auto"/>
          <w:sz w:val="28"/>
          <w:szCs w:val="28"/>
          <w:highlight w:val="none"/>
          <w:lang w:val="en-US" w:eastAsia="zh-CN"/>
        </w:rPr>
      </w:pPr>
      <w:r>
        <w:rPr>
          <w:rFonts w:hint="default" w:ascii="Arial" w:hAnsi="Arial" w:cs="Arial"/>
          <w:b/>
          <w:color w:val="auto"/>
          <w:sz w:val="28"/>
          <w:szCs w:val="36"/>
        </w:rPr>
        <w:t>Supplementary Information</w:t>
      </w:r>
    </w:p>
    <w:p>
      <w:pPr>
        <w:spacing w:line="480" w:lineRule="auto"/>
        <w:jc w:val="center"/>
        <w:outlineLvl w:val="0"/>
        <w:rPr>
          <w:rFonts w:hint="default" w:ascii="Arial" w:hAnsi="Arial" w:cs="Arial"/>
          <w:b/>
          <w:color w:val="auto"/>
        </w:rPr>
      </w:pPr>
    </w:p>
    <w:p>
      <w:pPr>
        <w:spacing w:line="480" w:lineRule="auto"/>
        <w:jc w:val="both"/>
        <w:outlineLvl w:val="0"/>
        <w:rPr>
          <w:rFonts w:hint="default" w:ascii="Arial" w:hAnsi="Arial" w:cs="Arial"/>
          <w:b/>
          <w:color w:val="auto"/>
          <w:sz w:val="22"/>
          <w:szCs w:val="28"/>
        </w:rPr>
      </w:pPr>
      <w:r>
        <w:rPr>
          <w:rFonts w:hint="default" w:ascii="Arial" w:hAnsi="Arial" w:cs="Arial"/>
          <w:b/>
          <w:color w:val="auto"/>
          <w:sz w:val="22"/>
          <w:szCs w:val="28"/>
        </w:rPr>
        <w:t>Supplementary Methods:</w:t>
      </w:r>
    </w:p>
    <w:p>
      <w:pPr>
        <w:spacing w:line="480" w:lineRule="auto"/>
        <w:outlineLvl w:val="0"/>
        <w:rPr>
          <w:rFonts w:hint="default" w:ascii="Arial" w:hAnsi="Arial" w:cs="Arial"/>
          <w:b/>
          <w:color w:val="auto"/>
        </w:rPr>
      </w:pPr>
      <w:r>
        <w:rPr>
          <w:rFonts w:hint="default" w:ascii="Arial" w:hAnsi="Arial" w:cs="Arial"/>
          <w:b/>
          <w:color w:val="auto"/>
          <w:sz w:val="22"/>
          <w:szCs w:val="28"/>
        </w:rPr>
        <w:t>The Details of Polysomnography</w:t>
      </w:r>
    </w:p>
    <w:p>
      <w:pPr>
        <w:spacing w:line="480" w:lineRule="auto"/>
        <w:rPr>
          <w:rFonts w:hint="default" w:ascii="Arial" w:hAnsi="Arial" w:cs="Arial"/>
          <w:color w:val="auto"/>
          <w:spacing w:val="-4"/>
          <w:sz w:val="20"/>
          <w:szCs w:val="22"/>
        </w:rPr>
      </w:pPr>
      <w:bookmarkStart w:id="0" w:name="OLE_LINK4"/>
      <w:r>
        <w:rPr>
          <w:rFonts w:hint="default" w:ascii="Arial" w:hAnsi="Arial" w:eastAsia="Times New Roman" w:cs="Arial"/>
          <w:color w:val="auto"/>
          <w:sz w:val="20"/>
          <w:szCs w:val="22"/>
        </w:rPr>
        <w:t>The study was conducted in an accredited sleep laboratory. In the sleep lab, the sleep schedule was regulated, with a “lights-out” time of 12:00 pm and a “lights-on” time of 8:00 am. Participants were not permitted to sleep before lights-out time or sleep past lights-on time. Polysomnography (PSG) consisted of electroencephalograms (C4-A1, O2-A1), right and left electrooculograms, electrocardiogram (ECG), submental and anterior tibial electromyograms, thoracic and abdominal respiratory movements, pulse oxygen saturation, end-tidal and transcutaneous carbon dioxide, oronasal airflow, and nasal pressure. Studies were recorded on an E-series Sleep System (Compumedics, Melbourne, VIC, Australia) and included digital video and audio monitoring</w:t>
      </w:r>
      <w:r>
        <w:rPr>
          <w:rFonts w:hint="default" w:ascii="Arial" w:hAnsi="Arial" w:cs="Arial"/>
          <w:color w:val="auto"/>
          <w:spacing w:val="-4"/>
          <w:sz w:val="20"/>
          <w:szCs w:val="22"/>
        </w:rPr>
        <w:t xml:space="preserve">. </w:t>
      </w:r>
    </w:p>
    <w:p>
      <w:pPr>
        <w:spacing w:line="480" w:lineRule="auto"/>
        <w:rPr>
          <w:rFonts w:hint="default" w:ascii="Arial" w:hAnsi="Arial" w:cs="Arial"/>
          <w:color w:val="auto"/>
          <w:sz w:val="20"/>
          <w:szCs w:val="22"/>
        </w:rPr>
      </w:pPr>
      <w:r>
        <w:rPr>
          <w:rFonts w:hint="default" w:ascii="Arial" w:hAnsi="Arial" w:cs="Arial"/>
          <w:color w:val="auto"/>
          <w:spacing w:val="-4"/>
          <w:sz w:val="20"/>
          <w:szCs w:val="22"/>
        </w:rPr>
        <w:t xml:space="preserve">Studies were scored at a </w:t>
      </w:r>
      <w:r>
        <w:rPr>
          <w:rFonts w:hint="default" w:ascii="Arial" w:hAnsi="Arial" w:cs="Arial"/>
          <w:color w:val="auto"/>
          <w:sz w:val="20"/>
          <w:szCs w:val="22"/>
        </w:rPr>
        <w:t>centralized sleep reading center (</w:t>
      </w:r>
      <w:bookmarkStart w:id="1" w:name="OLE_LINK3"/>
      <w:r>
        <w:rPr>
          <w:rFonts w:hint="default" w:ascii="Arial" w:hAnsi="Arial" w:cs="Arial"/>
          <w:color w:val="auto"/>
          <w:sz w:val="20"/>
          <w:szCs w:val="22"/>
        </w:rPr>
        <w:t>People’s Hospital of Xinjiang Uygur Autonomous Region, Urumqi, Xinjiang, China</w:t>
      </w:r>
      <w:bookmarkEnd w:id="1"/>
      <w:r>
        <w:rPr>
          <w:rFonts w:hint="default" w:ascii="Arial" w:hAnsi="Arial" w:cs="Arial"/>
          <w:color w:val="auto"/>
          <w:sz w:val="20"/>
          <w:szCs w:val="22"/>
        </w:rPr>
        <w:t>) by registered polysomnographic technologists. Sleep and arousals were staged using standard criteria</w:t>
      </w:r>
      <w:r>
        <w:rPr>
          <w:rFonts w:hint="eastAsia" w:ascii="Arial" w:hAnsi="Arial" w:cs="Arial"/>
          <w:color w:val="auto"/>
          <w:sz w:val="20"/>
          <w:szCs w:val="22"/>
          <w:lang w:val="en-US" w:eastAsia="zh-CN"/>
        </w:rPr>
        <w:t xml:space="preserve"> </w:t>
      </w:r>
      <w:r>
        <w:rPr>
          <w:rFonts w:hint="default" w:ascii="Arial" w:hAnsi="Arial" w:cs="Arial"/>
          <w:color w:val="auto"/>
          <w:sz w:val="20"/>
          <w:szCs w:val="22"/>
        </w:rPr>
        <w:fldChar w:fldCharType="begin"/>
      </w:r>
      <w:r>
        <w:rPr>
          <w:rFonts w:hint="default" w:ascii="Arial" w:hAnsi="Arial" w:cs="Arial"/>
          <w:color w:val="auto"/>
          <w:sz w:val="20"/>
          <w:szCs w:val="22"/>
        </w:rPr>
        <w:instrText xml:space="preserve"> ADDIN EN.CITE &lt;EndNote&gt;&lt;Cite&gt;&lt;Author&gt;Berry&lt;/Author&gt;&lt;Year&gt;2017&lt;/Year&gt;&lt;RecNum&gt;349&lt;/RecNum&gt;&lt;DisplayText&gt;&lt;style face="superscript"&gt;1&lt;/style&gt;&lt;/DisplayText&gt;&lt;record&gt;&lt;rec-number&gt;349&lt;/rec-number&gt;&lt;foreign-keys&gt;&lt;key app="EN" db-id="ftxp0w9aww9preevvxwpp9terp0de0v9avpt" timestamp="1542332620"&gt;349&lt;/key&gt;&lt;/foreign-keys&gt;&lt;ref-type name="Journal Article"&gt;17&lt;/ref-type&gt;&lt;contributors&gt;&lt;authors&gt;&lt;author&gt;Berry, R. B.&lt;/author&gt;&lt;author&gt;Brooks, R.&lt;/author&gt;&lt;author&gt;Gamaldo, C.&lt;/author&gt;&lt;author&gt;Harding, S. M.&lt;/author&gt;&lt;author&gt;Lloyd, R. M.&lt;/author&gt;&lt;author&gt;Quan, S. F.&lt;/author&gt;&lt;author&gt;Troester, M. T.&lt;/author&gt;&lt;author&gt;Vaughn, B. V.&lt;/author&gt;&lt;/authors&gt;&lt;/contributors&gt;&lt;auth-address&gt;University of Florida, Gainesville, Florida.&amp;#xD;Capital Health, Hamilton, New Jersey.&amp;#xD;Johns Hopkins University, Baltimore, Maryland.&amp;#xD;University of Alabama at Birmingham, Birmingham, Alabama.&amp;#xD;Mayo Clinic, Rochester, Minnesota.&amp;#xD;Brigham and Women&amp;apos;s Hospital and Harvard Medical School, Boston, Massachusetts.&amp;#xD;University of Arizona College of Medicine, Tucson, Arizona.&amp;#xD;Phoenix Children&amp;apos;s Hospital, Phoenix, Arizona.&amp;#xD;University of North Carolina, Chapel Hill, North Carolina.&lt;/auth-address&gt;&lt;titles&gt;&lt;title&gt;AASM Scoring Manual Updates for 2017 (Version 2.4)&lt;/title&gt;&lt;secondary-title&gt;J Clin Sleep Med&lt;/secondary-title&gt;&lt;/titles&gt;&lt;periodical&gt;&lt;full-title&gt;J Clin Sleep Med&lt;/full-title&gt;&lt;/periodical&gt;&lt;pages&gt;665-666&lt;/pages&gt;&lt;volume&gt;13&lt;/volume&gt;&lt;number&gt;5&lt;/number&gt;&lt;edition&gt;2017/04/19&lt;/edition&gt;&lt;dates&gt;&lt;year&gt;2017&lt;/year&gt;&lt;pub-dates&gt;&lt;date&gt;May 15&lt;/date&gt;&lt;/pub-dates&gt;&lt;/dates&gt;&lt;isbn&gt;1550-9397 (Electronic)&amp;#xD;1550-9389 (Linking)&lt;/isbn&gt;&lt;accession-num&gt;28416048&lt;/accession-num&gt;&lt;urls&gt;&lt;related-urls&gt;&lt;url&gt;https://www.ncbi.nlm.nih.gov/pubmed/28416048&lt;/url&gt;&lt;/related-urls&gt;&lt;/urls&gt;&lt;custom2&gt;PMC5406946&lt;/custom2&gt;&lt;electronic-resource-num&gt;10.5664/jcsm.6576&lt;/electronic-resource-num&gt;&lt;/record&gt;&lt;/Cite&gt;&lt;/EndNote&gt;</w:instrText>
      </w:r>
      <w:r>
        <w:rPr>
          <w:rFonts w:hint="default" w:ascii="Arial" w:hAnsi="Arial" w:cs="Arial"/>
          <w:color w:val="auto"/>
          <w:sz w:val="20"/>
          <w:szCs w:val="22"/>
        </w:rPr>
        <w:fldChar w:fldCharType="separate"/>
      </w:r>
      <w:r>
        <w:rPr>
          <w:rFonts w:hint="default" w:ascii="Arial" w:hAnsi="Arial" w:cs="Arial"/>
          <w:color w:val="auto"/>
          <w:sz w:val="20"/>
          <w:szCs w:val="22"/>
          <w:vertAlign w:val="superscript"/>
        </w:rPr>
        <w:t>1</w:t>
      </w:r>
      <w:r>
        <w:rPr>
          <w:rFonts w:hint="default" w:ascii="Arial" w:hAnsi="Arial" w:cs="Arial"/>
          <w:color w:val="auto"/>
          <w:sz w:val="20"/>
          <w:szCs w:val="22"/>
        </w:rPr>
        <w:fldChar w:fldCharType="end"/>
      </w:r>
      <w:r>
        <w:rPr>
          <w:rFonts w:hint="default" w:ascii="Arial" w:hAnsi="Arial" w:cs="Arial"/>
          <w:color w:val="auto"/>
          <w:sz w:val="20"/>
          <w:szCs w:val="22"/>
        </w:rPr>
        <w:t>.</w:t>
      </w:r>
      <w:r>
        <w:rPr>
          <w:rFonts w:hint="eastAsia" w:ascii="Arial" w:hAnsi="Arial" w:cs="Arial"/>
          <w:color w:val="auto"/>
          <w:sz w:val="20"/>
          <w:szCs w:val="22"/>
          <w:lang w:val="en-US" w:eastAsia="zh-CN"/>
        </w:rPr>
        <w:t xml:space="preserve"> </w:t>
      </w:r>
      <w:r>
        <w:rPr>
          <w:rFonts w:hint="default" w:ascii="Arial" w:hAnsi="Arial" w:cs="Arial"/>
          <w:color w:val="auto"/>
          <w:sz w:val="20"/>
          <w:szCs w:val="22"/>
        </w:rPr>
        <w:t xml:space="preserve">Sleep stages were scored using 30-s epochs according to Rechtschaffen and Kales criteria </w:t>
      </w:r>
      <w:r>
        <w:rPr>
          <w:rFonts w:hint="eastAsia" w:ascii="Arial" w:hAnsi="Arial" w:cs="Arial"/>
          <w:color w:val="auto"/>
          <w:sz w:val="20"/>
          <w:szCs w:val="22"/>
          <w:vertAlign w:val="superscript"/>
          <w:lang w:val="en-US" w:eastAsia="zh-CN"/>
        </w:rPr>
        <w:t>2</w:t>
      </w:r>
      <w:r>
        <w:rPr>
          <w:rFonts w:hint="default" w:ascii="Arial" w:hAnsi="Arial" w:cs="Arial"/>
          <w:color w:val="auto"/>
          <w:sz w:val="20"/>
          <w:szCs w:val="22"/>
          <w:vertAlign w:val="superscript"/>
        </w:rPr>
        <w:t xml:space="preserve">, </w:t>
      </w:r>
      <w:r>
        <w:rPr>
          <w:rFonts w:hint="eastAsia" w:ascii="Arial" w:hAnsi="Arial" w:cs="Arial"/>
          <w:color w:val="auto"/>
          <w:sz w:val="20"/>
          <w:szCs w:val="22"/>
          <w:vertAlign w:val="superscript"/>
          <w:lang w:val="en-US" w:eastAsia="zh-CN"/>
        </w:rPr>
        <w:t>3</w:t>
      </w:r>
      <w:r>
        <w:rPr>
          <w:rFonts w:hint="default" w:ascii="Arial" w:hAnsi="Arial" w:cs="Arial"/>
          <w:color w:val="auto"/>
          <w:sz w:val="20"/>
          <w:szCs w:val="22"/>
        </w:rPr>
        <w:t xml:space="preserve">, and sleep architecture variables were noted as percent total sleep time for stages NREM 1, NREM 2, NREM 3, and REM sleep. Arousals were scored according to published guidelines and summarized as the total number of arousals per hour of sleep (arousal index) </w:t>
      </w:r>
      <w:r>
        <w:rPr>
          <w:rFonts w:hint="eastAsia" w:ascii="Arial" w:hAnsi="Arial" w:cs="Arial"/>
          <w:color w:val="auto"/>
          <w:sz w:val="20"/>
          <w:szCs w:val="22"/>
          <w:vertAlign w:val="superscript"/>
          <w:lang w:val="en-US" w:eastAsia="zh-CN"/>
        </w:rPr>
        <w:t>4</w:t>
      </w:r>
      <w:r>
        <w:rPr>
          <w:rFonts w:hint="default" w:ascii="Arial" w:hAnsi="Arial" w:cs="Arial"/>
          <w:color w:val="auto"/>
          <w:sz w:val="20"/>
          <w:szCs w:val="22"/>
        </w:rPr>
        <w:t>.</w:t>
      </w:r>
    </w:p>
    <w:p>
      <w:pPr>
        <w:spacing w:line="480" w:lineRule="auto"/>
        <w:rPr>
          <w:rFonts w:hint="default" w:ascii="Arial" w:hAnsi="Arial" w:cs="Arial"/>
          <w:b/>
          <w:bCs/>
          <w:color w:val="auto"/>
          <w:sz w:val="20"/>
          <w:szCs w:val="20"/>
          <w:highlight w:val="none"/>
          <w:lang w:val="en-US" w:eastAsia="zh-CN"/>
        </w:rPr>
      </w:pPr>
      <w:r>
        <w:rPr>
          <w:rFonts w:hint="default" w:ascii="Arial" w:hAnsi="Arial" w:cs="Arial"/>
          <w:color w:val="auto"/>
          <w:sz w:val="20"/>
          <w:szCs w:val="22"/>
        </w:rPr>
        <w:t>To enable the calculation of alternative definitions of the apnea-hypopnea index (AHI), respiratory events were initially identified by changes in signal amplitude only. Specifically, apneas were identified as complete reductions in the thermocouple signal for ≥10 seconds and hypopneas as approximately 30% reductions in the nasal pressure or inductance signals for ≥10 seconds. Each event was annotated as to its associated oxygen saturation nadir and whether it resulted in an EEG arousal.</w:t>
      </w:r>
      <w:r>
        <w:rPr>
          <w:rFonts w:hint="default" w:ascii="Arial" w:hAnsi="Arial" w:eastAsia="Times New Roman" w:cs="Arial"/>
          <w:color w:val="auto"/>
          <w:sz w:val="20"/>
          <w:szCs w:val="22"/>
        </w:rPr>
        <w:t xml:space="preserve"> Supplement Table S1 provides definitions for the </w:t>
      </w:r>
      <w:r>
        <w:rPr>
          <w:rFonts w:hint="default" w:ascii="Arial" w:hAnsi="Arial" w:cs="Arial"/>
          <w:color w:val="auto"/>
          <w:sz w:val="20"/>
          <w:szCs w:val="22"/>
        </w:rPr>
        <w:t>main AHI derivations.</w:t>
      </w:r>
    </w:p>
    <w:bookmarkEnd w:id="0"/>
    <w:p>
      <w:pPr>
        <w:spacing w:line="480" w:lineRule="auto"/>
        <w:rPr>
          <w:rFonts w:hint="default" w:ascii="Arial" w:hAnsi="Arial" w:cs="Arial"/>
          <w:b/>
          <w:bCs/>
          <w:color w:val="auto"/>
          <w:sz w:val="20"/>
          <w:szCs w:val="20"/>
          <w:highlight w:val="none"/>
          <w:lang w:val="en-US" w:eastAsia="zh-CN"/>
        </w:rPr>
      </w:pPr>
    </w:p>
    <w:p>
      <w:pPr>
        <w:outlineLvl w:val="0"/>
        <w:rPr>
          <w:rFonts w:ascii="Arial" w:hAnsi="Arial" w:cs="Arial"/>
          <w:b w:val="0"/>
          <w:bCs/>
          <w:color w:val="auto"/>
          <w:sz w:val="20"/>
          <w:szCs w:val="20"/>
        </w:rPr>
      </w:pPr>
      <w:r>
        <w:rPr>
          <w:rFonts w:ascii="Arial" w:hAnsi="Arial" w:cs="Arial"/>
          <w:b/>
          <w:color w:val="auto"/>
          <w:sz w:val="20"/>
          <w:szCs w:val="20"/>
        </w:rPr>
        <w:t xml:space="preserve">Table S1. </w:t>
      </w:r>
      <w:r>
        <w:rPr>
          <w:rFonts w:ascii="Arial" w:hAnsi="Arial" w:cs="Arial"/>
          <w:b w:val="0"/>
          <w:bCs/>
          <w:color w:val="auto"/>
          <w:sz w:val="20"/>
          <w:szCs w:val="20"/>
        </w:rPr>
        <w:t>Definitions of respiratory events.</w:t>
      </w:r>
    </w:p>
    <w:tbl>
      <w:tblPr>
        <w:tblStyle w:val="5"/>
        <w:tblW w:w="1083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15" w:type="dxa"/>
          <w:bottom w:w="0" w:type="dxa"/>
          <w:right w:w="115" w:type="dxa"/>
        </w:tblCellMar>
      </w:tblPr>
      <w:tblGrid>
        <w:gridCol w:w="1236"/>
        <w:gridCol w:w="960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565" w:hRule="atLeast"/>
          <w:jc w:val="center"/>
        </w:trPr>
        <w:tc>
          <w:tcPr>
            <w:tcW w:w="1236" w:type="dxa"/>
            <w:tcBorders>
              <w:bottom w:val="single" w:color="auto" w:sz="12" w:space="0"/>
            </w:tcBorders>
            <w:vAlign w:val="center"/>
          </w:tcPr>
          <w:p>
            <w:pPr>
              <w:widowControl w:val="0"/>
              <w:jc w:val="both"/>
              <w:rPr>
                <w:rFonts w:ascii="Arial" w:hAnsi="Arial" w:cs="Arial"/>
                <w:b w:val="0"/>
                <w:bCs/>
                <w:color w:val="auto"/>
                <w:sz w:val="20"/>
                <w:szCs w:val="20"/>
              </w:rPr>
            </w:pPr>
            <w:r>
              <w:rPr>
                <w:rFonts w:ascii="Arial" w:hAnsi="Arial" w:eastAsia="Calibri" w:cs="Arial"/>
                <w:b w:val="0"/>
                <w:bCs/>
                <w:color w:val="auto"/>
                <w:sz w:val="20"/>
                <w:szCs w:val="20"/>
              </w:rPr>
              <w:t>Term</w:t>
            </w:r>
          </w:p>
        </w:tc>
        <w:tc>
          <w:tcPr>
            <w:tcW w:w="9603" w:type="dxa"/>
            <w:tcBorders>
              <w:bottom w:val="single" w:color="auto" w:sz="12" w:space="0"/>
            </w:tcBorders>
            <w:vAlign w:val="center"/>
          </w:tcPr>
          <w:p>
            <w:pPr>
              <w:widowControl w:val="0"/>
              <w:jc w:val="both"/>
              <w:rPr>
                <w:rFonts w:ascii="Arial" w:hAnsi="Arial" w:cs="Arial"/>
                <w:b w:val="0"/>
                <w:bCs/>
                <w:color w:val="auto"/>
                <w:sz w:val="20"/>
                <w:szCs w:val="20"/>
              </w:rPr>
            </w:pPr>
            <w:r>
              <w:rPr>
                <w:rFonts w:ascii="Arial" w:hAnsi="Arial" w:eastAsia="Calibri" w:cs="Arial"/>
                <w:b w:val="0"/>
                <w:bCs/>
                <w:color w:val="auto"/>
                <w:sz w:val="20"/>
                <w:szCs w:val="20"/>
              </w:rPr>
              <w:t>Definition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1120" w:hRule="atLeast"/>
          <w:jc w:val="center"/>
        </w:trPr>
        <w:tc>
          <w:tcPr>
            <w:tcW w:w="1236" w:type="dxa"/>
            <w:tcBorders>
              <w:top w:val="single" w:color="auto" w:sz="12" w:space="0"/>
              <w:tl2br w:val="nil"/>
              <w:tr2bl w:val="nil"/>
            </w:tcBorders>
            <w:vAlign w:val="center"/>
          </w:tcPr>
          <w:p>
            <w:pPr>
              <w:widowControl w:val="0"/>
              <w:spacing w:line="360" w:lineRule="auto"/>
              <w:jc w:val="both"/>
              <w:textAlignment w:val="baseline"/>
              <w:rPr>
                <w:rFonts w:ascii="Arial" w:hAnsi="Arial" w:cs="Arial"/>
                <w:color w:val="auto"/>
                <w:sz w:val="20"/>
                <w:szCs w:val="20"/>
              </w:rPr>
            </w:pPr>
            <w:r>
              <w:rPr>
                <w:rFonts w:ascii="Arial" w:hAnsi="Arial" w:cs="Arial"/>
                <w:color w:val="auto"/>
                <w:sz w:val="20"/>
                <w:szCs w:val="20"/>
              </w:rPr>
              <w:t>Apnea</w:t>
            </w:r>
          </w:p>
        </w:tc>
        <w:tc>
          <w:tcPr>
            <w:tcW w:w="9603" w:type="dxa"/>
            <w:tcBorders>
              <w:top w:val="single" w:color="auto" w:sz="12" w:space="0"/>
              <w:tl2br w:val="nil"/>
              <w:tr2bl w:val="nil"/>
            </w:tcBorders>
            <w:vAlign w:val="center"/>
          </w:tcPr>
          <w:p>
            <w:pPr>
              <w:widowControl w:val="0"/>
              <w:jc w:val="both"/>
              <w:rPr>
                <w:rFonts w:hint="eastAsia" w:ascii="Arial" w:hAnsi="Arial" w:eastAsia="宋体" w:cs="Arial"/>
                <w:color w:val="auto"/>
                <w:sz w:val="20"/>
                <w:szCs w:val="20"/>
                <w:lang w:val="en-US" w:eastAsia="zh-CN"/>
              </w:rPr>
            </w:pPr>
            <w:r>
              <w:rPr>
                <w:rFonts w:hint="eastAsia" w:ascii="Arial" w:hAnsi="Arial" w:cs="Arial"/>
                <w:color w:val="auto"/>
                <w:sz w:val="20"/>
                <w:szCs w:val="20"/>
              </w:rPr>
              <w:t>Apnoea was defined as a 90% decrease in airflow lasting for at least 10 seconds</w:t>
            </w:r>
            <w:r>
              <w:rPr>
                <w:rFonts w:hint="eastAsia" w:cs="Arial"/>
                <w:color w:val="auto"/>
                <w:sz w:val="20"/>
                <w:szCs w:val="20"/>
                <w:lang w:val="en-US"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1120" w:hRule="atLeast"/>
          <w:jc w:val="center"/>
        </w:trPr>
        <w:tc>
          <w:tcPr>
            <w:tcW w:w="1236" w:type="dxa"/>
            <w:tcBorders>
              <w:tl2br w:val="nil"/>
              <w:tr2bl w:val="nil"/>
            </w:tcBorders>
            <w:vAlign w:val="center"/>
          </w:tcPr>
          <w:p>
            <w:pPr>
              <w:widowControl w:val="0"/>
              <w:spacing w:line="360" w:lineRule="auto"/>
              <w:jc w:val="both"/>
              <w:textAlignment w:val="baseline"/>
              <w:rPr>
                <w:rFonts w:ascii="Arial" w:hAnsi="Arial" w:cs="Arial"/>
                <w:color w:val="auto"/>
                <w:sz w:val="20"/>
                <w:szCs w:val="20"/>
              </w:rPr>
            </w:pPr>
            <w:r>
              <w:rPr>
                <w:rFonts w:ascii="Arial" w:hAnsi="Arial" w:cs="Arial"/>
                <w:color w:val="auto"/>
                <w:sz w:val="20"/>
                <w:szCs w:val="20"/>
              </w:rPr>
              <w:t>Hypopnea</w:t>
            </w:r>
          </w:p>
        </w:tc>
        <w:tc>
          <w:tcPr>
            <w:tcW w:w="9603" w:type="dxa"/>
            <w:tcBorders>
              <w:tl2br w:val="nil"/>
              <w:tr2bl w:val="nil"/>
            </w:tcBorders>
            <w:vAlign w:val="center"/>
          </w:tcPr>
          <w:p>
            <w:pPr>
              <w:widowControl w:val="0"/>
              <w:jc w:val="both"/>
              <w:rPr>
                <w:rFonts w:ascii="Arial" w:hAnsi="Arial" w:cs="Arial"/>
                <w:color w:val="auto"/>
                <w:sz w:val="20"/>
                <w:szCs w:val="20"/>
              </w:rPr>
            </w:pPr>
            <w:r>
              <w:rPr>
                <w:rFonts w:hint="eastAsia" w:ascii="Arial" w:hAnsi="Arial" w:cs="Arial"/>
                <w:color w:val="auto"/>
                <w:sz w:val="20"/>
                <w:szCs w:val="20"/>
              </w:rPr>
              <w:t xml:space="preserve">Hypopneas were defined by </w:t>
            </w:r>
            <w:r>
              <w:rPr>
                <w:rFonts w:hint="default" w:ascii="Arial" w:hAnsi="Arial" w:cs="Arial"/>
                <w:color w:val="auto"/>
                <w:sz w:val="20"/>
                <w:szCs w:val="20"/>
              </w:rPr>
              <w:t>≥</w:t>
            </w:r>
            <w:r>
              <w:rPr>
                <w:rFonts w:hint="eastAsia" w:ascii="Arial" w:hAnsi="Arial" w:cs="Arial"/>
                <w:color w:val="auto"/>
                <w:sz w:val="20"/>
                <w:szCs w:val="20"/>
              </w:rPr>
              <w:t xml:space="preserve"> 30% decrement in the amplitude of nasal pressure flow signal for at least 10 seconds, associated with a 4% arterial oxygen desaturation (with or without arousal).</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1129" w:hRule="atLeast"/>
          <w:jc w:val="center"/>
        </w:trPr>
        <w:tc>
          <w:tcPr>
            <w:tcW w:w="1236" w:type="dxa"/>
            <w:tcBorders>
              <w:tl2br w:val="nil"/>
              <w:tr2bl w:val="nil"/>
            </w:tcBorders>
            <w:vAlign w:val="center"/>
          </w:tcPr>
          <w:p>
            <w:pPr>
              <w:widowControl w:val="0"/>
              <w:spacing w:line="360" w:lineRule="auto"/>
              <w:jc w:val="both"/>
              <w:textAlignment w:val="baseline"/>
              <w:rPr>
                <w:rFonts w:ascii="Arial" w:hAnsi="Arial" w:cs="Arial"/>
                <w:color w:val="auto"/>
                <w:sz w:val="20"/>
                <w:szCs w:val="20"/>
              </w:rPr>
            </w:pPr>
            <w:r>
              <w:rPr>
                <w:rFonts w:ascii="Arial" w:hAnsi="Arial" w:cs="Arial"/>
                <w:color w:val="auto"/>
                <w:sz w:val="20"/>
                <w:szCs w:val="20"/>
              </w:rPr>
              <w:t>AHI</w:t>
            </w:r>
          </w:p>
        </w:tc>
        <w:tc>
          <w:tcPr>
            <w:tcW w:w="9603" w:type="dxa"/>
            <w:tcBorders>
              <w:tl2br w:val="nil"/>
              <w:tr2bl w:val="nil"/>
            </w:tcBorders>
            <w:vAlign w:val="center"/>
          </w:tcPr>
          <w:p>
            <w:pPr>
              <w:widowControl w:val="0"/>
              <w:jc w:val="both"/>
              <w:rPr>
                <w:rFonts w:ascii="Arial" w:hAnsi="Arial" w:cs="Arial"/>
                <w:color w:val="auto"/>
                <w:sz w:val="20"/>
                <w:szCs w:val="20"/>
              </w:rPr>
            </w:pPr>
            <w:r>
              <w:rPr>
                <w:rFonts w:ascii="Arial" w:hAnsi="Arial" w:cs="Arial"/>
                <w:color w:val="auto"/>
                <w:sz w:val="20"/>
                <w:szCs w:val="20"/>
              </w:rPr>
              <w:t>Apnea-hypopnea index = the number of apneas and hypopneas per hours of sleep</w:t>
            </w:r>
          </w:p>
        </w:tc>
      </w:tr>
    </w:tbl>
    <w:p>
      <w:pPr>
        <w:spacing w:line="480" w:lineRule="auto"/>
        <w:rPr>
          <w:rFonts w:hint="default" w:ascii="Arial" w:hAnsi="Arial" w:cs="Arial"/>
          <w:b/>
          <w:bCs/>
          <w:color w:val="auto"/>
          <w:sz w:val="20"/>
          <w:szCs w:val="20"/>
          <w:highlight w:val="none"/>
          <w:lang w:val="en-US" w:eastAsia="zh-CN"/>
        </w:rPr>
      </w:pPr>
    </w:p>
    <w:p>
      <w:pPr>
        <w:spacing w:line="480" w:lineRule="auto"/>
        <w:rPr>
          <w:rFonts w:hint="default" w:ascii="Arial" w:hAnsi="Arial" w:cs="Arial"/>
          <w:b/>
          <w:bCs/>
          <w:color w:val="auto"/>
          <w:sz w:val="20"/>
          <w:szCs w:val="20"/>
          <w:highlight w:val="none"/>
          <w:lang w:val="en-US" w:eastAsia="zh-CN"/>
        </w:rPr>
      </w:pPr>
    </w:p>
    <w:p>
      <w:pPr>
        <w:spacing w:line="480" w:lineRule="auto"/>
        <w:rPr>
          <w:rFonts w:hint="default" w:ascii="Arial" w:hAnsi="Arial" w:cs="Arial"/>
          <w:b/>
          <w:bCs/>
          <w:color w:val="auto"/>
          <w:sz w:val="21"/>
          <w:szCs w:val="21"/>
          <w:highlight w:val="none"/>
          <w:lang w:val="en-US" w:eastAsia="zh-CN"/>
        </w:rPr>
      </w:pPr>
    </w:p>
    <w:p>
      <w:pPr>
        <w:spacing w:line="480" w:lineRule="auto"/>
        <w:rPr>
          <w:rFonts w:hint="default" w:ascii="Arial" w:hAnsi="Arial" w:cs="Arial"/>
          <w:b/>
          <w:bCs/>
          <w:color w:val="auto"/>
          <w:sz w:val="21"/>
          <w:szCs w:val="21"/>
          <w:highlight w:val="none"/>
          <w:lang w:val="en-US" w:eastAsia="zh-CN"/>
        </w:rPr>
      </w:pPr>
    </w:p>
    <w:p>
      <w:pPr>
        <w:spacing w:line="480" w:lineRule="auto"/>
        <w:rPr>
          <w:rFonts w:hint="default" w:ascii="Arial" w:hAnsi="Arial" w:cs="Arial"/>
          <w:b/>
          <w:bCs/>
          <w:color w:val="auto"/>
          <w:sz w:val="21"/>
          <w:szCs w:val="21"/>
          <w:highlight w:val="none"/>
          <w:lang w:val="en-US" w:eastAsia="zh-CN"/>
        </w:rPr>
      </w:pPr>
    </w:p>
    <w:p>
      <w:pPr>
        <w:spacing w:line="480" w:lineRule="auto"/>
        <w:rPr>
          <w:rFonts w:hint="default" w:ascii="Arial" w:hAnsi="Arial" w:cs="Arial"/>
          <w:b/>
          <w:bCs/>
          <w:color w:val="auto"/>
          <w:sz w:val="21"/>
          <w:szCs w:val="21"/>
          <w:highlight w:val="none"/>
          <w:lang w:val="en-US" w:eastAsia="zh-CN"/>
        </w:rPr>
      </w:pPr>
    </w:p>
    <w:p>
      <w:pPr>
        <w:spacing w:line="480" w:lineRule="auto"/>
        <w:rPr>
          <w:rFonts w:hint="default" w:ascii="Arial" w:hAnsi="Arial" w:cs="Arial"/>
          <w:b/>
          <w:bCs/>
          <w:color w:val="auto"/>
          <w:sz w:val="21"/>
          <w:szCs w:val="21"/>
          <w:highlight w:val="none"/>
          <w:lang w:val="en-US" w:eastAsia="zh-CN"/>
        </w:rPr>
      </w:pPr>
    </w:p>
    <w:p>
      <w:pPr>
        <w:spacing w:line="480" w:lineRule="auto"/>
        <w:rPr>
          <w:rFonts w:hint="default" w:ascii="Arial" w:hAnsi="Arial" w:cs="Arial"/>
          <w:b/>
          <w:bCs/>
          <w:color w:val="auto"/>
          <w:sz w:val="21"/>
          <w:szCs w:val="21"/>
          <w:highlight w:val="none"/>
          <w:lang w:val="en-US" w:eastAsia="zh-CN"/>
        </w:rPr>
      </w:pPr>
    </w:p>
    <w:p>
      <w:pPr>
        <w:spacing w:line="360" w:lineRule="auto"/>
        <w:rPr>
          <w:rFonts w:hint="default" w:ascii="Arial" w:hAnsi="Arial" w:cs="Arial"/>
          <w:b w:val="0"/>
          <w:bCs w:val="0"/>
          <w:color w:val="auto"/>
          <w:sz w:val="20"/>
          <w:szCs w:val="20"/>
          <w:highlight w:val="none"/>
          <w:lang w:val="en-US" w:eastAsia="zh-CN"/>
        </w:rPr>
      </w:pPr>
      <w:r>
        <w:rPr>
          <w:rFonts w:hint="default" w:ascii="Arial" w:hAnsi="Arial" w:cs="Arial"/>
          <w:b/>
          <w:bCs/>
          <w:color w:val="auto"/>
          <w:sz w:val="20"/>
          <w:szCs w:val="20"/>
          <w:highlight w:val="none"/>
          <w:lang w:val="en-US" w:eastAsia="zh-CN"/>
        </w:rPr>
        <w:t>Table S</w:t>
      </w:r>
      <w:r>
        <w:rPr>
          <w:rFonts w:hint="eastAsia" w:ascii="Arial" w:hAnsi="Arial" w:cs="Arial"/>
          <w:b/>
          <w:bCs/>
          <w:color w:val="auto"/>
          <w:sz w:val="20"/>
          <w:szCs w:val="20"/>
          <w:highlight w:val="none"/>
          <w:lang w:val="en-US" w:eastAsia="zh-CN"/>
        </w:rPr>
        <w:t>2</w:t>
      </w:r>
      <w:r>
        <w:rPr>
          <w:rFonts w:hint="default" w:ascii="Arial" w:hAnsi="Arial" w:cs="Arial"/>
          <w:b/>
          <w:bCs/>
          <w:color w:val="auto"/>
          <w:sz w:val="20"/>
          <w:szCs w:val="20"/>
          <w:highlight w:val="none"/>
          <w:lang w:val="en-US" w:eastAsia="zh-CN"/>
        </w:rPr>
        <w:t xml:space="preserve"> </w:t>
      </w:r>
      <w:r>
        <w:rPr>
          <w:rFonts w:hint="default" w:ascii="Arial" w:hAnsi="Arial" w:cs="Arial"/>
          <w:b w:val="0"/>
          <w:bCs w:val="0"/>
          <w:color w:val="auto"/>
          <w:sz w:val="20"/>
          <w:szCs w:val="20"/>
          <w:highlight w:val="none"/>
          <w:lang w:val="en-US" w:eastAsia="zh-CN"/>
        </w:rPr>
        <w:t>The variance inflation factor (VIF) of all preliminary variables in the ordinary least squares (OLS) model.</w:t>
      </w:r>
    </w:p>
    <w:tbl>
      <w:tblPr>
        <w:tblStyle w:val="5"/>
        <w:tblpPr w:leftFromText="180" w:rightFromText="180" w:vertAnchor="text" w:horzAnchor="page" w:tblpXSpec="center" w:tblpY="431"/>
        <w:tblOverlap w:val="never"/>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8"/>
        <w:gridCol w:w="1510"/>
        <w:gridCol w:w="133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3878" w:type="dxa"/>
            <w:tcBorders>
              <w:bottom w:val="single" w:color="auto" w:sz="4" w:space="0"/>
            </w:tcBorders>
            <w:vAlign w:val="center"/>
          </w:tcPr>
          <w:p>
            <w:pPr>
              <w:keepNext w:val="0"/>
              <w:keepLines w:val="0"/>
              <w:widowControl/>
              <w:suppressLineNumbers w:val="0"/>
              <w:spacing w:line="360" w:lineRule="auto"/>
              <w:jc w:val="center"/>
              <w:textAlignment w:val="center"/>
              <w:rPr>
                <w:rFonts w:hint="default" w:ascii="Arial" w:hAnsi="Arial" w:eastAsia="宋体" w:cs="Arial"/>
                <w:i w:val="0"/>
                <w:iCs w:val="0"/>
                <w:color w:val="auto"/>
                <w:sz w:val="20"/>
                <w:szCs w:val="20"/>
                <w:u w:val="none"/>
                <w:lang w:val="en-US" w:eastAsia="zh-Hans" w:bidi="ar-SA"/>
              </w:rPr>
            </w:pPr>
            <w:r>
              <w:rPr>
                <w:rFonts w:hint="default" w:ascii="Arial" w:hAnsi="Arial" w:eastAsia="宋体" w:cs="Arial"/>
                <w:i w:val="0"/>
                <w:iCs w:val="0"/>
                <w:color w:val="auto"/>
                <w:kern w:val="0"/>
                <w:sz w:val="20"/>
                <w:szCs w:val="20"/>
                <w:u w:val="none"/>
                <w:lang w:val="en-US" w:eastAsia="zh-CN" w:bidi="ar"/>
              </w:rPr>
              <w:t>Variable</w:t>
            </w:r>
          </w:p>
        </w:tc>
        <w:tc>
          <w:tcPr>
            <w:tcW w:w="1510" w:type="dxa"/>
            <w:tcBorders>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Step 1</w:t>
            </w:r>
          </w:p>
        </w:tc>
        <w:tc>
          <w:tcPr>
            <w:tcW w:w="1331" w:type="dxa"/>
            <w:tcBorders>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Step 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3878" w:type="dxa"/>
            <w:tcBorders>
              <w:top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TyG-WC</w:t>
            </w:r>
          </w:p>
        </w:tc>
        <w:tc>
          <w:tcPr>
            <w:tcW w:w="1510" w:type="dxa"/>
            <w:tcBorders>
              <w:top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11.4</w:t>
            </w:r>
          </w:p>
        </w:tc>
        <w:tc>
          <w:tcPr>
            <w:tcW w:w="1331" w:type="dxa"/>
            <w:tcBorders>
              <w:top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bookmarkStart w:id="2" w:name="OLE_LINK1" w:colFirst="0" w:colLast="0"/>
            <w:r>
              <w:rPr>
                <w:rFonts w:hint="default" w:ascii="Arial" w:hAnsi="Arial" w:eastAsia="微软雅黑" w:cs="Arial"/>
                <w:caps w:val="0"/>
                <w:color w:val="auto"/>
                <w:spacing w:val="0"/>
                <w:kern w:val="0"/>
                <w:sz w:val="20"/>
                <w:szCs w:val="20"/>
                <w:lang w:val="en-US" w:eastAsia="zh-CN" w:bidi="ar"/>
              </w:rPr>
              <w:t>Gender</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2.8</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Age</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1.7</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eGFR</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2.7</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BMI</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3.1</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Diabetes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1.7</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Hans" w:bidi="ar-SA"/>
              </w:rPr>
            </w:pPr>
            <w:r>
              <w:rPr>
                <w:rFonts w:hint="default" w:ascii="Arial" w:hAnsi="Arial" w:eastAsia="微软雅黑" w:cs="Arial"/>
                <w:caps w:val="0"/>
                <w:color w:val="auto"/>
                <w:spacing w:val="0"/>
                <w:kern w:val="0"/>
                <w:sz w:val="20"/>
                <w:szCs w:val="20"/>
                <w:lang w:val="en-US" w:eastAsia="zh-CN" w:bidi="ar"/>
              </w:rPr>
              <w:t>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Smoking status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1.6</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Drinking status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1.4</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SBP</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2.2</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DBP</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2.5</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Cr</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5.3</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TC</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1.9</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TG</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4.5</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HDL-c</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1.4</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LDL-c</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1.7</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FPG</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2.6</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Hcy</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1.0</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AHI</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6.6</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Antihypertensive drugs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1.1</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3878" w:type="dxa"/>
            <w:vAlign w:val="center"/>
          </w:tcPr>
          <w:p>
            <w:pPr>
              <w:keepNext w:val="0"/>
              <w:keepLines w:val="0"/>
              <w:widowControl/>
              <w:suppressLineNumbers w:val="0"/>
              <w:spacing w:line="360" w:lineRule="auto"/>
              <w:jc w:val="center"/>
              <w:textAlignment w:val="center"/>
              <w:rPr>
                <w:rFonts w:hint="default" w:ascii="Arial" w:hAnsi="Arial" w:cs="Arial"/>
                <w:color w:val="auto"/>
                <w:sz w:val="20"/>
                <w:szCs w:val="20"/>
              </w:rPr>
            </w:pPr>
            <w:r>
              <w:rPr>
                <w:rFonts w:hint="default" w:ascii="Arial" w:hAnsi="Arial" w:eastAsia="宋体" w:cs="Arial"/>
                <w:i w:val="0"/>
                <w:iCs w:val="0"/>
                <w:color w:val="auto"/>
                <w:kern w:val="0"/>
                <w:sz w:val="20"/>
                <w:szCs w:val="20"/>
                <w:u w:val="none"/>
                <w:lang w:val="en-US" w:eastAsia="zh-CN" w:bidi="ar"/>
              </w:rPr>
              <w:t>Lipid-lowering drugs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eastAsia" w:eastAsia="微软雅黑" w:cs="Arial"/>
                <w:caps w:val="0"/>
                <w:color w:val="auto"/>
                <w:spacing w:val="0"/>
                <w:kern w:val="0"/>
                <w:sz w:val="20"/>
                <w:szCs w:val="20"/>
                <w:lang w:val="en-US" w:eastAsia="zh-CN" w:bidi="ar"/>
              </w:rPr>
              <w:t>1.2</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eastAsia" w:eastAsia="微软雅黑" w:cs="Arial"/>
                <w:caps w:val="0"/>
                <w:color w:val="auto"/>
                <w:spacing w:val="0"/>
                <w:kern w:val="0"/>
                <w:sz w:val="20"/>
                <w:szCs w:val="20"/>
                <w:lang w:val="en-US" w:eastAsia="zh-CN" w:bidi="ar"/>
              </w:rPr>
              <w:t>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3878" w:type="dxa"/>
            <w:vAlign w:val="center"/>
          </w:tcPr>
          <w:p>
            <w:pPr>
              <w:keepNext w:val="0"/>
              <w:keepLines w:val="0"/>
              <w:widowControl/>
              <w:suppressLineNumbers w:val="0"/>
              <w:spacing w:line="360" w:lineRule="auto"/>
              <w:jc w:val="center"/>
              <w:textAlignment w:val="center"/>
              <w:rPr>
                <w:rFonts w:hint="default" w:ascii="Arial" w:hAnsi="Arial" w:cs="Arial"/>
                <w:color w:val="auto"/>
                <w:sz w:val="20"/>
                <w:szCs w:val="20"/>
              </w:rPr>
            </w:pPr>
            <w:r>
              <w:rPr>
                <w:rFonts w:hint="default" w:ascii="Arial" w:hAnsi="Arial" w:eastAsia="宋体" w:cs="Arial"/>
                <w:i w:val="0"/>
                <w:iCs w:val="0"/>
                <w:color w:val="auto"/>
                <w:kern w:val="0"/>
                <w:sz w:val="20"/>
                <w:szCs w:val="20"/>
                <w:u w:val="none"/>
                <w:lang w:val="en-US" w:eastAsia="zh-CN" w:bidi="ar"/>
              </w:rPr>
              <w:t>Antiplatelet drugs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eastAsia" w:eastAsia="微软雅黑" w:cs="Arial"/>
                <w:caps w:val="0"/>
                <w:color w:val="auto"/>
                <w:spacing w:val="0"/>
                <w:kern w:val="0"/>
                <w:sz w:val="20"/>
                <w:szCs w:val="20"/>
                <w:lang w:val="en-US" w:eastAsia="zh-CN" w:bidi="ar"/>
              </w:rPr>
              <w:t>1.1</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eastAsia" w:eastAsia="微软雅黑" w:cs="Arial"/>
                <w:caps w:val="0"/>
                <w:color w:val="auto"/>
                <w:spacing w:val="0"/>
                <w:kern w:val="0"/>
                <w:sz w:val="20"/>
                <w:szCs w:val="20"/>
                <w:lang w:val="en-US" w:eastAsia="zh-CN" w:bidi="ar"/>
              </w:rPr>
              <w:t>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3878" w:type="dxa"/>
            <w:vAlign w:val="center"/>
          </w:tcPr>
          <w:p>
            <w:pPr>
              <w:keepNext w:val="0"/>
              <w:keepLines w:val="0"/>
              <w:widowControl/>
              <w:suppressLineNumbers w:val="0"/>
              <w:spacing w:line="360" w:lineRule="auto"/>
              <w:jc w:val="center"/>
              <w:textAlignment w:val="center"/>
              <w:rPr>
                <w:rFonts w:hint="default" w:ascii="Arial" w:hAnsi="Arial" w:cs="Arial"/>
                <w:color w:val="auto"/>
                <w:sz w:val="20"/>
                <w:szCs w:val="20"/>
              </w:rPr>
            </w:pPr>
            <w:r>
              <w:rPr>
                <w:rFonts w:hint="default" w:ascii="Arial" w:hAnsi="Arial" w:eastAsia="宋体" w:cs="Arial"/>
                <w:i w:val="0"/>
                <w:iCs w:val="0"/>
                <w:color w:val="auto"/>
                <w:kern w:val="0"/>
                <w:sz w:val="20"/>
                <w:szCs w:val="20"/>
                <w:u w:val="none"/>
                <w:lang w:val="en-US" w:eastAsia="zh-CN" w:bidi="ar"/>
              </w:rPr>
              <w:t>Antidiabetic drugs</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eastAsia" w:eastAsia="微软雅黑" w:cs="Arial"/>
                <w:caps w:val="0"/>
                <w:color w:val="auto"/>
                <w:spacing w:val="0"/>
                <w:kern w:val="0"/>
                <w:sz w:val="20"/>
                <w:szCs w:val="20"/>
                <w:lang w:val="en-US" w:eastAsia="zh-CN" w:bidi="ar"/>
              </w:rPr>
              <w:t>1.4</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eastAsia" w:eastAsia="微软雅黑" w:cs="Arial"/>
                <w:caps w:val="0"/>
                <w:color w:val="auto"/>
                <w:spacing w:val="0"/>
                <w:kern w:val="0"/>
                <w:sz w:val="20"/>
                <w:szCs w:val="20"/>
                <w:lang w:val="en-US" w:eastAsia="zh-CN" w:bidi="ar"/>
              </w:rPr>
              <w:t>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3878"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cs="Arial"/>
                <w:color w:val="auto"/>
                <w:sz w:val="20"/>
                <w:szCs w:val="20"/>
              </w:rPr>
              <w:t>Regular CPAP treatment</w:t>
            </w:r>
          </w:p>
        </w:tc>
        <w:tc>
          <w:tcPr>
            <w:tcW w:w="1510"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1.9</w:t>
            </w:r>
          </w:p>
        </w:tc>
        <w:tc>
          <w:tcPr>
            <w:tcW w:w="1331" w:type="dxa"/>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sz w:val="20"/>
                <w:szCs w:val="20"/>
                <w:lang w:val="en-US" w:eastAsia="zh-CN" w:bidi="ar-SA"/>
              </w:rPr>
            </w:pPr>
            <w:r>
              <w:rPr>
                <w:rFonts w:hint="default" w:ascii="Arial" w:hAnsi="Arial" w:eastAsia="微软雅黑" w:cs="Arial"/>
                <w:caps w:val="0"/>
                <w:color w:val="auto"/>
                <w:spacing w:val="0"/>
                <w:kern w:val="0"/>
                <w:sz w:val="20"/>
                <w:szCs w:val="20"/>
                <w:lang w:val="en-US" w:eastAsia="zh-CN" w:bidi="ar"/>
              </w:rPr>
              <w:t>1.9</w:t>
            </w:r>
          </w:p>
        </w:tc>
      </w:tr>
      <w:bookmarkEnd w:id="2"/>
    </w:tbl>
    <w:p>
      <w:pPr>
        <w:spacing w:after="315" w:afterLines="101" w:afterAutospacing="0" w:line="360" w:lineRule="auto"/>
        <w:jc w:val="left"/>
        <w:rPr>
          <w:rFonts w:hint="default" w:ascii="Arial" w:hAnsi="Arial" w:cs="Arial"/>
          <w:bCs/>
          <w:color w:val="auto"/>
          <w:sz w:val="20"/>
          <w:szCs w:val="20"/>
          <w:lang w:val="en-US" w:eastAsia="zh-CN"/>
        </w:rPr>
      </w:pPr>
    </w:p>
    <w:p>
      <w:pPr>
        <w:spacing w:after="315" w:afterLines="101" w:afterAutospacing="0" w:line="360" w:lineRule="auto"/>
        <w:jc w:val="left"/>
        <w:rPr>
          <w:rFonts w:hint="default" w:ascii="Arial" w:hAnsi="Arial" w:cs="Arial"/>
          <w:bCs/>
          <w:color w:val="auto"/>
          <w:sz w:val="20"/>
          <w:szCs w:val="20"/>
          <w:lang w:val="en-US" w:eastAsia="zh-CN"/>
        </w:rPr>
      </w:pPr>
    </w:p>
    <w:p>
      <w:pPr>
        <w:spacing w:after="315" w:afterLines="101" w:afterAutospacing="0" w:line="360" w:lineRule="auto"/>
        <w:jc w:val="left"/>
        <w:rPr>
          <w:rFonts w:hint="default" w:ascii="Arial" w:hAnsi="Arial" w:cs="Arial"/>
          <w:bCs/>
          <w:color w:val="auto"/>
          <w:sz w:val="20"/>
          <w:szCs w:val="20"/>
          <w:lang w:val="en-US" w:eastAsia="zh-CN"/>
        </w:rPr>
      </w:pPr>
    </w:p>
    <w:p>
      <w:pPr>
        <w:spacing w:after="315" w:afterLines="101" w:afterAutospacing="0" w:line="360" w:lineRule="auto"/>
        <w:jc w:val="left"/>
        <w:rPr>
          <w:rFonts w:hint="default" w:ascii="Arial" w:hAnsi="Arial" w:cs="Arial"/>
          <w:bCs/>
          <w:color w:val="auto"/>
          <w:sz w:val="20"/>
          <w:szCs w:val="20"/>
          <w:lang w:val="en-US" w:eastAsia="zh-CN"/>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eastAsia="宋体" w:cs="Arial"/>
          <w:i w:val="0"/>
          <w:iCs w:val="0"/>
          <w:color w:val="auto"/>
          <w:kern w:val="0"/>
          <w:sz w:val="20"/>
          <w:szCs w:val="20"/>
          <w:u w:val="none"/>
          <w:lang w:val="en-US" w:eastAsia="zh-CN" w:bidi="ar"/>
        </w:rPr>
      </w:pPr>
    </w:p>
    <w:p>
      <w:pPr>
        <w:spacing w:line="360" w:lineRule="auto"/>
        <w:rPr>
          <w:rFonts w:hint="default" w:ascii="Arial" w:hAnsi="Arial" w:cs="Arial"/>
          <w:bCs/>
          <w:color w:val="auto"/>
          <w:sz w:val="20"/>
          <w:szCs w:val="20"/>
          <w:lang w:val="en-US" w:eastAsia="zh-CN"/>
        </w:rPr>
      </w:pPr>
      <w:r>
        <w:rPr>
          <w:rFonts w:hint="default" w:ascii="Arial" w:hAnsi="Arial" w:eastAsia="宋体" w:cs="Arial"/>
          <w:i w:val="0"/>
          <w:iCs w:val="0"/>
          <w:color w:val="auto"/>
          <w:kern w:val="0"/>
          <w:sz w:val="20"/>
          <w:szCs w:val="20"/>
          <w:u w:val="none"/>
          <w:lang w:val="en-US" w:eastAsia="zh-CN" w:bidi="ar"/>
        </w:rPr>
        <w:t>VIF: variance inflation factors.</w:t>
      </w:r>
      <w:r>
        <w:rPr>
          <w:rFonts w:hint="eastAsia" w:cs="Arial"/>
          <w:i w:val="0"/>
          <w:iCs w:val="0"/>
          <w:color w:val="auto"/>
          <w:kern w:val="0"/>
          <w:sz w:val="20"/>
          <w:szCs w:val="20"/>
          <w:u w:val="none"/>
          <w:lang w:val="en-US" w:eastAsia="zh-CN" w:bidi="ar"/>
        </w:rPr>
        <w:t xml:space="preserve"> </w:t>
      </w:r>
      <w:r>
        <w:rPr>
          <w:rFonts w:hint="default" w:ascii="Arial" w:hAnsi="Arial" w:eastAsia="宋体" w:cs="Arial"/>
          <w:i w:val="0"/>
          <w:iCs w:val="0"/>
          <w:color w:val="auto"/>
          <w:kern w:val="0"/>
          <w:sz w:val="20"/>
          <w:szCs w:val="20"/>
          <w:u w:val="none"/>
          <w:lang w:val="en-US" w:eastAsia="zh-CN" w:bidi="ar"/>
        </w:rPr>
        <w:t>VIF = 1/(1-R</w:t>
      </w:r>
      <w:r>
        <w:rPr>
          <w:rFonts w:hint="default" w:ascii="Arial" w:hAnsi="Arial" w:eastAsia="宋体" w:cs="Arial"/>
          <w:i w:val="0"/>
          <w:iCs w:val="0"/>
          <w:color w:val="auto"/>
          <w:kern w:val="0"/>
          <w:sz w:val="20"/>
          <w:szCs w:val="20"/>
          <w:u w:val="none"/>
          <w:vertAlign w:val="superscript"/>
          <w:lang w:val="en-US" w:eastAsia="zh-CN" w:bidi="ar"/>
        </w:rPr>
        <w:t>2</w:t>
      </w:r>
      <w:r>
        <w:rPr>
          <w:rFonts w:hint="default" w:ascii="Arial" w:hAnsi="Arial" w:eastAsia="宋体" w:cs="Arial"/>
          <w:i w:val="0"/>
          <w:iCs w:val="0"/>
          <w:color w:val="auto"/>
          <w:kern w:val="0"/>
          <w:sz w:val="20"/>
          <w:szCs w:val="20"/>
          <w:u w:val="none"/>
          <w:lang w:val="en-US" w:eastAsia="zh-CN" w:bidi="ar"/>
        </w:rPr>
        <w:t>). VIF step-by-step screening method: Calculate the VIF of each variable. If the maximum VIF value ≥5, remove the variable with the maximum VIF value</w:t>
      </w:r>
      <w:r>
        <w:rPr>
          <w:rFonts w:hint="default" w:ascii="Arial" w:hAnsi="Arial" w:cs="Arial"/>
          <w:i w:val="0"/>
          <w:iCs w:val="0"/>
          <w:color w:val="auto"/>
          <w:kern w:val="0"/>
          <w:sz w:val="20"/>
          <w:szCs w:val="20"/>
          <w:u w:val="none"/>
          <w:lang w:val="en-US" w:eastAsia="zh-CN" w:bidi="ar"/>
        </w:rPr>
        <w:t>.</w:t>
      </w: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r>
        <w:rPr>
          <w:rFonts w:hint="default" w:ascii="Arial" w:hAnsi="Arial" w:eastAsia="宋体" w:cs="Arial"/>
          <w:b/>
          <w:bCs/>
          <w:i w:val="0"/>
          <w:color w:val="auto"/>
          <w:kern w:val="0"/>
          <w:sz w:val="20"/>
          <w:szCs w:val="20"/>
          <w:u w:val="none"/>
          <w:lang w:val="en-US" w:eastAsia="zh-CN" w:bidi="ar"/>
        </w:rPr>
        <w:t>Table S</w:t>
      </w:r>
      <w:r>
        <w:rPr>
          <w:rFonts w:hint="eastAsia" w:ascii="Arial" w:hAnsi="Arial" w:cs="Arial"/>
          <w:b/>
          <w:bCs/>
          <w:i w:val="0"/>
          <w:color w:val="auto"/>
          <w:kern w:val="0"/>
          <w:sz w:val="20"/>
          <w:szCs w:val="20"/>
          <w:u w:val="none"/>
          <w:lang w:val="en-US" w:eastAsia="zh-CN" w:bidi="ar"/>
        </w:rPr>
        <w:t>3</w:t>
      </w:r>
      <w:r>
        <w:rPr>
          <w:rFonts w:hint="default" w:ascii="Arial" w:hAnsi="Arial" w:eastAsia="宋体" w:cs="Arial"/>
          <w:b/>
          <w:bCs/>
          <w:i w:val="0"/>
          <w:color w:val="auto"/>
          <w:kern w:val="0"/>
          <w:sz w:val="20"/>
          <w:szCs w:val="20"/>
          <w:u w:val="none"/>
          <w:lang w:val="en-US" w:eastAsia="zh-CN" w:bidi="ar"/>
        </w:rPr>
        <w:t xml:space="preserve">. </w:t>
      </w:r>
      <w:r>
        <w:rPr>
          <w:rFonts w:hint="default" w:ascii="Arial" w:hAnsi="Arial" w:eastAsia="宋体" w:cs="Arial"/>
          <w:b w:val="0"/>
          <w:bCs w:val="0"/>
          <w:i w:val="0"/>
          <w:color w:val="auto"/>
          <w:kern w:val="0"/>
          <w:sz w:val="20"/>
          <w:szCs w:val="20"/>
          <w:u w:val="none"/>
          <w:lang w:val="en-US" w:eastAsia="zh-CN" w:bidi="ar"/>
        </w:rPr>
        <w:t>Hazard ratios and 95% confidence interval (CI) for risk of first myocardial infarction excluding patients on regular CPAP treatment</w:t>
      </w:r>
      <w:r>
        <w:rPr>
          <w:rFonts w:hint="eastAsia" w:cs="Arial"/>
          <w:b w:val="0"/>
          <w:bCs w:val="0"/>
          <w:i w:val="0"/>
          <w:color w:val="auto"/>
          <w:kern w:val="0"/>
          <w:sz w:val="20"/>
          <w:szCs w:val="20"/>
          <w:u w:val="none"/>
          <w:lang w:val="en-US" w:eastAsia="zh-CN" w:bidi="ar"/>
        </w:rPr>
        <w:t>.</w:t>
      </w:r>
    </w:p>
    <w:tbl>
      <w:tblPr>
        <w:tblStyle w:val="5"/>
        <w:tblW w:w="10131"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88"/>
        <w:gridCol w:w="2509"/>
        <w:gridCol w:w="2375"/>
        <w:gridCol w:w="255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2688" w:type="dxa"/>
            <w:vMerge w:val="restart"/>
            <w:tcBorders>
              <w:top w:val="single" w:color="auto" w:sz="4" w:space="0"/>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bookmarkStart w:id="3" w:name="OLE_LINK5"/>
            <w:r>
              <w:rPr>
                <w:rFonts w:hint="default" w:ascii="Arial" w:hAnsi="Arial" w:eastAsia="微软雅黑" w:cs="Arial"/>
                <w:caps w:val="0"/>
                <w:color w:val="auto"/>
                <w:spacing w:val="0"/>
                <w:kern w:val="0"/>
                <w:sz w:val="20"/>
                <w:szCs w:val="20"/>
                <w:lang w:val="en-US" w:eastAsia="zh-CN" w:bidi="ar"/>
              </w:rPr>
              <w:t>Exposure</w:t>
            </w:r>
          </w:p>
        </w:tc>
        <w:tc>
          <w:tcPr>
            <w:tcW w:w="7443" w:type="dxa"/>
            <w:gridSpan w:val="3"/>
            <w:tcBorders>
              <w:top w:val="single" w:color="auto" w:sz="4" w:space="0"/>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微软雅黑" w:cs="Arial"/>
                <w:caps w:val="0"/>
                <w:color w:val="auto"/>
                <w:spacing w:val="0"/>
                <w:kern w:val="0"/>
                <w:sz w:val="20"/>
                <w:szCs w:val="20"/>
                <w:lang w:val="en-US" w:eastAsia="zh-CN" w:bidi="ar"/>
              </w:rPr>
              <w:t>HR (95%CI) P-value</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2688" w:type="dxa"/>
            <w:vMerge w:val="continue"/>
            <w:tcBorders>
              <w:top w:val="single" w:color="auto" w:sz="4" w:space="0"/>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p>
        </w:tc>
        <w:tc>
          <w:tcPr>
            <w:tcW w:w="2509" w:type="dxa"/>
            <w:tcBorders>
              <w:top w:val="single" w:color="auto" w:sz="4" w:space="0"/>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微软雅黑" w:cs="Arial"/>
                <w:caps w:val="0"/>
                <w:color w:val="auto"/>
                <w:spacing w:val="0"/>
                <w:kern w:val="0"/>
                <w:sz w:val="20"/>
                <w:szCs w:val="20"/>
                <w:lang w:val="en-US" w:eastAsia="zh-CN" w:bidi="ar"/>
              </w:rPr>
              <w:t>Non-adjusted</w:t>
            </w:r>
          </w:p>
        </w:tc>
        <w:tc>
          <w:tcPr>
            <w:tcW w:w="2375" w:type="dxa"/>
            <w:tcBorders>
              <w:top w:val="single" w:color="auto" w:sz="4" w:space="0"/>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微软雅黑" w:cs="Arial"/>
                <w:caps w:val="0"/>
                <w:color w:val="auto"/>
                <w:spacing w:val="0"/>
                <w:kern w:val="0"/>
                <w:sz w:val="20"/>
                <w:szCs w:val="20"/>
                <w:lang w:val="en-US" w:eastAsia="zh-CN" w:bidi="ar"/>
              </w:rPr>
              <w:t>Model 1</w:t>
            </w:r>
          </w:p>
        </w:tc>
        <w:tc>
          <w:tcPr>
            <w:tcW w:w="2559" w:type="dxa"/>
            <w:tcBorders>
              <w:top w:val="single" w:color="auto" w:sz="4" w:space="0"/>
              <w:bottom w:val="single" w:color="auto" w:sz="4" w:space="0"/>
            </w:tcBorders>
            <w:vAlign w:val="center"/>
          </w:tcPr>
          <w:p>
            <w:pPr>
              <w:keepNext w:val="0"/>
              <w:keepLines w:val="0"/>
              <w:widowControl/>
              <w:suppressLineNumbers w:val="0"/>
              <w:spacing w:line="360" w:lineRule="auto"/>
              <w:jc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微软雅黑" w:cs="Arial"/>
                <w:caps w:val="0"/>
                <w:color w:val="auto"/>
                <w:spacing w:val="0"/>
                <w:kern w:val="0"/>
                <w:sz w:val="20"/>
                <w:szCs w:val="20"/>
                <w:lang w:val="en-US" w:eastAsia="zh-CN" w:bidi="ar"/>
              </w:rPr>
              <w:t>Model</w:t>
            </w:r>
            <w:r>
              <w:rPr>
                <w:rFonts w:hint="default" w:ascii="Arial" w:hAnsi="Arial" w:eastAsia="微软雅黑" w:cs="Arial"/>
                <w:caps w:val="0"/>
                <w:color w:val="auto"/>
                <w:spacing w:val="0"/>
                <w:kern w:val="0"/>
                <w:sz w:val="20"/>
                <w:szCs w:val="20"/>
                <w:lang w:eastAsia="zh-CN" w:bidi="ar"/>
              </w:rPr>
              <w:t xml:space="preserve"> 2</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2688" w:type="dxa"/>
            <w:tcBorders>
              <w:top w:val="single" w:color="auto" w:sz="4" w:space="0"/>
            </w:tcBorders>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cs="Arial"/>
                <w:i w:val="0"/>
                <w:iCs w:val="0"/>
                <w:color w:val="auto"/>
                <w:kern w:val="0"/>
                <w:sz w:val="20"/>
                <w:szCs w:val="20"/>
                <w:u w:val="none"/>
                <w:lang w:val="en-US" w:eastAsia="zh-CN" w:bidi="ar"/>
              </w:rPr>
              <w:t>TyG-WC</w:t>
            </w:r>
            <w:r>
              <w:rPr>
                <w:rFonts w:hint="default" w:ascii="Arial" w:hAnsi="Arial" w:eastAsia="宋体" w:cs="Arial"/>
                <w:i w:val="0"/>
                <w:iCs w:val="0"/>
                <w:color w:val="auto"/>
                <w:kern w:val="0"/>
                <w:sz w:val="20"/>
                <w:szCs w:val="20"/>
                <w:u w:val="none"/>
                <w:lang w:val="en-US" w:eastAsia="zh-CN" w:bidi="ar"/>
              </w:rPr>
              <w:t xml:space="preserve"> (Per SD increment)</w:t>
            </w:r>
          </w:p>
        </w:tc>
        <w:tc>
          <w:tcPr>
            <w:tcW w:w="2509" w:type="dxa"/>
            <w:tcBorders>
              <w:top w:val="single" w:color="auto" w:sz="4" w:space="0"/>
            </w:tcBorders>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1.54 (1.37, 1.73) &lt;0.01</w:t>
            </w:r>
          </w:p>
        </w:tc>
        <w:tc>
          <w:tcPr>
            <w:tcW w:w="2375" w:type="dxa"/>
            <w:tcBorders>
              <w:top w:val="single" w:color="auto" w:sz="4" w:space="0"/>
            </w:tcBorders>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1.55 (1.38, 1.75) &lt;0.01</w:t>
            </w:r>
          </w:p>
        </w:tc>
        <w:tc>
          <w:tcPr>
            <w:tcW w:w="2559" w:type="dxa"/>
            <w:tcBorders>
              <w:top w:val="single" w:color="auto" w:sz="4" w:space="0"/>
            </w:tcBorders>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1.78 (1.46, 2.16) &lt;0.01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688" w:type="dxa"/>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cs="Arial"/>
                <w:i w:val="0"/>
                <w:iCs w:val="0"/>
                <w:color w:val="auto"/>
                <w:kern w:val="0"/>
                <w:sz w:val="20"/>
                <w:szCs w:val="20"/>
                <w:u w:val="none"/>
                <w:lang w:val="en-US" w:eastAsia="zh-CN" w:bidi="ar"/>
              </w:rPr>
              <w:t>TyG-WC</w:t>
            </w:r>
            <w:r>
              <w:rPr>
                <w:rFonts w:hint="default" w:ascii="Arial" w:hAnsi="Arial" w:eastAsia="宋体" w:cs="Arial"/>
                <w:i w:val="0"/>
                <w:iCs w:val="0"/>
                <w:color w:val="auto"/>
                <w:kern w:val="0"/>
                <w:sz w:val="20"/>
                <w:szCs w:val="20"/>
                <w:u w:val="none"/>
                <w:lang w:val="en-US" w:eastAsia="zh-CN" w:bidi="ar"/>
              </w:rPr>
              <w:t xml:space="preserve"> (Quartile)</w:t>
            </w:r>
          </w:p>
        </w:tc>
        <w:tc>
          <w:tcPr>
            <w:tcW w:w="2509" w:type="dxa"/>
            <w:vAlign w:val="center"/>
          </w:tcPr>
          <w:p>
            <w:pPr>
              <w:widowControl w:val="0"/>
              <w:jc w:val="center"/>
              <w:rPr>
                <w:rFonts w:hint="default" w:ascii="Arial" w:hAnsi="Arial" w:eastAsia="微软雅黑" w:cs="Arial"/>
                <w:caps w:val="0"/>
                <w:color w:val="auto"/>
                <w:spacing w:val="0"/>
                <w:kern w:val="0"/>
                <w:sz w:val="20"/>
                <w:szCs w:val="20"/>
                <w:lang w:val="en-US" w:eastAsia="zh-CN" w:bidi="ar"/>
              </w:rPr>
            </w:pPr>
          </w:p>
        </w:tc>
        <w:tc>
          <w:tcPr>
            <w:tcW w:w="2375" w:type="dxa"/>
            <w:vAlign w:val="center"/>
          </w:tcPr>
          <w:p>
            <w:pPr>
              <w:widowControl w:val="0"/>
              <w:jc w:val="center"/>
              <w:rPr>
                <w:rFonts w:hint="default" w:ascii="Arial" w:hAnsi="Arial" w:eastAsia="微软雅黑" w:cs="Arial"/>
                <w:caps w:val="0"/>
                <w:color w:val="auto"/>
                <w:spacing w:val="0"/>
                <w:kern w:val="0"/>
                <w:sz w:val="20"/>
                <w:szCs w:val="20"/>
                <w:lang w:val="en-US" w:eastAsia="zh-CN" w:bidi="ar"/>
              </w:rPr>
            </w:pPr>
          </w:p>
        </w:tc>
        <w:tc>
          <w:tcPr>
            <w:tcW w:w="2559" w:type="dxa"/>
            <w:vAlign w:val="center"/>
          </w:tcPr>
          <w:p>
            <w:pPr>
              <w:widowControl w:val="0"/>
              <w:jc w:val="center"/>
              <w:rPr>
                <w:rFonts w:hint="default" w:ascii="Arial" w:hAnsi="Arial" w:eastAsia="微软雅黑" w:cs="Arial"/>
                <w:caps w:val="0"/>
                <w:color w:val="auto"/>
                <w:spacing w:val="0"/>
                <w:kern w:val="0"/>
                <w:sz w:val="20"/>
                <w:szCs w:val="20"/>
                <w:lang w:val="en-US" w:eastAsia="zh-CN" w:bidi="ar"/>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688" w:type="dxa"/>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Q1</w:t>
            </w:r>
          </w:p>
        </w:tc>
        <w:tc>
          <w:tcPr>
            <w:tcW w:w="250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Reference</w:t>
            </w:r>
          </w:p>
        </w:tc>
        <w:tc>
          <w:tcPr>
            <w:tcW w:w="2375"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Reference</w:t>
            </w:r>
          </w:p>
        </w:tc>
        <w:tc>
          <w:tcPr>
            <w:tcW w:w="255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Reference</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688" w:type="dxa"/>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Q2</w:t>
            </w:r>
          </w:p>
        </w:tc>
        <w:tc>
          <w:tcPr>
            <w:tcW w:w="250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1.62 (1.02, 2.57) 0.04</w:t>
            </w:r>
          </w:p>
        </w:tc>
        <w:tc>
          <w:tcPr>
            <w:tcW w:w="2375"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1.59 (1.00, 2.53) 0.05</w:t>
            </w:r>
          </w:p>
        </w:tc>
        <w:tc>
          <w:tcPr>
            <w:tcW w:w="255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1.73 (1.05, 2.85) 0.03</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688" w:type="dxa"/>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Q3</w:t>
            </w:r>
          </w:p>
        </w:tc>
        <w:tc>
          <w:tcPr>
            <w:tcW w:w="250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2.68 (1.75, 4.11) &lt;0.01</w:t>
            </w:r>
          </w:p>
        </w:tc>
        <w:tc>
          <w:tcPr>
            <w:tcW w:w="2375"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2.65 (1.72, 4.08) &lt;0.01</w:t>
            </w:r>
          </w:p>
        </w:tc>
        <w:tc>
          <w:tcPr>
            <w:tcW w:w="255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3.03 (1.83, 5.02) &lt;0.01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688" w:type="dxa"/>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Q4</w:t>
            </w:r>
          </w:p>
        </w:tc>
        <w:tc>
          <w:tcPr>
            <w:tcW w:w="250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3.44 (2.27, 5.20) &lt;0.01</w:t>
            </w:r>
          </w:p>
        </w:tc>
        <w:tc>
          <w:tcPr>
            <w:tcW w:w="2375"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3.51 (2.30, 5.35) &lt;0.01</w:t>
            </w:r>
          </w:p>
        </w:tc>
        <w:tc>
          <w:tcPr>
            <w:tcW w:w="2559" w:type="dxa"/>
            <w:vAlign w:val="center"/>
          </w:tcPr>
          <w:p>
            <w:pPr>
              <w:keepNext w:val="0"/>
              <w:keepLines w:val="0"/>
              <w:widowControl/>
              <w:suppressLineNumbers w:val="0"/>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4.00 (2.26, 7.07) &lt;0.01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688" w:type="dxa"/>
            <w:tcBorders>
              <w:bottom w:val="single" w:color="auto" w:sz="4" w:space="0"/>
            </w:tcBorders>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P for trend</w:t>
            </w:r>
          </w:p>
        </w:tc>
        <w:tc>
          <w:tcPr>
            <w:tcW w:w="2509" w:type="dxa"/>
            <w:tcBorders>
              <w:bottom w:val="single" w:color="auto" w:sz="4" w:space="0"/>
            </w:tcBorders>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&lt;0.01</w:t>
            </w:r>
          </w:p>
        </w:tc>
        <w:tc>
          <w:tcPr>
            <w:tcW w:w="2375" w:type="dxa"/>
            <w:tcBorders>
              <w:bottom w:val="single" w:color="auto" w:sz="4" w:space="0"/>
            </w:tcBorders>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&lt;0.01</w:t>
            </w:r>
          </w:p>
        </w:tc>
        <w:tc>
          <w:tcPr>
            <w:tcW w:w="2559" w:type="dxa"/>
            <w:tcBorders>
              <w:bottom w:val="single" w:color="auto" w:sz="4" w:space="0"/>
            </w:tcBorders>
            <w:vAlign w:val="center"/>
          </w:tcPr>
          <w:p>
            <w:pPr>
              <w:keepNext w:val="0"/>
              <w:keepLines w:val="0"/>
              <w:widowControl/>
              <w:suppressLineNumbers w:val="0"/>
              <w:spacing w:line="480" w:lineRule="auto"/>
              <w:jc w:val="center"/>
              <w:textAlignment w:val="center"/>
              <w:rPr>
                <w:rFonts w:hint="default" w:ascii="Arial" w:hAnsi="Arial" w:eastAsia="微软雅黑" w:cs="Arial"/>
                <w:caps w:val="0"/>
                <w:color w:val="auto"/>
                <w:spacing w:val="0"/>
                <w:kern w:val="0"/>
                <w:sz w:val="20"/>
                <w:szCs w:val="20"/>
                <w:lang w:val="en-US" w:eastAsia="zh-CN" w:bidi="ar"/>
              </w:rPr>
            </w:pPr>
            <w:r>
              <w:rPr>
                <w:rFonts w:hint="default" w:ascii="Arial" w:hAnsi="Arial" w:eastAsia="宋体" w:cs="Arial"/>
                <w:i w:val="0"/>
                <w:iCs w:val="0"/>
                <w:color w:val="auto"/>
                <w:kern w:val="0"/>
                <w:sz w:val="20"/>
                <w:szCs w:val="20"/>
                <w:u w:val="none"/>
                <w:lang w:val="en-US" w:eastAsia="zh-CN" w:bidi="ar"/>
              </w:rPr>
              <w:t>&lt;0.01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10131" w:type="dxa"/>
            <w:gridSpan w:val="4"/>
            <w:tcBorders>
              <w:top w:val="single" w:color="auto" w:sz="4" w:space="0"/>
              <w:bottom w:val="nil"/>
            </w:tcBorders>
            <w:vAlign w:val="center"/>
          </w:tcPr>
          <w:p>
            <w:pPr>
              <w:widowControl w:val="0"/>
              <w:spacing w:line="480" w:lineRule="auto"/>
              <w:jc w:val="both"/>
              <w:rPr>
                <w:rFonts w:hint="default" w:ascii="Arial" w:hAnsi="Arial" w:cs="Arial" w:eastAsiaTheme="minorEastAsia"/>
                <w:i w:val="0"/>
                <w:iCs w:val="0"/>
                <w:color w:val="auto"/>
                <w:kern w:val="0"/>
                <w:sz w:val="20"/>
                <w:szCs w:val="20"/>
                <w:u w:val="none"/>
                <w:lang w:val="en-US" w:eastAsia="zh-CN" w:bidi="ar"/>
              </w:rPr>
            </w:pPr>
            <w:r>
              <w:rPr>
                <w:rFonts w:hint="default" w:ascii="Arial" w:hAnsi="Arial" w:cs="Arial" w:eastAsiaTheme="minorEastAsia"/>
                <w:i w:val="0"/>
                <w:iCs w:val="0"/>
                <w:color w:val="auto"/>
                <w:kern w:val="0"/>
                <w:sz w:val="20"/>
                <w:szCs w:val="20"/>
                <w:u w:val="none"/>
                <w:lang w:val="en-US" w:eastAsia="zh-CN" w:bidi="ar"/>
              </w:rPr>
              <w:t xml:space="preserve">Data: HR (95% CI) P-value </w:t>
            </w:r>
          </w:p>
          <w:p>
            <w:pPr>
              <w:widowControl w:val="0"/>
              <w:spacing w:line="480" w:lineRule="auto"/>
              <w:jc w:val="both"/>
              <w:rPr>
                <w:rFonts w:hint="default" w:ascii="Arial" w:hAnsi="Arial" w:cs="Arial" w:eastAsiaTheme="minorEastAsia"/>
                <w:i w:val="0"/>
                <w:iCs w:val="0"/>
                <w:color w:val="auto"/>
                <w:kern w:val="0"/>
                <w:sz w:val="20"/>
                <w:szCs w:val="20"/>
                <w:u w:val="none"/>
                <w:lang w:val="en-US" w:eastAsia="zh-CN" w:bidi="ar"/>
              </w:rPr>
            </w:pPr>
            <w:r>
              <w:rPr>
                <w:rFonts w:hint="default" w:ascii="Arial" w:hAnsi="Arial" w:cs="Arial" w:eastAsiaTheme="minorEastAsia"/>
                <w:i w:val="0"/>
                <w:iCs w:val="0"/>
                <w:color w:val="auto"/>
                <w:kern w:val="0"/>
                <w:sz w:val="20"/>
                <w:szCs w:val="20"/>
                <w:u w:val="none"/>
                <w:lang w:val="en-US" w:eastAsia="zh-CN" w:bidi="ar"/>
              </w:rPr>
              <w:t>Non-adjusted model adjust for: none</w:t>
            </w:r>
          </w:p>
          <w:p>
            <w:pPr>
              <w:widowControl w:val="0"/>
              <w:spacing w:line="480" w:lineRule="auto"/>
              <w:jc w:val="both"/>
              <w:rPr>
                <w:rFonts w:hint="default" w:ascii="Arial" w:hAnsi="Arial" w:cs="Arial" w:eastAsiaTheme="minorEastAsia"/>
                <w:i w:val="0"/>
                <w:iCs w:val="0"/>
                <w:color w:val="auto"/>
                <w:kern w:val="0"/>
                <w:sz w:val="20"/>
                <w:szCs w:val="20"/>
                <w:u w:val="none"/>
                <w:lang w:val="en-US" w:eastAsia="zh-CN" w:bidi="ar"/>
              </w:rPr>
            </w:pPr>
            <w:r>
              <w:rPr>
                <w:rFonts w:hint="default" w:ascii="Arial" w:hAnsi="Arial" w:cs="Arial" w:eastAsiaTheme="minorEastAsia"/>
                <w:i w:val="0"/>
                <w:iCs w:val="0"/>
                <w:color w:val="auto"/>
                <w:kern w:val="0"/>
                <w:sz w:val="20"/>
                <w:szCs w:val="20"/>
                <w:u w:val="none"/>
                <w:lang w:val="en-US" w:eastAsia="zh-CN" w:bidi="ar"/>
              </w:rPr>
              <w:t>Adjust model 1 adjust for: age, BMI, diabetes, smoking status, drinking status, SBP, and DBP</w:t>
            </w:r>
          </w:p>
          <w:p>
            <w:pPr>
              <w:keepNext w:val="0"/>
              <w:keepLines w:val="0"/>
              <w:widowControl/>
              <w:suppressLineNumbers w:val="0"/>
              <w:spacing w:line="480" w:lineRule="auto"/>
              <w:jc w:val="both"/>
              <w:textAlignment w:val="center"/>
              <w:rPr>
                <w:rFonts w:hint="default" w:ascii="Arial" w:hAnsi="Arial" w:cs="Arial" w:eastAsiaTheme="minorEastAsia"/>
                <w:i w:val="0"/>
                <w:iCs w:val="0"/>
                <w:color w:val="auto"/>
                <w:kern w:val="0"/>
                <w:sz w:val="20"/>
                <w:szCs w:val="20"/>
                <w:u w:val="none"/>
                <w:lang w:val="en-US" w:eastAsia="zh-CN" w:bidi="ar"/>
              </w:rPr>
            </w:pPr>
            <w:r>
              <w:rPr>
                <w:rFonts w:hint="default" w:ascii="Arial" w:hAnsi="Arial" w:cs="Arial" w:eastAsiaTheme="minorEastAsia"/>
                <w:i w:val="0"/>
                <w:iCs w:val="0"/>
                <w:color w:val="auto"/>
                <w:kern w:val="0"/>
                <w:sz w:val="20"/>
                <w:szCs w:val="20"/>
                <w:u w:val="none"/>
                <w:lang w:val="en-US" w:eastAsia="zh-CN" w:bidi="ar"/>
              </w:rPr>
              <w:t>Adjust model 2 adjust for: model 1 plus TC, TG, HDL-c, LDL-c, FPG, Hcy, lipid-lowering drugs, antiplatelet drugs, antidiabetic drugs</w:t>
            </w:r>
            <w:r>
              <w:rPr>
                <w:rFonts w:hint="eastAsia" w:cs="Arial" w:eastAsiaTheme="minorEastAsia"/>
                <w:i w:val="0"/>
                <w:iCs w:val="0"/>
                <w:color w:val="auto"/>
                <w:kern w:val="0"/>
                <w:sz w:val="20"/>
                <w:szCs w:val="20"/>
                <w:u w:val="none"/>
                <w:lang w:val="en-US" w:eastAsia="zh-CN" w:bidi="ar"/>
              </w:rPr>
              <w:t xml:space="preserve">, </w:t>
            </w:r>
            <w:r>
              <w:rPr>
                <w:rFonts w:hint="default" w:ascii="Arial" w:hAnsi="Arial" w:cs="Arial" w:eastAsiaTheme="minorEastAsia"/>
                <w:i w:val="0"/>
                <w:iCs w:val="0"/>
                <w:color w:val="auto"/>
                <w:kern w:val="0"/>
                <w:sz w:val="20"/>
                <w:szCs w:val="20"/>
                <w:u w:val="none"/>
                <w:lang w:val="en-US" w:eastAsia="zh-CN" w:bidi="ar"/>
              </w:rPr>
              <w:t>and antihypertensive drugs</w:t>
            </w:r>
            <w:r>
              <w:rPr>
                <w:rFonts w:hint="default" w:ascii="Arial" w:hAnsi="Arial" w:cs="Arial" w:eastAsiaTheme="minorEastAsia"/>
                <w:i w:val="0"/>
                <w:iCs w:val="0"/>
                <w:color w:val="auto"/>
                <w:kern w:val="0"/>
                <w:sz w:val="20"/>
                <w:szCs w:val="20"/>
                <w:u w:val="none"/>
                <w:vertAlign w:val="subscript"/>
                <w:lang w:val="en-US" w:eastAsia="zh-CN" w:bidi="ar"/>
              </w:rPr>
              <w:t>.</w:t>
            </w:r>
          </w:p>
        </w:tc>
      </w:tr>
      <w:bookmarkEnd w:id="3"/>
    </w:tbl>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p>
    <w:p>
      <w:pPr>
        <w:spacing w:line="360" w:lineRule="auto"/>
        <w:rPr>
          <w:rFonts w:hint="default" w:ascii="Arial" w:hAnsi="Arial" w:cs="Arial"/>
          <w:color w:val="auto"/>
          <w:sz w:val="20"/>
          <w:szCs w:val="20"/>
        </w:rPr>
      </w:pPr>
      <w:bookmarkStart w:id="5" w:name="_GoBack"/>
      <w:bookmarkEnd w:id="5"/>
    </w:p>
    <w:p>
      <w:pPr>
        <w:spacing w:line="360" w:lineRule="auto"/>
        <w:rPr>
          <w:rFonts w:hint="default" w:ascii="Arial" w:hAnsi="Arial" w:cs="Arial"/>
          <w:color w:val="auto"/>
          <w:sz w:val="20"/>
          <w:szCs w:val="20"/>
        </w:rPr>
      </w:pPr>
    </w:p>
    <w:p>
      <w:pPr>
        <w:pStyle w:val="7"/>
        <w:spacing w:after="0"/>
        <w:rPr>
          <w:rFonts w:cs="Arial"/>
          <w:b/>
          <w:color w:val="auto"/>
          <w:sz w:val="20"/>
          <w:szCs w:val="20"/>
          <w:lang w:eastAsia="zh-CN"/>
        </w:rPr>
      </w:pPr>
      <w:bookmarkStart w:id="4" w:name="OLE_LINK2"/>
      <w:r>
        <w:rPr>
          <w:rFonts w:cs="Arial"/>
          <w:b/>
          <w:color w:val="auto"/>
          <w:sz w:val="32"/>
          <w:szCs w:val="32"/>
          <w:lang w:eastAsia="zh-CN"/>
        </w:rPr>
        <w:t>References</w:t>
      </w:r>
    </w:p>
    <w:p>
      <w:pPr>
        <w:pStyle w:val="7"/>
        <w:spacing w:after="0"/>
        <w:ind w:left="720" w:hanging="720"/>
        <w:rPr>
          <w:rFonts w:hint="default" w:ascii="Arial" w:hAnsi="Arial" w:cs="Arial"/>
          <w:color w:val="auto"/>
          <w:sz w:val="20"/>
          <w:szCs w:val="20"/>
        </w:rPr>
      </w:pPr>
      <w:r>
        <w:rPr>
          <w:rFonts w:hint="default" w:ascii="Arial" w:hAnsi="Arial" w:cs="Arial"/>
          <w:color w:val="auto"/>
          <w:sz w:val="20"/>
          <w:szCs w:val="20"/>
        </w:rPr>
        <w:fldChar w:fldCharType="begin"/>
      </w:r>
      <w:r>
        <w:rPr>
          <w:rFonts w:hint="default" w:ascii="Arial" w:hAnsi="Arial" w:cs="Arial"/>
          <w:color w:val="auto"/>
          <w:sz w:val="20"/>
          <w:szCs w:val="20"/>
        </w:rPr>
        <w:instrText xml:space="preserve"> ADDIN EN.REFLIST </w:instrText>
      </w:r>
      <w:r>
        <w:rPr>
          <w:rFonts w:hint="default" w:ascii="Arial" w:hAnsi="Arial" w:cs="Arial"/>
          <w:color w:val="auto"/>
          <w:sz w:val="20"/>
          <w:szCs w:val="20"/>
        </w:rPr>
        <w:fldChar w:fldCharType="separate"/>
      </w:r>
      <w:r>
        <w:rPr>
          <w:rFonts w:hint="default" w:ascii="Arial" w:hAnsi="Arial" w:cs="Arial"/>
          <w:color w:val="auto"/>
          <w:sz w:val="20"/>
          <w:szCs w:val="20"/>
        </w:rPr>
        <w:t>1.</w:t>
      </w:r>
      <w:r>
        <w:rPr>
          <w:rFonts w:hint="default" w:ascii="Arial" w:hAnsi="Arial" w:cs="Arial"/>
          <w:color w:val="auto"/>
          <w:sz w:val="20"/>
          <w:szCs w:val="20"/>
        </w:rPr>
        <w:tab/>
      </w:r>
      <w:r>
        <w:rPr>
          <w:rFonts w:hint="eastAsia" w:cs="Arial"/>
          <w:b w:val="0"/>
          <w:i w:val="0"/>
          <w:color w:val="auto"/>
          <w:sz w:val="20"/>
          <w:szCs w:val="20"/>
          <w:u w:val="none"/>
          <w:lang w:eastAsia="zh-CN"/>
        </w:rPr>
        <w:t xml:space="preserve">Berry RB, Budhiraja R, Gottlieb DJ, et al. Rules for scoring respiratory events in sleep: update of the 2007 AASM Manual for the Scoring of Sleep and Associated Events. Deliberations of the Sleep Apnea Definitions Task Force of the American Academy of Sleep Medicine. </w:t>
      </w:r>
      <w:r>
        <w:rPr>
          <w:rFonts w:hint="eastAsia" w:cs="Arial"/>
          <w:b w:val="0"/>
          <w:i/>
          <w:color w:val="auto"/>
          <w:sz w:val="20"/>
          <w:szCs w:val="20"/>
          <w:u w:val="none"/>
          <w:lang w:eastAsia="zh-CN"/>
        </w:rPr>
        <w:t>J Clin Sleep Med</w:t>
      </w:r>
      <w:r>
        <w:rPr>
          <w:rFonts w:hint="eastAsia" w:cs="Arial"/>
          <w:b w:val="0"/>
          <w:i w:val="0"/>
          <w:color w:val="auto"/>
          <w:sz w:val="20"/>
          <w:szCs w:val="20"/>
          <w:u w:val="none"/>
          <w:lang w:eastAsia="zh-CN"/>
        </w:rPr>
        <w:t>. 2012;8:597-619</w:t>
      </w:r>
      <w:r>
        <w:rPr>
          <w:rFonts w:hint="default" w:ascii="Arial" w:hAnsi="Arial" w:cs="Arial"/>
          <w:color w:val="auto"/>
          <w:sz w:val="20"/>
          <w:szCs w:val="20"/>
        </w:rPr>
        <w:t>.</w:t>
      </w:r>
    </w:p>
    <w:p>
      <w:pPr>
        <w:pStyle w:val="7"/>
        <w:spacing w:after="0"/>
        <w:ind w:left="720" w:hanging="720"/>
        <w:rPr>
          <w:rFonts w:hint="default" w:ascii="Arial" w:hAnsi="Arial" w:cs="Arial"/>
          <w:color w:val="auto"/>
          <w:sz w:val="20"/>
          <w:szCs w:val="20"/>
        </w:rPr>
      </w:pPr>
      <w:r>
        <w:rPr>
          <w:rFonts w:hint="eastAsia" w:eastAsia="宋体" w:cs="Arial"/>
          <w:color w:val="auto"/>
          <w:sz w:val="20"/>
          <w:szCs w:val="20"/>
          <w:lang w:val="en-US" w:eastAsia="zh-CN"/>
        </w:rPr>
        <w:t>2</w:t>
      </w:r>
      <w:r>
        <w:rPr>
          <w:rFonts w:hint="default" w:ascii="Arial" w:hAnsi="Arial" w:cs="Arial"/>
          <w:color w:val="auto"/>
          <w:sz w:val="20"/>
          <w:szCs w:val="20"/>
        </w:rPr>
        <w:t>.</w:t>
      </w:r>
      <w:r>
        <w:rPr>
          <w:rFonts w:hint="default" w:ascii="Arial" w:hAnsi="Arial" w:cs="Arial"/>
          <w:color w:val="auto"/>
          <w:sz w:val="20"/>
          <w:szCs w:val="20"/>
        </w:rPr>
        <w:tab/>
      </w:r>
      <w:r>
        <w:rPr>
          <w:rFonts w:hint="default" w:ascii="Arial" w:hAnsi="Arial" w:cs="Arial"/>
          <w:color w:val="auto"/>
          <w:sz w:val="20"/>
          <w:szCs w:val="20"/>
        </w:rPr>
        <w:t>Rechtschaffen A, Kales A (1968) A manual of standardized terminology, techniques and scoring system for sleep stages of human subjects. National Institutes of Health, Washington DC.</w:t>
      </w:r>
    </w:p>
    <w:p>
      <w:pPr>
        <w:pStyle w:val="7"/>
        <w:spacing w:after="0"/>
        <w:ind w:left="720" w:hanging="720"/>
        <w:rPr>
          <w:rFonts w:hint="default" w:ascii="Arial" w:hAnsi="Arial" w:cs="Arial"/>
          <w:color w:val="auto"/>
          <w:sz w:val="20"/>
          <w:szCs w:val="20"/>
        </w:rPr>
      </w:pPr>
      <w:r>
        <w:rPr>
          <w:rFonts w:hint="eastAsia" w:eastAsia="宋体" w:cs="Arial"/>
          <w:color w:val="auto"/>
          <w:sz w:val="20"/>
          <w:szCs w:val="20"/>
          <w:lang w:val="en-US" w:eastAsia="zh-CN"/>
        </w:rPr>
        <w:t>3</w:t>
      </w:r>
      <w:r>
        <w:rPr>
          <w:rFonts w:hint="default" w:ascii="Arial" w:hAnsi="Arial" w:cs="Arial"/>
          <w:color w:val="auto"/>
          <w:sz w:val="20"/>
          <w:szCs w:val="20"/>
        </w:rPr>
        <w:t>.</w:t>
      </w:r>
      <w:r>
        <w:rPr>
          <w:rFonts w:hint="default" w:ascii="Arial" w:hAnsi="Arial" w:cs="Arial"/>
          <w:color w:val="auto"/>
          <w:sz w:val="20"/>
          <w:szCs w:val="20"/>
        </w:rPr>
        <w:tab/>
      </w:r>
      <w:r>
        <w:rPr>
          <w:rFonts w:hint="default" w:ascii="Arial" w:hAnsi="Arial" w:cs="Arial"/>
          <w:color w:val="auto"/>
          <w:sz w:val="20"/>
          <w:szCs w:val="20"/>
        </w:rPr>
        <w:t>Iber C, Ancoli-Israel S, Chesson A (2007) The AASM manual for the scoring of sleep and associated events: rules, terminology, and technical specifications, 1st edn. American Academy of Sleep Medicine, Westchester.</w:t>
      </w:r>
    </w:p>
    <w:p>
      <w:pPr>
        <w:pStyle w:val="7"/>
        <w:spacing w:after="0"/>
        <w:ind w:left="720" w:hanging="720"/>
        <w:rPr>
          <w:rFonts w:hint="default" w:ascii="Arial" w:hAnsi="Arial" w:cs="Arial"/>
          <w:color w:val="auto"/>
          <w:sz w:val="20"/>
          <w:szCs w:val="20"/>
        </w:rPr>
      </w:pPr>
      <w:r>
        <w:rPr>
          <w:rFonts w:hint="eastAsia" w:eastAsia="宋体" w:cs="Arial"/>
          <w:color w:val="auto"/>
          <w:sz w:val="20"/>
          <w:szCs w:val="20"/>
          <w:lang w:val="en-US" w:eastAsia="zh-CN"/>
        </w:rPr>
        <w:t>4</w:t>
      </w:r>
      <w:r>
        <w:rPr>
          <w:rFonts w:hint="default" w:ascii="Arial" w:hAnsi="Arial" w:cs="Arial"/>
          <w:color w:val="auto"/>
          <w:sz w:val="20"/>
          <w:szCs w:val="20"/>
        </w:rPr>
        <w:t>.</w:t>
      </w:r>
      <w:r>
        <w:rPr>
          <w:rFonts w:hint="default" w:ascii="Arial" w:hAnsi="Arial" w:cs="Arial"/>
          <w:color w:val="auto"/>
          <w:sz w:val="20"/>
          <w:szCs w:val="20"/>
        </w:rPr>
        <w:tab/>
      </w:r>
      <w:r>
        <w:rPr>
          <w:rFonts w:hint="default" w:ascii="Arial" w:hAnsi="Arial" w:cs="Arial"/>
          <w:color w:val="auto"/>
          <w:sz w:val="20"/>
          <w:szCs w:val="20"/>
        </w:rPr>
        <w:t>Amerian Academy of Sleep Medicine (1992). EEG arousals: scoring rules and examples: a preliminary report from the Sleep Disorders Atlas Task Force of the American Sleep Disorders Association. Sleep, 15(2), 173-84.</w:t>
      </w:r>
    </w:p>
    <w:p>
      <w:pPr>
        <w:pStyle w:val="7"/>
        <w:spacing w:after="0"/>
        <w:rPr>
          <w:rFonts w:hint="default" w:ascii="Arial" w:hAnsi="Arial" w:cs="Arial"/>
          <w:color w:val="auto"/>
          <w:sz w:val="20"/>
          <w:szCs w:val="20"/>
        </w:rPr>
      </w:pPr>
    </w:p>
    <w:p>
      <w:pPr>
        <w:spacing w:line="360" w:lineRule="auto"/>
        <w:rPr>
          <w:rFonts w:hint="default" w:ascii="Arial" w:hAnsi="Arial" w:cs="Arial"/>
          <w:color w:val="auto"/>
        </w:rPr>
      </w:pPr>
      <w:r>
        <w:rPr>
          <w:rFonts w:hint="default" w:ascii="Arial" w:hAnsi="Arial" w:cs="Arial"/>
          <w:color w:val="auto"/>
          <w:sz w:val="20"/>
          <w:szCs w:val="20"/>
        </w:rPr>
        <w:fldChar w:fldCharType="end"/>
      </w:r>
      <w:bookmarkEnd w:id="4"/>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lnNumType w:countBy="1"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ZjE0ODE4MDMwNjA0MDc1OTI5OGUyZWViZDZlNzcifQ=="/>
    <w:docVar w:name="KY_MEDREF_DOCUID" w:val="{93634AB3-2F8C-45EC-B10D-D39E4A4698AD}"/>
    <w:docVar w:name="KY_MEDREF_VERSION" w:val="3"/>
  </w:docVars>
  <w:rsids>
    <w:rsidRoot w:val="00000000"/>
    <w:rsid w:val="01C503BB"/>
    <w:rsid w:val="042012EF"/>
    <w:rsid w:val="04AB1DE0"/>
    <w:rsid w:val="094E00BE"/>
    <w:rsid w:val="0B620BBF"/>
    <w:rsid w:val="0D1F773D"/>
    <w:rsid w:val="0F2C7B88"/>
    <w:rsid w:val="0FFF254C"/>
    <w:rsid w:val="1A156547"/>
    <w:rsid w:val="1A345A75"/>
    <w:rsid w:val="1B8F3DB2"/>
    <w:rsid w:val="22200019"/>
    <w:rsid w:val="222D2BBD"/>
    <w:rsid w:val="2D3458DB"/>
    <w:rsid w:val="2D84540C"/>
    <w:rsid w:val="30485DDB"/>
    <w:rsid w:val="358F650D"/>
    <w:rsid w:val="3E405240"/>
    <w:rsid w:val="3F0538C0"/>
    <w:rsid w:val="45CB5BC1"/>
    <w:rsid w:val="46485329"/>
    <w:rsid w:val="476D690D"/>
    <w:rsid w:val="486C2C02"/>
    <w:rsid w:val="51576D45"/>
    <w:rsid w:val="53D92E43"/>
    <w:rsid w:val="57DE4B4E"/>
    <w:rsid w:val="5B0D4C47"/>
    <w:rsid w:val="5B9C6E4B"/>
    <w:rsid w:val="5BD625D5"/>
    <w:rsid w:val="606C4B76"/>
    <w:rsid w:val="62134508"/>
    <w:rsid w:val="65910EFE"/>
    <w:rsid w:val="6B525809"/>
    <w:rsid w:val="6BEF6951"/>
    <w:rsid w:val="6C4408D9"/>
    <w:rsid w:val="6C5B7930"/>
    <w:rsid w:val="701D4652"/>
    <w:rsid w:val="751F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Arial" w:hAnsi="Arial" w:eastAsia="宋体" w:cs="Times New Roman"/>
      <w:sz w:val="21"/>
      <w:szCs w:val="24"/>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EndNote Bibliography"/>
    <w:basedOn w:val="1"/>
    <w:semiHidden/>
    <w:qFormat/>
    <w:uiPriority w:val="99"/>
    <w:pPr>
      <w:spacing w:after="200"/>
    </w:pPr>
    <w:rPr>
      <w:rFonts w:eastAsia="MS Mincho"/>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770</Words>
  <Characters>4238</Characters>
  <Lines>0</Lines>
  <Paragraphs>0</Paragraphs>
  <TotalTime>0</TotalTime>
  <ScaleCrop>false</ScaleCrop>
  <LinksUpToDate>false</LinksUpToDate>
  <CharactersWithSpaces>4881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2022-01-17T07:38:00Z</dcterms:created>
  <dc:creator>dell</dc:creator>
  <cp:lastModifiedBy>Xintian Cai</cp:lastModifiedBy>
  <dcterms:modified xsi:type="dcterms:W3CDTF">2022-04-27T11:37:53Z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28CFB3F72A16433ABB61C6678DA31C3B</vt:lpwstr>
  </property>
</Properties>
</file>