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C1B1" w14:textId="77777777" w:rsidR="00CB4699" w:rsidRPr="00CB4699" w:rsidRDefault="00CB4699" w:rsidP="00CB46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4699">
        <w:rPr>
          <w:rFonts w:ascii="Times New Roman" w:hAnsi="Times New Roman" w:cs="Times New Roman"/>
          <w:b/>
          <w:bCs/>
          <w:sz w:val="28"/>
          <w:szCs w:val="28"/>
        </w:rPr>
        <w:t xml:space="preserve">Low rate of clinically evident extravascular hemolysis in patients with paroxysmal nocturnal hemoglobinuria treated with a complement C5 inhibitor: results from a large, multicenter, US real-world study  </w:t>
      </w:r>
    </w:p>
    <w:p w14:paraId="6FE63675" w14:textId="4BA1AB2B" w:rsidR="00CB4699" w:rsidRPr="00CB4699" w:rsidRDefault="00CB4699" w:rsidP="00CB46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B4699">
        <w:rPr>
          <w:rFonts w:ascii="Times New Roman" w:hAnsi="Times New Roman" w:cs="Times New Roman"/>
          <w:sz w:val="24"/>
          <w:szCs w:val="24"/>
        </w:rPr>
        <w:t>Jamile Shammo</w:t>
      </w:r>
      <w:r w:rsidRPr="00CB4699">
        <w:rPr>
          <w:rFonts w:ascii="Times New Roman" w:hAnsi="Times New Roman" w:cs="Times New Roman"/>
          <w:sz w:val="24"/>
          <w:szCs w:val="24"/>
        </w:rPr>
        <w:t xml:space="preserve"> </w:t>
      </w:r>
      <w:r w:rsidRPr="00CB4699">
        <w:rPr>
          <w:rFonts w:ascii="Times New Roman" w:hAnsi="Times New Roman" w:cs="Times New Roman"/>
          <w:i/>
          <w:iCs/>
          <w:sz w:val="24"/>
          <w:szCs w:val="24"/>
        </w:rPr>
        <w:t>et al.</w:t>
      </w:r>
    </w:p>
    <w:p w14:paraId="4AF85A85" w14:textId="6DC419BE" w:rsidR="00CB4699" w:rsidRPr="00345755" w:rsidRDefault="00CB4699" w:rsidP="00CB4699">
      <w:pPr>
        <w:pStyle w:val="Heading1"/>
        <w:rPr>
          <w:color w:val="000000"/>
        </w:rPr>
      </w:pPr>
      <w:r w:rsidRPr="00345755">
        <w:rPr>
          <w:color w:val="000000"/>
        </w:rPr>
        <w:t>Supplemental material</w:t>
      </w:r>
    </w:p>
    <w:p w14:paraId="34B58266" w14:textId="77777777" w:rsidR="00CB4699" w:rsidRPr="00345755" w:rsidRDefault="00CB4699" w:rsidP="00CB4699">
      <w:pPr>
        <w:spacing w:line="240" w:lineRule="auto"/>
        <w:rPr>
          <w:rFonts w:ascii="Times New Roman" w:hAnsi="Times New Roman" w:cs="Times New Roman"/>
          <w:i/>
          <w:iCs/>
          <w:color w:val="000000"/>
        </w:rPr>
      </w:pPr>
      <w:r w:rsidRPr="00345755">
        <w:rPr>
          <w:rFonts w:ascii="Times New Roman" w:hAnsi="Times New Roman" w:cs="Times New Roman"/>
          <w:b/>
          <w:bCs/>
          <w:color w:val="000000"/>
        </w:rPr>
        <w:t>Supplemental Table 1</w:t>
      </w:r>
      <w:r w:rsidRPr="00345755">
        <w:rPr>
          <w:rFonts w:ascii="Times New Roman" w:hAnsi="Times New Roman" w:cs="Times New Roman"/>
          <w:color w:val="000000"/>
        </w:rPr>
        <w:t xml:space="preserve"> Demographics and disease characteristics prior to the initiation of any C5 inhibitor (by subgroup)</w:t>
      </w:r>
    </w:p>
    <w:tbl>
      <w:tblPr>
        <w:tblStyle w:val="TableGrid"/>
        <w:tblW w:w="10350" w:type="dxa"/>
        <w:tblLook w:val="0420" w:firstRow="1" w:lastRow="0" w:firstColumn="0" w:lastColumn="0" w:noHBand="0" w:noVBand="1"/>
      </w:tblPr>
      <w:tblGrid>
        <w:gridCol w:w="4750"/>
        <w:gridCol w:w="1820"/>
        <w:gridCol w:w="1890"/>
        <w:gridCol w:w="1890"/>
      </w:tblGrid>
      <w:tr w:rsidR="00CB4699" w:rsidRPr="00345755" w14:paraId="35549C67" w14:textId="77777777" w:rsidTr="00973758">
        <w:trPr>
          <w:trHeight w:val="900"/>
        </w:trPr>
        <w:tc>
          <w:tcPr>
            <w:tcW w:w="4750" w:type="dxa"/>
            <w:hideMark/>
          </w:tcPr>
          <w:p w14:paraId="325853F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hideMark/>
          </w:tcPr>
          <w:p w14:paraId="019A7E4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Eculizumab only</w:t>
            </w:r>
          </w:p>
          <w:p w14:paraId="1EEA54B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n=53</w:t>
            </w:r>
          </w:p>
        </w:tc>
        <w:tc>
          <w:tcPr>
            <w:tcW w:w="1890" w:type="dxa"/>
            <w:hideMark/>
          </w:tcPr>
          <w:p w14:paraId="1EBFABF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Ravulizumab only</w:t>
            </w:r>
          </w:p>
          <w:p w14:paraId="3A34373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n=32</w:t>
            </w:r>
          </w:p>
        </w:tc>
        <w:tc>
          <w:tcPr>
            <w:tcW w:w="1890" w:type="dxa"/>
            <w:hideMark/>
          </w:tcPr>
          <w:p w14:paraId="0038434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Switch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  <w:p w14:paraId="097A567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n=15</w:t>
            </w:r>
          </w:p>
        </w:tc>
      </w:tr>
      <w:tr w:rsidR="00CB4699" w:rsidRPr="00345755" w14:paraId="41579DA1" w14:textId="77777777" w:rsidTr="00973758">
        <w:trPr>
          <w:trHeight w:val="288"/>
        </w:trPr>
        <w:tc>
          <w:tcPr>
            <w:tcW w:w="4750" w:type="dxa"/>
            <w:hideMark/>
          </w:tcPr>
          <w:p w14:paraId="0A00FCF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Age at diagnosis (years) </w:t>
            </w:r>
          </w:p>
        </w:tc>
        <w:tc>
          <w:tcPr>
            <w:tcW w:w="1820" w:type="dxa"/>
            <w:hideMark/>
          </w:tcPr>
          <w:p w14:paraId="62F56D5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14:paraId="7C71012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14:paraId="16471E0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29150E1D" w14:textId="77777777" w:rsidTr="00973758">
        <w:trPr>
          <w:trHeight w:val="288"/>
        </w:trPr>
        <w:tc>
          <w:tcPr>
            <w:tcW w:w="4750" w:type="dxa"/>
            <w:hideMark/>
          </w:tcPr>
          <w:p w14:paraId="5946EDF9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Mean ± SD</w:t>
            </w:r>
          </w:p>
        </w:tc>
        <w:tc>
          <w:tcPr>
            <w:tcW w:w="1820" w:type="dxa"/>
            <w:hideMark/>
          </w:tcPr>
          <w:p w14:paraId="1124440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55.5±11.0</w:t>
            </w:r>
          </w:p>
        </w:tc>
        <w:tc>
          <w:tcPr>
            <w:tcW w:w="1890" w:type="dxa"/>
            <w:hideMark/>
          </w:tcPr>
          <w:p w14:paraId="37534AF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53.8±9.7</w:t>
            </w:r>
          </w:p>
        </w:tc>
        <w:tc>
          <w:tcPr>
            <w:tcW w:w="1890" w:type="dxa"/>
            <w:hideMark/>
          </w:tcPr>
          <w:p w14:paraId="1170A27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50.8±10.4</w:t>
            </w:r>
          </w:p>
        </w:tc>
      </w:tr>
      <w:tr w:rsidR="00CB4699" w:rsidRPr="00345755" w14:paraId="5BAE3133" w14:textId="77777777" w:rsidTr="00973758">
        <w:trPr>
          <w:trHeight w:val="288"/>
        </w:trPr>
        <w:tc>
          <w:tcPr>
            <w:tcW w:w="4750" w:type="dxa"/>
            <w:hideMark/>
          </w:tcPr>
          <w:p w14:paraId="27CB3D7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Age at start of therapy (years)</w:t>
            </w:r>
          </w:p>
        </w:tc>
        <w:tc>
          <w:tcPr>
            <w:tcW w:w="1820" w:type="dxa"/>
            <w:hideMark/>
          </w:tcPr>
          <w:p w14:paraId="3B00AF6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14:paraId="2456DC3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14:paraId="334AE7D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201F0E25" w14:textId="77777777" w:rsidTr="00973758">
        <w:trPr>
          <w:trHeight w:val="288"/>
        </w:trPr>
        <w:tc>
          <w:tcPr>
            <w:tcW w:w="4750" w:type="dxa"/>
            <w:hideMark/>
          </w:tcPr>
          <w:p w14:paraId="44A24D8A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Mean ± SD</w:t>
            </w:r>
          </w:p>
        </w:tc>
        <w:tc>
          <w:tcPr>
            <w:tcW w:w="1820" w:type="dxa"/>
            <w:hideMark/>
          </w:tcPr>
          <w:p w14:paraId="2185831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55.6±11.1</w:t>
            </w:r>
          </w:p>
        </w:tc>
        <w:tc>
          <w:tcPr>
            <w:tcW w:w="1890" w:type="dxa"/>
            <w:hideMark/>
          </w:tcPr>
          <w:p w14:paraId="1A021E8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53.8±9.7</w:t>
            </w:r>
          </w:p>
        </w:tc>
        <w:tc>
          <w:tcPr>
            <w:tcW w:w="1890" w:type="dxa"/>
            <w:hideMark/>
          </w:tcPr>
          <w:p w14:paraId="5E593A5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52.7±11.3</w:t>
            </w:r>
          </w:p>
        </w:tc>
      </w:tr>
      <w:tr w:rsidR="00CB4699" w:rsidRPr="00345755" w14:paraId="4F8D1B5C" w14:textId="77777777" w:rsidTr="00973758">
        <w:trPr>
          <w:trHeight w:val="288"/>
        </w:trPr>
        <w:tc>
          <w:tcPr>
            <w:tcW w:w="4750" w:type="dxa"/>
            <w:hideMark/>
          </w:tcPr>
          <w:p w14:paraId="626E575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Male sex, n (%)</w:t>
            </w:r>
          </w:p>
        </w:tc>
        <w:tc>
          <w:tcPr>
            <w:tcW w:w="1820" w:type="dxa"/>
            <w:hideMark/>
          </w:tcPr>
          <w:p w14:paraId="3E1888E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30 (56.6%)</w:t>
            </w:r>
          </w:p>
        </w:tc>
        <w:tc>
          <w:tcPr>
            <w:tcW w:w="1890" w:type="dxa"/>
            <w:hideMark/>
          </w:tcPr>
          <w:p w14:paraId="4E48F4E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19 (59.4%)</w:t>
            </w:r>
          </w:p>
        </w:tc>
        <w:tc>
          <w:tcPr>
            <w:tcW w:w="1890" w:type="dxa"/>
            <w:hideMark/>
          </w:tcPr>
          <w:p w14:paraId="5FE782A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8 (53.3%)</w:t>
            </w:r>
          </w:p>
        </w:tc>
      </w:tr>
      <w:tr w:rsidR="00CB4699" w:rsidRPr="00345755" w14:paraId="53824C86" w14:textId="77777777" w:rsidTr="00973758">
        <w:trPr>
          <w:trHeight w:val="288"/>
        </w:trPr>
        <w:tc>
          <w:tcPr>
            <w:tcW w:w="4750" w:type="dxa"/>
            <w:hideMark/>
          </w:tcPr>
          <w:p w14:paraId="735F839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Race, n (%)</w:t>
            </w:r>
          </w:p>
        </w:tc>
        <w:tc>
          <w:tcPr>
            <w:tcW w:w="1820" w:type="dxa"/>
            <w:hideMark/>
          </w:tcPr>
          <w:p w14:paraId="3247482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14:paraId="73A7474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14:paraId="73670D9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62B7ED80" w14:textId="77777777" w:rsidTr="00973758">
        <w:trPr>
          <w:trHeight w:val="288"/>
        </w:trPr>
        <w:tc>
          <w:tcPr>
            <w:tcW w:w="4750" w:type="dxa"/>
            <w:hideMark/>
          </w:tcPr>
          <w:p w14:paraId="48BEA0B3" w14:textId="77777777" w:rsidR="00CB4699" w:rsidRPr="00345755" w:rsidRDefault="00CB4699" w:rsidP="00973758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White</w:t>
            </w:r>
          </w:p>
        </w:tc>
        <w:tc>
          <w:tcPr>
            <w:tcW w:w="1820" w:type="dxa"/>
            <w:hideMark/>
          </w:tcPr>
          <w:p w14:paraId="5427BBB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35 (66.0%)</w:t>
            </w:r>
          </w:p>
        </w:tc>
        <w:tc>
          <w:tcPr>
            <w:tcW w:w="1890" w:type="dxa"/>
            <w:hideMark/>
          </w:tcPr>
          <w:p w14:paraId="1358EFF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22 (68.8%)</w:t>
            </w:r>
          </w:p>
        </w:tc>
        <w:tc>
          <w:tcPr>
            <w:tcW w:w="1890" w:type="dxa"/>
            <w:hideMark/>
          </w:tcPr>
          <w:p w14:paraId="55F9943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11 (73.3%)</w:t>
            </w:r>
          </w:p>
        </w:tc>
      </w:tr>
      <w:tr w:rsidR="00CB4699" w:rsidRPr="00345755" w14:paraId="40025C6A" w14:textId="77777777" w:rsidTr="00973758">
        <w:trPr>
          <w:trHeight w:val="288"/>
        </w:trPr>
        <w:tc>
          <w:tcPr>
            <w:tcW w:w="4750" w:type="dxa"/>
            <w:hideMark/>
          </w:tcPr>
          <w:p w14:paraId="451F3A71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Asian</w:t>
            </w:r>
          </w:p>
        </w:tc>
        <w:tc>
          <w:tcPr>
            <w:tcW w:w="1820" w:type="dxa"/>
            <w:hideMark/>
          </w:tcPr>
          <w:p w14:paraId="5A11CCF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 (9.4%)</w:t>
            </w:r>
          </w:p>
        </w:tc>
        <w:tc>
          <w:tcPr>
            <w:tcW w:w="1890" w:type="dxa"/>
            <w:hideMark/>
          </w:tcPr>
          <w:p w14:paraId="77F0868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 (6.3%)</w:t>
            </w:r>
          </w:p>
        </w:tc>
        <w:tc>
          <w:tcPr>
            <w:tcW w:w="1890" w:type="dxa"/>
            <w:hideMark/>
          </w:tcPr>
          <w:p w14:paraId="6166CE3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6E211A66" w14:textId="77777777" w:rsidTr="00973758">
        <w:trPr>
          <w:trHeight w:val="288"/>
        </w:trPr>
        <w:tc>
          <w:tcPr>
            <w:tcW w:w="4750" w:type="dxa"/>
            <w:hideMark/>
          </w:tcPr>
          <w:p w14:paraId="35A02414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Black/African American</w:t>
            </w:r>
          </w:p>
        </w:tc>
        <w:tc>
          <w:tcPr>
            <w:tcW w:w="1820" w:type="dxa"/>
            <w:hideMark/>
          </w:tcPr>
          <w:p w14:paraId="5B94D76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13 (24.5%)</w:t>
            </w:r>
          </w:p>
        </w:tc>
        <w:tc>
          <w:tcPr>
            <w:tcW w:w="1890" w:type="dxa"/>
            <w:hideMark/>
          </w:tcPr>
          <w:p w14:paraId="78175BF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8 (25.0%)</w:t>
            </w:r>
          </w:p>
        </w:tc>
        <w:tc>
          <w:tcPr>
            <w:tcW w:w="1890" w:type="dxa"/>
            <w:hideMark/>
          </w:tcPr>
          <w:p w14:paraId="3330B1C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 (13.3%)</w:t>
            </w:r>
          </w:p>
        </w:tc>
      </w:tr>
      <w:tr w:rsidR="00CB4699" w:rsidRPr="00345755" w14:paraId="17EDFC17" w14:textId="77777777" w:rsidTr="00973758">
        <w:trPr>
          <w:trHeight w:val="288"/>
        </w:trPr>
        <w:tc>
          <w:tcPr>
            <w:tcW w:w="4750" w:type="dxa"/>
          </w:tcPr>
          <w:p w14:paraId="06FEA59B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Other/not reported</w:t>
            </w:r>
          </w:p>
        </w:tc>
        <w:tc>
          <w:tcPr>
            <w:tcW w:w="1820" w:type="dxa"/>
          </w:tcPr>
          <w:p w14:paraId="7223EA2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890" w:type="dxa"/>
          </w:tcPr>
          <w:p w14:paraId="66DB830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890" w:type="dxa"/>
          </w:tcPr>
          <w:p w14:paraId="0E3EBD3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32C66A6B" w14:textId="77777777" w:rsidTr="00973758">
        <w:trPr>
          <w:trHeight w:val="288"/>
        </w:trPr>
        <w:tc>
          <w:tcPr>
            <w:tcW w:w="4750" w:type="dxa"/>
          </w:tcPr>
          <w:p w14:paraId="1FECC3AB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Ethnicity, n (%)</w:t>
            </w:r>
          </w:p>
        </w:tc>
        <w:tc>
          <w:tcPr>
            <w:tcW w:w="1820" w:type="dxa"/>
          </w:tcPr>
          <w:p w14:paraId="591B2B4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257E01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03CAD0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25D1D971" w14:textId="77777777" w:rsidTr="00973758">
        <w:trPr>
          <w:trHeight w:val="288"/>
        </w:trPr>
        <w:tc>
          <w:tcPr>
            <w:tcW w:w="4750" w:type="dxa"/>
          </w:tcPr>
          <w:p w14:paraId="00ED4DEE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Hispanic/Latino/Latina</w:t>
            </w:r>
          </w:p>
        </w:tc>
        <w:tc>
          <w:tcPr>
            <w:tcW w:w="1820" w:type="dxa"/>
          </w:tcPr>
          <w:p w14:paraId="2AD35C7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 (7.5%)</w:t>
            </w:r>
          </w:p>
        </w:tc>
        <w:tc>
          <w:tcPr>
            <w:tcW w:w="1890" w:type="dxa"/>
          </w:tcPr>
          <w:p w14:paraId="098FBD4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(3.1%)</w:t>
            </w:r>
          </w:p>
        </w:tc>
        <w:tc>
          <w:tcPr>
            <w:tcW w:w="1890" w:type="dxa"/>
          </w:tcPr>
          <w:p w14:paraId="6A5DA6B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 (13.3%)</w:t>
            </w:r>
          </w:p>
        </w:tc>
      </w:tr>
      <w:tr w:rsidR="00CB4699" w:rsidRPr="00345755" w14:paraId="3A809451" w14:textId="77777777" w:rsidTr="00973758">
        <w:trPr>
          <w:trHeight w:val="288"/>
        </w:trPr>
        <w:tc>
          <w:tcPr>
            <w:tcW w:w="4750" w:type="dxa"/>
          </w:tcPr>
          <w:p w14:paraId="7E8F981E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Non-Hispanic/Latino/Latina</w:t>
            </w:r>
          </w:p>
        </w:tc>
        <w:tc>
          <w:tcPr>
            <w:tcW w:w="1820" w:type="dxa"/>
          </w:tcPr>
          <w:p w14:paraId="65CBAF7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49 (92.5%)</w:t>
            </w:r>
          </w:p>
        </w:tc>
        <w:tc>
          <w:tcPr>
            <w:tcW w:w="1890" w:type="dxa"/>
          </w:tcPr>
          <w:p w14:paraId="5216FF6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31 (96.9%)</w:t>
            </w:r>
          </w:p>
        </w:tc>
        <w:tc>
          <w:tcPr>
            <w:tcW w:w="1890" w:type="dxa"/>
          </w:tcPr>
          <w:p w14:paraId="5750314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(86.7%) </w:t>
            </w:r>
          </w:p>
        </w:tc>
      </w:tr>
      <w:tr w:rsidR="00CB4699" w:rsidRPr="00345755" w14:paraId="28064315" w14:textId="77777777" w:rsidTr="00973758">
        <w:trPr>
          <w:trHeight w:val="288"/>
        </w:trPr>
        <w:tc>
          <w:tcPr>
            <w:tcW w:w="4750" w:type="dxa"/>
          </w:tcPr>
          <w:p w14:paraId="71C6C17D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Comorbidities (&gt;10% of patients), n (%)</w:t>
            </w:r>
          </w:p>
        </w:tc>
        <w:tc>
          <w:tcPr>
            <w:tcW w:w="1820" w:type="dxa"/>
          </w:tcPr>
          <w:p w14:paraId="70F9BEF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820BD0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AFFF27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558EE562" w14:textId="77777777" w:rsidTr="00973758">
        <w:trPr>
          <w:trHeight w:val="288"/>
        </w:trPr>
        <w:tc>
          <w:tcPr>
            <w:tcW w:w="4750" w:type="dxa"/>
          </w:tcPr>
          <w:p w14:paraId="134853C6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Hypertension</w:t>
            </w:r>
          </w:p>
        </w:tc>
        <w:tc>
          <w:tcPr>
            <w:tcW w:w="1820" w:type="dxa"/>
          </w:tcPr>
          <w:p w14:paraId="58C28FE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29 (54.7%)</w:t>
            </w:r>
          </w:p>
        </w:tc>
        <w:tc>
          <w:tcPr>
            <w:tcW w:w="1890" w:type="dxa"/>
          </w:tcPr>
          <w:p w14:paraId="3B18250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14 (43.8%)</w:t>
            </w:r>
          </w:p>
        </w:tc>
        <w:tc>
          <w:tcPr>
            <w:tcW w:w="1890" w:type="dxa"/>
          </w:tcPr>
          <w:p w14:paraId="285164A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7 (46.7%)</w:t>
            </w:r>
          </w:p>
        </w:tc>
      </w:tr>
      <w:tr w:rsidR="00CB4699" w:rsidRPr="00345755" w14:paraId="4A070C28" w14:textId="77777777" w:rsidTr="00973758">
        <w:trPr>
          <w:trHeight w:val="288"/>
        </w:trPr>
        <w:tc>
          <w:tcPr>
            <w:tcW w:w="4750" w:type="dxa"/>
          </w:tcPr>
          <w:p w14:paraId="6602B977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Depression</w:t>
            </w:r>
          </w:p>
        </w:tc>
        <w:tc>
          <w:tcPr>
            <w:tcW w:w="1820" w:type="dxa"/>
          </w:tcPr>
          <w:p w14:paraId="1191F46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9 (17.0%)</w:t>
            </w:r>
          </w:p>
        </w:tc>
        <w:tc>
          <w:tcPr>
            <w:tcW w:w="1890" w:type="dxa"/>
          </w:tcPr>
          <w:p w14:paraId="2759FC0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7 (21.9%)</w:t>
            </w:r>
          </w:p>
        </w:tc>
        <w:tc>
          <w:tcPr>
            <w:tcW w:w="1890" w:type="dxa"/>
          </w:tcPr>
          <w:p w14:paraId="4226152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 (20.0%)</w:t>
            </w:r>
          </w:p>
        </w:tc>
      </w:tr>
      <w:tr w:rsidR="00CB4699" w:rsidRPr="00345755" w14:paraId="4A982AAD" w14:textId="77777777" w:rsidTr="00973758">
        <w:trPr>
          <w:trHeight w:val="288"/>
        </w:trPr>
        <w:tc>
          <w:tcPr>
            <w:tcW w:w="4750" w:type="dxa"/>
          </w:tcPr>
          <w:p w14:paraId="0B6A25D6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Diabetes</w:t>
            </w:r>
          </w:p>
        </w:tc>
        <w:tc>
          <w:tcPr>
            <w:tcW w:w="1820" w:type="dxa"/>
          </w:tcPr>
          <w:p w14:paraId="023A4B4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10 (18.9%)</w:t>
            </w:r>
          </w:p>
        </w:tc>
        <w:tc>
          <w:tcPr>
            <w:tcW w:w="1890" w:type="dxa"/>
          </w:tcPr>
          <w:p w14:paraId="11668FA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6 (18.8%)</w:t>
            </w:r>
          </w:p>
        </w:tc>
        <w:tc>
          <w:tcPr>
            <w:tcW w:w="1890" w:type="dxa"/>
          </w:tcPr>
          <w:p w14:paraId="26A2B22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247B76FC" w14:textId="77777777" w:rsidTr="00973758">
        <w:trPr>
          <w:trHeight w:val="288"/>
        </w:trPr>
        <w:tc>
          <w:tcPr>
            <w:tcW w:w="4750" w:type="dxa"/>
          </w:tcPr>
          <w:p w14:paraId="4AA9F967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Cardiovascular disease</w:t>
            </w:r>
          </w:p>
        </w:tc>
        <w:tc>
          <w:tcPr>
            <w:tcW w:w="1820" w:type="dxa"/>
          </w:tcPr>
          <w:p w14:paraId="75D1B3F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8 (15.1%)</w:t>
            </w:r>
          </w:p>
        </w:tc>
        <w:tc>
          <w:tcPr>
            <w:tcW w:w="1890" w:type="dxa"/>
          </w:tcPr>
          <w:p w14:paraId="08F2ED5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 (12.5%)</w:t>
            </w:r>
          </w:p>
        </w:tc>
        <w:tc>
          <w:tcPr>
            <w:tcW w:w="1890" w:type="dxa"/>
          </w:tcPr>
          <w:p w14:paraId="6A88FDB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 (20.0%)</w:t>
            </w:r>
          </w:p>
        </w:tc>
      </w:tr>
      <w:tr w:rsidR="00CB4699" w:rsidRPr="00345755" w14:paraId="13CAE1C9" w14:textId="77777777" w:rsidTr="00973758">
        <w:trPr>
          <w:trHeight w:val="288"/>
        </w:trPr>
        <w:tc>
          <w:tcPr>
            <w:tcW w:w="4750" w:type="dxa"/>
          </w:tcPr>
          <w:p w14:paraId="2F9058EC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TE (arterial or venous)</w:t>
            </w:r>
          </w:p>
        </w:tc>
        <w:tc>
          <w:tcPr>
            <w:tcW w:w="1820" w:type="dxa"/>
          </w:tcPr>
          <w:p w14:paraId="4FB0122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11 (20.8%)</w:t>
            </w:r>
          </w:p>
        </w:tc>
        <w:tc>
          <w:tcPr>
            <w:tcW w:w="1890" w:type="dxa"/>
          </w:tcPr>
          <w:p w14:paraId="30B43EE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 (9.4%)</w:t>
            </w:r>
          </w:p>
        </w:tc>
        <w:tc>
          <w:tcPr>
            <w:tcW w:w="1890" w:type="dxa"/>
          </w:tcPr>
          <w:p w14:paraId="0DDDDF4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247AF155" w14:textId="77777777" w:rsidTr="00973758">
        <w:trPr>
          <w:trHeight w:val="288"/>
        </w:trPr>
        <w:tc>
          <w:tcPr>
            <w:tcW w:w="4750" w:type="dxa"/>
          </w:tcPr>
          <w:p w14:paraId="6944AAB1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History of MDS or AA, n (%)</w:t>
            </w:r>
          </w:p>
        </w:tc>
        <w:tc>
          <w:tcPr>
            <w:tcW w:w="1820" w:type="dxa"/>
          </w:tcPr>
          <w:p w14:paraId="0A553DD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8 (15.1%)</w:t>
            </w:r>
          </w:p>
        </w:tc>
        <w:tc>
          <w:tcPr>
            <w:tcW w:w="1890" w:type="dxa"/>
          </w:tcPr>
          <w:p w14:paraId="033320E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 (15.6%)</w:t>
            </w:r>
          </w:p>
        </w:tc>
        <w:tc>
          <w:tcPr>
            <w:tcW w:w="1890" w:type="dxa"/>
          </w:tcPr>
          <w:p w14:paraId="5B81FAA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2613C449" w14:textId="77777777" w:rsidTr="00973758">
        <w:trPr>
          <w:trHeight w:val="288"/>
        </w:trPr>
        <w:tc>
          <w:tcPr>
            <w:tcW w:w="4750" w:type="dxa"/>
            <w:hideMark/>
          </w:tcPr>
          <w:p w14:paraId="1B89079F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MDS</w:t>
            </w:r>
          </w:p>
        </w:tc>
        <w:tc>
          <w:tcPr>
            <w:tcW w:w="1820" w:type="dxa"/>
            <w:hideMark/>
          </w:tcPr>
          <w:p w14:paraId="72F62C0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6 (11.3%)</w:t>
            </w:r>
          </w:p>
        </w:tc>
        <w:tc>
          <w:tcPr>
            <w:tcW w:w="1890" w:type="dxa"/>
            <w:hideMark/>
          </w:tcPr>
          <w:p w14:paraId="6903535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890" w:type="dxa"/>
            <w:hideMark/>
          </w:tcPr>
          <w:p w14:paraId="3FA1324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4762FF8D" w14:textId="77777777" w:rsidTr="00973758">
        <w:trPr>
          <w:trHeight w:val="288"/>
        </w:trPr>
        <w:tc>
          <w:tcPr>
            <w:tcW w:w="4750" w:type="dxa"/>
          </w:tcPr>
          <w:p w14:paraId="5F5DF836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AA</w:t>
            </w:r>
          </w:p>
        </w:tc>
        <w:tc>
          <w:tcPr>
            <w:tcW w:w="1820" w:type="dxa"/>
          </w:tcPr>
          <w:p w14:paraId="33082BB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 (3.8%)</w:t>
            </w:r>
          </w:p>
        </w:tc>
        <w:tc>
          <w:tcPr>
            <w:tcW w:w="1890" w:type="dxa"/>
          </w:tcPr>
          <w:p w14:paraId="5B81441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 (15.6%)</w:t>
            </w:r>
          </w:p>
        </w:tc>
        <w:tc>
          <w:tcPr>
            <w:tcW w:w="1890" w:type="dxa"/>
          </w:tcPr>
          <w:p w14:paraId="091D62C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</w:tr>
      <w:tr w:rsidR="00CB4699" w:rsidRPr="00345755" w14:paraId="4096A89D" w14:textId="77777777" w:rsidTr="00973758">
        <w:trPr>
          <w:trHeight w:val="288"/>
        </w:trPr>
        <w:tc>
          <w:tcPr>
            <w:tcW w:w="4750" w:type="dxa"/>
          </w:tcPr>
          <w:p w14:paraId="3BF291D9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Active bone marrow failure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820" w:type="dxa"/>
          </w:tcPr>
          <w:p w14:paraId="63D2129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D1F0B4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AFFC0D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6FB8A4ED" w14:textId="77777777" w:rsidTr="00973758">
        <w:trPr>
          <w:trHeight w:val="288"/>
        </w:trPr>
        <w:tc>
          <w:tcPr>
            <w:tcW w:w="4750" w:type="dxa"/>
          </w:tcPr>
          <w:p w14:paraId="6ECF7011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Yes, n (%)</w:t>
            </w:r>
          </w:p>
        </w:tc>
        <w:tc>
          <w:tcPr>
            <w:tcW w:w="1820" w:type="dxa"/>
          </w:tcPr>
          <w:p w14:paraId="270B1EA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13 (24.5%)</w:t>
            </w:r>
          </w:p>
        </w:tc>
        <w:tc>
          <w:tcPr>
            <w:tcW w:w="1890" w:type="dxa"/>
          </w:tcPr>
          <w:p w14:paraId="70A2FA6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9 (28.1%)</w:t>
            </w:r>
          </w:p>
        </w:tc>
        <w:tc>
          <w:tcPr>
            <w:tcW w:w="1890" w:type="dxa"/>
          </w:tcPr>
          <w:p w14:paraId="376D1B2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 (13.3%)</w:t>
            </w:r>
          </w:p>
        </w:tc>
      </w:tr>
      <w:tr w:rsidR="00CB4699" w:rsidRPr="00345755" w14:paraId="193AB7D5" w14:textId="77777777" w:rsidTr="00973758">
        <w:trPr>
          <w:trHeight w:val="288"/>
        </w:trPr>
        <w:tc>
          <w:tcPr>
            <w:tcW w:w="4750" w:type="dxa"/>
          </w:tcPr>
          <w:p w14:paraId="199C038C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Data missing</w:t>
            </w:r>
          </w:p>
        </w:tc>
        <w:tc>
          <w:tcPr>
            <w:tcW w:w="1820" w:type="dxa"/>
          </w:tcPr>
          <w:p w14:paraId="1140D79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7F9CA65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14:paraId="37A6E8B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B4699" w:rsidRPr="00345755" w14:paraId="626522FA" w14:textId="77777777" w:rsidTr="00973758">
        <w:trPr>
          <w:trHeight w:val="288"/>
        </w:trPr>
        <w:tc>
          <w:tcPr>
            <w:tcW w:w="4750" w:type="dxa"/>
          </w:tcPr>
          <w:p w14:paraId="7CAB29D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Disease characteristics</w:t>
            </w:r>
          </w:p>
        </w:tc>
        <w:tc>
          <w:tcPr>
            <w:tcW w:w="1820" w:type="dxa"/>
            <w:hideMark/>
          </w:tcPr>
          <w:p w14:paraId="4D6FFCA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14:paraId="5C3DA39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14:paraId="43BA6FF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099DCACC" w14:textId="77777777" w:rsidTr="00973758">
        <w:trPr>
          <w:trHeight w:val="288"/>
        </w:trPr>
        <w:tc>
          <w:tcPr>
            <w:tcW w:w="4750" w:type="dxa"/>
            <w:hideMark/>
          </w:tcPr>
          <w:p w14:paraId="5CFBB406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GPI-deficient granulocytes </w:t>
            </w:r>
          </w:p>
        </w:tc>
        <w:tc>
          <w:tcPr>
            <w:tcW w:w="1820" w:type="dxa"/>
          </w:tcPr>
          <w:p w14:paraId="3F3636E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DE504E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5F9C23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79AAD89E" w14:textId="77777777" w:rsidTr="00973758">
        <w:trPr>
          <w:trHeight w:val="288"/>
        </w:trPr>
        <w:tc>
          <w:tcPr>
            <w:tcW w:w="4750" w:type="dxa"/>
            <w:hideMark/>
          </w:tcPr>
          <w:p w14:paraId="0579BAC5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ab/>
              <w:t>Mean ± SD</w:t>
            </w:r>
          </w:p>
        </w:tc>
        <w:tc>
          <w:tcPr>
            <w:tcW w:w="1820" w:type="dxa"/>
            <w:hideMark/>
          </w:tcPr>
          <w:p w14:paraId="29FED60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56.6±27.3</w:t>
            </w:r>
          </w:p>
        </w:tc>
        <w:tc>
          <w:tcPr>
            <w:tcW w:w="1890" w:type="dxa"/>
            <w:hideMark/>
          </w:tcPr>
          <w:p w14:paraId="3066C3A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43.9±21.3</w:t>
            </w:r>
          </w:p>
        </w:tc>
        <w:tc>
          <w:tcPr>
            <w:tcW w:w="1890" w:type="dxa"/>
            <w:hideMark/>
          </w:tcPr>
          <w:p w14:paraId="716CE56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63.3±31.5</w:t>
            </w:r>
          </w:p>
        </w:tc>
      </w:tr>
      <w:tr w:rsidR="00CB4699" w:rsidRPr="00345755" w14:paraId="45B1DA32" w14:textId="77777777" w:rsidTr="00973758">
        <w:trPr>
          <w:trHeight w:val="288"/>
        </w:trPr>
        <w:tc>
          <w:tcPr>
            <w:tcW w:w="4750" w:type="dxa"/>
          </w:tcPr>
          <w:p w14:paraId="2A452AFF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Median (IQR)</w:t>
            </w:r>
          </w:p>
        </w:tc>
        <w:tc>
          <w:tcPr>
            <w:tcW w:w="1820" w:type="dxa"/>
          </w:tcPr>
          <w:p w14:paraId="3A8F4D6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50.8 (35.2–80.0)</w:t>
            </w:r>
          </w:p>
        </w:tc>
        <w:tc>
          <w:tcPr>
            <w:tcW w:w="1890" w:type="dxa"/>
          </w:tcPr>
          <w:p w14:paraId="26986CC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40.5 (25.5–59.0)</w:t>
            </w:r>
          </w:p>
        </w:tc>
        <w:tc>
          <w:tcPr>
            <w:tcW w:w="1890" w:type="dxa"/>
          </w:tcPr>
          <w:p w14:paraId="40924019" w14:textId="77777777" w:rsidR="00CB4699" w:rsidRPr="00345755" w:rsidRDefault="00CB4699" w:rsidP="00973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60.0 (41.7–95.0)</w:t>
            </w:r>
          </w:p>
        </w:tc>
      </w:tr>
      <w:tr w:rsidR="00CB4699" w:rsidRPr="00345755" w14:paraId="298188E6" w14:textId="77777777" w:rsidTr="00973758">
        <w:trPr>
          <w:trHeight w:val="288"/>
        </w:trPr>
        <w:tc>
          <w:tcPr>
            <w:tcW w:w="4750" w:type="dxa"/>
          </w:tcPr>
          <w:p w14:paraId="530C853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% GPI-deficient monocytes</w:t>
            </w:r>
          </w:p>
        </w:tc>
        <w:tc>
          <w:tcPr>
            <w:tcW w:w="1820" w:type="dxa"/>
          </w:tcPr>
          <w:p w14:paraId="225F225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6B42BA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8FBA8A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5E0630D0" w14:textId="77777777" w:rsidTr="00973758">
        <w:trPr>
          <w:trHeight w:val="288"/>
        </w:trPr>
        <w:tc>
          <w:tcPr>
            <w:tcW w:w="4750" w:type="dxa"/>
          </w:tcPr>
          <w:p w14:paraId="696DB9EA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Mean ± SD</w:t>
            </w:r>
          </w:p>
        </w:tc>
        <w:tc>
          <w:tcPr>
            <w:tcW w:w="1820" w:type="dxa"/>
          </w:tcPr>
          <w:p w14:paraId="3182487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56.6±26.9</w:t>
            </w:r>
          </w:p>
        </w:tc>
        <w:tc>
          <w:tcPr>
            <w:tcW w:w="1890" w:type="dxa"/>
          </w:tcPr>
          <w:p w14:paraId="6E22936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45.5±23.0</w:t>
            </w:r>
          </w:p>
        </w:tc>
        <w:tc>
          <w:tcPr>
            <w:tcW w:w="1890" w:type="dxa"/>
          </w:tcPr>
          <w:p w14:paraId="3F7DF3F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63.7±30.1</w:t>
            </w:r>
          </w:p>
        </w:tc>
      </w:tr>
      <w:tr w:rsidR="00CB4699" w:rsidRPr="00345755" w14:paraId="1245AD3B" w14:textId="77777777" w:rsidTr="00973758">
        <w:trPr>
          <w:trHeight w:val="288"/>
        </w:trPr>
        <w:tc>
          <w:tcPr>
            <w:tcW w:w="4750" w:type="dxa"/>
          </w:tcPr>
          <w:p w14:paraId="2E8B77BA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Median (IQR)</w:t>
            </w:r>
          </w:p>
        </w:tc>
        <w:tc>
          <w:tcPr>
            <w:tcW w:w="1820" w:type="dxa"/>
          </w:tcPr>
          <w:p w14:paraId="377CDE15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55.2 (30.7–80.0)</w:t>
            </w:r>
          </w:p>
        </w:tc>
        <w:tc>
          <w:tcPr>
            <w:tcW w:w="1890" w:type="dxa"/>
          </w:tcPr>
          <w:p w14:paraId="4C60985B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42.8 (28.5–62.2)</w:t>
            </w:r>
          </w:p>
        </w:tc>
        <w:tc>
          <w:tcPr>
            <w:tcW w:w="1890" w:type="dxa"/>
          </w:tcPr>
          <w:p w14:paraId="30C1B4E6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65 (36.0–95.0)</w:t>
            </w:r>
          </w:p>
        </w:tc>
      </w:tr>
      <w:tr w:rsidR="00CB4699" w:rsidRPr="00345755" w14:paraId="15369E40" w14:textId="77777777" w:rsidTr="00973758">
        <w:trPr>
          <w:trHeight w:val="288"/>
        </w:trPr>
        <w:tc>
          <w:tcPr>
            <w:tcW w:w="4750" w:type="dxa"/>
          </w:tcPr>
          <w:p w14:paraId="16136376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Data missing</w:t>
            </w:r>
          </w:p>
        </w:tc>
        <w:tc>
          <w:tcPr>
            <w:tcW w:w="1820" w:type="dxa"/>
          </w:tcPr>
          <w:p w14:paraId="00DB741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7E01887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14:paraId="1BDD55F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B4699" w:rsidRPr="00345755" w14:paraId="384F5414" w14:textId="77777777" w:rsidTr="00973758">
        <w:trPr>
          <w:trHeight w:val="288"/>
        </w:trPr>
        <w:tc>
          <w:tcPr>
            <w:tcW w:w="4750" w:type="dxa"/>
          </w:tcPr>
          <w:p w14:paraId="6B61AA5B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% GPI-deficient total RBCs</w:t>
            </w:r>
          </w:p>
        </w:tc>
        <w:tc>
          <w:tcPr>
            <w:tcW w:w="1820" w:type="dxa"/>
          </w:tcPr>
          <w:p w14:paraId="1CD14C3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466784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A213DD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0E52D803" w14:textId="77777777" w:rsidTr="00973758">
        <w:trPr>
          <w:trHeight w:val="288"/>
        </w:trPr>
        <w:tc>
          <w:tcPr>
            <w:tcW w:w="4750" w:type="dxa"/>
          </w:tcPr>
          <w:p w14:paraId="5659425B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Mean ± SD</w:t>
            </w:r>
          </w:p>
        </w:tc>
        <w:tc>
          <w:tcPr>
            <w:tcW w:w="1820" w:type="dxa"/>
          </w:tcPr>
          <w:p w14:paraId="395374A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48.0±26.1</w:t>
            </w:r>
          </w:p>
        </w:tc>
        <w:tc>
          <w:tcPr>
            <w:tcW w:w="1890" w:type="dxa"/>
          </w:tcPr>
          <w:p w14:paraId="51AEEB1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39.1±24.6</w:t>
            </w:r>
          </w:p>
        </w:tc>
        <w:tc>
          <w:tcPr>
            <w:tcW w:w="1890" w:type="dxa"/>
          </w:tcPr>
          <w:p w14:paraId="3E7E4CB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49.2±36.2</w:t>
            </w:r>
          </w:p>
        </w:tc>
      </w:tr>
      <w:tr w:rsidR="00CB4699" w:rsidRPr="00345755" w14:paraId="3CF08D02" w14:textId="77777777" w:rsidTr="00973758">
        <w:trPr>
          <w:trHeight w:val="288"/>
        </w:trPr>
        <w:tc>
          <w:tcPr>
            <w:tcW w:w="4750" w:type="dxa"/>
          </w:tcPr>
          <w:p w14:paraId="1B35AD67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Median (IQR)</w:t>
            </w:r>
          </w:p>
        </w:tc>
        <w:tc>
          <w:tcPr>
            <w:tcW w:w="1820" w:type="dxa"/>
          </w:tcPr>
          <w:p w14:paraId="754A18B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43.8 (30.0–65.6)</w:t>
            </w:r>
          </w:p>
        </w:tc>
        <w:tc>
          <w:tcPr>
            <w:tcW w:w="1890" w:type="dxa"/>
          </w:tcPr>
          <w:p w14:paraId="36A4001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38 (20.0–60.0)</w:t>
            </w:r>
          </w:p>
        </w:tc>
        <w:tc>
          <w:tcPr>
            <w:tcW w:w="1890" w:type="dxa"/>
          </w:tcPr>
          <w:p w14:paraId="4CA3A4A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35.5 (19.4–85.9)</w:t>
            </w:r>
          </w:p>
        </w:tc>
      </w:tr>
      <w:tr w:rsidR="00CB4699" w:rsidRPr="00345755" w14:paraId="0A82BFC4" w14:textId="77777777" w:rsidTr="00973758">
        <w:trPr>
          <w:trHeight w:val="288"/>
        </w:trPr>
        <w:tc>
          <w:tcPr>
            <w:tcW w:w="4750" w:type="dxa"/>
          </w:tcPr>
          <w:p w14:paraId="735E669B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Data missing</w:t>
            </w:r>
          </w:p>
        </w:tc>
        <w:tc>
          <w:tcPr>
            <w:tcW w:w="1820" w:type="dxa"/>
          </w:tcPr>
          <w:p w14:paraId="0793433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3785847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1836D47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B4699" w:rsidRPr="00345755" w14:paraId="47A136AA" w14:textId="77777777" w:rsidTr="00973758">
        <w:trPr>
          <w:trHeight w:val="288"/>
        </w:trPr>
        <w:tc>
          <w:tcPr>
            <w:tcW w:w="4750" w:type="dxa"/>
            <w:hideMark/>
          </w:tcPr>
          <w:p w14:paraId="55037B7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LDH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, n (%)</w:t>
            </w:r>
          </w:p>
        </w:tc>
        <w:tc>
          <w:tcPr>
            <w:tcW w:w="1820" w:type="dxa"/>
            <w:hideMark/>
          </w:tcPr>
          <w:p w14:paraId="01A3BBE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14:paraId="016D421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14:paraId="578C979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1083DECA" w14:textId="77777777" w:rsidTr="00973758">
        <w:trPr>
          <w:trHeight w:val="288"/>
        </w:trPr>
        <w:tc>
          <w:tcPr>
            <w:tcW w:w="4750" w:type="dxa"/>
            <w:hideMark/>
          </w:tcPr>
          <w:p w14:paraId="0EBAF413" w14:textId="77777777" w:rsidR="00CB4699" w:rsidRPr="00345755" w:rsidRDefault="00CB4699" w:rsidP="0097375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ab/>
              <w:t>≥1.5×ULN</w:t>
            </w:r>
            <w:r w:rsidRPr="00345755">
              <w:rPr>
                <w:rFonts w:ascii="Times New Roman" w:hAnsi="Times New Roman"/>
                <w:color w:val="000000"/>
                <w:kern w:val="24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820" w:type="dxa"/>
          </w:tcPr>
          <w:p w14:paraId="353227F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42 (79.2%)</w:t>
            </w:r>
          </w:p>
        </w:tc>
        <w:tc>
          <w:tcPr>
            <w:tcW w:w="1890" w:type="dxa"/>
          </w:tcPr>
          <w:p w14:paraId="6034D96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24 (75.0%)</w:t>
            </w:r>
          </w:p>
        </w:tc>
        <w:tc>
          <w:tcPr>
            <w:tcW w:w="1890" w:type="dxa"/>
          </w:tcPr>
          <w:p w14:paraId="6684D24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10 (66.7%)</w:t>
            </w:r>
          </w:p>
        </w:tc>
      </w:tr>
      <w:tr w:rsidR="00CB4699" w:rsidRPr="00345755" w14:paraId="23818013" w14:textId="77777777" w:rsidTr="00973758">
        <w:trPr>
          <w:trHeight w:val="288"/>
        </w:trPr>
        <w:tc>
          <w:tcPr>
            <w:tcW w:w="4750" w:type="dxa"/>
            <w:hideMark/>
          </w:tcPr>
          <w:p w14:paraId="2E069B90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ab/>
              <w:t>&lt;1.5×ULN</w:t>
            </w:r>
            <w:r w:rsidRPr="00345755">
              <w:rPr>
                <w:rFonts w:ascii="Times New Roman" w:hAnsi="Times New Roman"/>
                <w:color w:val="000000"/>
                <w:kern w:val="24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820" w:type="dxa"/>
          </w:tcPr>
          <w:p w14:paraId="4E8AB54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8 (15.1%)</w:t>
            </w:r>
          </w:p>
        </w:tc>
        <w:tc>
          <w:tcPr>
            <w:tcW w:w="1890" w:type="dxa"/>
          </w:tcPr>
          <w:p w14:paraId="3A59806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8 (25.0%)</w:t>
            </w:r>
          </w:p>
        </w:tc>
        <w:tc>
          <w:tcPr>
            <w:tcW w:w="1890" w:type="dxa"/>
          </w:tcPr>
          <w:p w14:paraId="16A06CF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 (26.7%)</w:t>
            </w:r>
          </w:p>
        </w:tc>
      </w:tr>
      <w:tr w:rsidR="00CB4699" w:rsidRPr="00345755" w14:paraId="60596141" w14:textId="77777777" w:rsidTr="00973758">
        <w:trPr>
          <w:trHeight w:val="288"/>
        </w:trPr>
        <w:tc>
          <w:tcPr>
            <w:tcW w:w="4750" w:type="dxa"/>
          </w:tcPr>
          <w:p w14:paraId="3A1B16CB" w14:textId="77777777" w:rsidR="00CB4699" w:rsidRPr="00345755" w:rsidRDefault="00CB4699" w:rsidP="00973758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Data missing</w:t>
            </w:r>
          </w:p>
        </w:tc>
        <w:tc>
          <w:tcPr>
            <w:tcW w:w="1820" w:type="dxa"/>
          </w:tcPr>
          <w:p w14:paraId="3C4644E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6ECF60D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14:paraId="24C2CDA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B4699" w:rsidRPr="00345755" w14:paraId="4756411A" w14:textId="77777777" w:rsidTr="00973758">
        <w:trPr>
          <w:trHeight w:val="288"/>
        </w:trPr>
        <w:tc>
          <w:tcPr>
            <w:tcW w:w="4750" w:type="dxa"/>
          </w:tcPr>
          <w:p w14:paraId="5FF4DAA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Hemoglobin, </w:t>
            </w:r>
            <w:r w:rsidRPr="003457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(%) </w:t>
            </w:r>
          </w:p>
        </w:tc>
        <w:tc>
          <w:tcPr>
            <w:tcW w:w="1820" w:type="dxa"/>
          </w:tcPr>
          <w:p w14:paraId="4F75CD1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54954E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94A02B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1B747FC2" w14:textId="77777777" w:rsidTr="00973758">
        <w:trPr>
          <w:trHeight w:val="288"/>
        </w:trPr>
        <w:tc>
          <w:tcPr>
            <w:tcW w:w="4750" w:type="dxa"/>
          </w:tcPr>
          <w:p w14:paraId="530C6580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&lt;6 g/dL</w:t>
            </w:r>
          </w:p>
        </w:tc>
        <w:tc>
          <w:tcPr>
            <w:tcW w:w="1820" w:type="dxa"/>
          </w:tcPr>
          <w:p w14:paraId="1D9EBE4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 (9.4%)</w:t>
            </w:r>
          </w:p>
        </w:tc>
        <w:tc>
          <w:tcPr>
            <w:tcW w:w="1890" w:type="dxa"/>
          </w:tcPr>
          <w:p w14:paraId="6DF6C7B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 (12.5%)</w:t>
            </w:r>
          </w:p>
        </w:tc>
        <w:tc>
          <w:tcPr>
            <w:tcW w:w="1890" w:type="dxa"/>
          </w:tcPr>
          <w:p w14:paraId="2F5999F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</w:tr>
      <w:tr w:rsidR="00CB4699" w:rsidRPr="00345755" w14:paraId="03D754B6" w14:textId="77777777" w:rsidTr="00973758">
        <w:trPr>
          <w:trHeight w:val="288"/>
        </w:trPr>
        <w:tc>
          <w:tcPr>
            <w:tcW w:w="4750" w:type="dxa"/>
          </w:tcPr>
          <w:p w14:paraId="5F5605F3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6 to &lt;8 g/dL</w:t>
            </w:r>
          </w:p>
        </w:tc>
        <w:tc>
          <w:tcPr>
            <w:tcW w:w="1820" w:type="dxa"/>
          </w:tcPr>
          <w:p w14:paraId="022F184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34 (64.2%)</w:t>
            </w:r>
          </w:p>
        </w:tc>
        <w:tc>
          <w:tcPr>
            <w:tcW w:w="1890" w:type="dxa"/>
          </w:tcPr>
          <w:p w14:paraId="63C2AC2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18 (56.3%)</w:t>
            </w:r>
          </w:p>
        </w:tc>
        <w:tc>
          <w:tcPr>
            <w:tcW w:w="1890" w:type="dxa"/>
          </w:tcPr>
          <w:p w14:paraId="3E52A6D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 (33.3%)</w:t>
            </w:r>
          </w:p>
        </w:tc>
      </w:tr>
      <w:tr w:rsidR="00CB4699" w:rsidRPr="00345755" w14:paraId="410CB5F8" w14:textId="77777777" w:rsidTr="00973758">
        <w:trPr>
          <w:trHeight w:val="288"/>
        </w:trPr>
        <w:tc>
          <w:tcPr>
            <w:tcW w:w="4750" w:type="dxa"/>
          </w:tcPr>
          <w:p w14:paraId="76D96BFB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8 to &lt;10 g/dL</w:t>
            </w:r>
          </w:p>
        </w:tc>
        <w:tc>
          <w:tcPr>
            <w:tcW w:w="1820" w:type="dxa"/>
          </w:tcPr>
          <w:p w14:paraId="0E10804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10 (18.9%)</w:t>
            </w:r>
          </w:p>
        </w:tc>
        <w:tc>
          <w:tcPr>
            <w:tcW w:w="1890" w:type="dxa"/>
          </w:tcPr>
          <w:p w14:paraId="2A162CF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9 (28.1%)</w:t>
            </w:r>
          </w:p>
        </w:tc>
        <w:tc>
          <w:tcPr>
            <w:tcW w:w="1890" w:type="dxa"/>
          </w:tcPr>
          <w:p w14:paraId="2FC8AFC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7 (46.7%)</w:t>
            </w:r>
          </w:p>
        </w:tc>
      </w:tr>
      <w:tr w:rsidR="00CB4699" w:rsidRPr="00345755" w14:paraId="28B5E119" w14:textId="77777777" w:rsidTr="00973758">
        <w:trPr>
          <w:trHeight w:val="288"/>
        </w:trPr>
        <w:tc>
          <w:tcPr>
            <w:tcW w:w="4750" w:type="dxa"/>
          </w:tcPr>
          <w:p w14:paraId="1FADBFEA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10 to &lt;12 g/dL</w:t>
            </w:r>
          </w:p>
        </w:tc>
        <w:tc>
          <w:tcPr>
            <w:tcW w:w="1820" w:type="dxa"/>
          </w:tcPr>
          <w:p w14:paraId="67A83F2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 (3.8%)</w:t>
            </w:r>
          </w:p>
        </w:tc>
        <w:tc>
          <w:tcPr>
            <w:tcW w:w="1890" w:type="dxa"/>
          </w:tcPr>
          <w:p w14:paraId="3C8BE8D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(3.1%)</w:t>
            </w:r>
          </w:p>
        </w:tc>
        <w:tc>
          <w:tcPr>
            <w:tcW w:w="1890" w:type="dxa"/>
          </w:tcPr>
          <w:p w14:paraId="5E70CEA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50E3ED06" w14:textId="77777777" w:rsidTr="00973758">
        <w:trPr>
          <w:trHeight w:val="288"/>
        </w:trPr>
        <w:tc>
          <w:tcPr>
            <w:tcW w:w="4750" w:type="dxa"/>
          </w:tcPr>
          <w:p w14:paraId="64894788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≥12 g/dL</w:t>
            </w:r>
          </w:p>
        </w:tc>
        <w:tc>
          <w:tcPr>
            <w:tcW w:w="1820" w:type="dxa"/>
          </w:tcPr>
          <w:p w14:paraId="018A293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890" w:type="dxa"/>
          </w:tcPr>
          <w:p w14:paraId="2C5CD42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890" w:type="dxa"/>
          </w:tcPr>
          <w:p w14:paraId="0044224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3A632A9A" w14:textId="77777777" w:rsidTr="00973758">
        <w:trPr>
          <w:trHeight w:val="288"/>
        </w:trPr>
        <w:tc>
          <w:tcPr>
            <w:tcW w:w="4750" w:type="dxa"/>
          </w:tcPr>
          <w:p w14:paraId="5308DE9A" w14:textId="77777777" w:rsidR="00CB4699" w:rsidRPr="00345755" w:rsidRDefault="00CB4699" w:rsidP="0097375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Data missing</w:t>
            </w:r>
          </w:p>
        </w:tc>
        <w:tc>
          <w:tcPr>
            <w:tcW w:w="1820" w:type="dxa"/>
          </w:tcPr>
          <w:p w14:paraId="16509B3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2D5EEAE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14:paraId="2D65EDD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B4699" w:rsidRPr="00345755" w14:paraId="17372BD3" w14:textId="77777777" w:rsidTr="00973758">
        <w:trPr>
          <w:trHeight w:val="288"/>
        </w:trPr>
        <w:tc>
          <w:tcPr>
            <w:tcW w:w="4750" w:type="dxa"/>
          </w:tcPr>
          <w:p w14:paraId="09661E5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Transfusion of </w:t>
            </w:r>
            <w:proofErr w:type="spellStart"/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pRBCs</w:t>
            </w:r>
            <w:proofErr w:type="spellEnd"/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(at any time), n</w:t>
            </w:r>
            <w:r w:rsidRPr="003457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820" w:type="dxa"/>
          </w:tcPr>
          <w:p w14:paraId="2DA641D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50 (94.3%)</w:t>
            </w:r>
          </w:p>
        </w:tc>
        <w:tc>
          <w:tcPr>
            <w:tcW w:w="1890" w:type="dxa"/>
          </w:tcPr>
          <w:p w14:paraId="5E38162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29 (90.6%)</w:t>
            </w:r>
          </w:p>
        </w:tc>
        <w:tc>
          <w:tcPr>
            <w:tcW w:w="1890" w:type="dxa"/>
          </w:tcPr>
          <w:p w14:paraId="28B7334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10 (66.7%)</w:t>
            </w:r>
          </w:p>
        </w:tc>
      </w:tr>
      <w:tr w:rsidR="00CB4699" w:rsidRPr="00345755" w14:paraId="73B8E732" w14:textId="77777777" w:rsidTr="00973758">
        <w:trPr>
          <w:trHeight w:val="288"/>
        </w:trPr>
        <w:tc>
          <w:tcPr>
            <w:tcW w:w="4750" w:type="dxa"/>
          </w:tcPr>
          <w:p w14:paraId="3A98E8E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Absolute reticulocyte count, n (%) </w:t>
            </w:r>
          </w:p>
        </w:tc>
        <w:tc>
          <w:tcPr>
            <w:tcW w:w="1820" w:type="dxa"/>
          </w:tcPr>
          <w:p w14:paraId="172B1EE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C4CBCC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F442F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5715F3C9" w14:textId="77777777" w:rsidTr="00973758">
        <w:trPr>
          <w:trHeight w:val="288"/>
        </w:trPr>
        <w:tc>
          <w:tcPr>
            <w:tcW w:w="4750" w:type="dxa"/>
          </w:tcPr>
          <w:p w14:paraId="178A6C97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≥100×10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/L</w:t>
            </w:r>
          </w:p>
        </w:tc>
        <w:tc>
          <w:tcPr>
            <w:tcW w:w="1820" w:type="dxa"/>
          </w:tcPr>
          <w:p w14:paraId="3474A76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 (5.7%)</w:t>
            </w:r>
          </w:p>
        </w:tc>
        <w:tc>
          <w:tcPr>
            <w:tcW w:w="1890" w:type="dxa"/>
          </w:tcPr>
          <w:p w14:paraId="7A4736B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 (9.4%)</w:t>
            </w:r>
          </w:p>
        </w:tc>
        <w:tc>
          <w:tcPr>
            <w:tcW w:w="1890" w:type="dxa"/>
          </w:tcPr>
          <w:p w14:paraId="190B06F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5800E5B0" w14:textId="77777777" w:rsidTr="00973758">
        <w:trPr>
          <w:trHeight w:val="288"/>
        </w:trPr>
        <w:tc>
          <w:tcPr>
            <w:tcW w:w="4750" w:type="dxa"/>
            <w:hideMark/>
          </w:tcPr>
          <w:p w14:paraId="0036549E" w14:textId="77777777" w:rsidR="00CB4699" w:rsidRPr="00345755" w:rsidRDefault="00CB4699" w:rsidP="0097375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≥120×10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/L</w:t>
            </w:r>
          </w:p>
        </w:tc>
        <w:tc>
          <w:tcPr>
            <w:tcW w:w="1820" w:type="dxa"/>
          </w:tcPr>
          <w:p w14:paraId="3F58E8C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 (5.7%)</w:t>
            </w:r>
          </w:p>
        </w:tc>
        <w:tc>
          <w:tcPr>
            <w:tcW w:w="1890" w:type="dxa"/>
          </w:tcPr>
          <w:p w14:paraId="50E6B05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 (9.4%)</w:t>
            </w:r>
          </w:p>
        </w:tc>
        <w:tc>
          <w:tcPr>
            <w:tcW w:w="1890" w:type="dxa"/>
          </w:tcPr>
          <w:p w14:paraId="3D07317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3A5E8071" w14:textId="77777777" w:rsidTr="00973758">
        <w:trPr>
          <w:trHeight w:val="288"/>
        </w:trPr>
        <w:tc>
          <w:tcPr>
            <w:tcW w:w="4750" w:type="dxa"/>
          </w:tcPr>
          <w:p w14:paraId="357873C5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≥150×10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/L</w:t>
            </w:r>
          </w:p>
        </w:tc>
        <w:tc>
          <w:tcPr>
            <w:tcW w:w="1820" w:type="dxa"/>
          </w:tcPr>
          <w:p w14:paraId="68FE167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 (5.7%)</w:t>
            </w:r>
          </w:p>
        </w:tc>
        <w:tc>
          <w:tcPr>
            <w:tcW w:w="1890" w:type="dxa"/>
          </w:tcPr>
          <w:p w14:paraId="76AFF0F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 (9.4%)</w:t>
            </w:r>
          </w:p>
        </w:tc>
        <w:tc>
          <w:tcPr>
            <w:tcW w:w="1890" w:type="dxa"/>
          </w:tcPr>
          <w:p w14:paraId="56BD61D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132578E5" w14:textId="77777777" w:rsidTr="00973758">
        <w:trPr>
          <w:trHeight w:val="288"/>
        </w:trPr>
        <w:tc>
          <w:tcPr>
            <w:tcW w:w="4750" w:type="dxa"/>
          </w:tcPr>
          <w:p w14:paraId="56725002" w14:textId="77777777" w:rsidR="00CB4699" w:rsidRPr="00345755" w:rsidRDefault="00CB4699" w:rsidP="00973758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Data missing</w:t>
            </w:r>
          </w:p>
        </w:tc>
        <w:tc>
          <w:tcPr>
            <w:tcW w:w="1820" w:type="dxa"/>
          </w:tcPr>
          <w:p w14:paraId="7A74383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90" w:type="dxa"/>
          </w:tcPr>
          <w:p w14:paraId="579D678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0" w:type="dxa"/>
          </w:tcPr>
          <w:p w14:paraId="4C988B5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CB4699" w:rsidRPr="00345755" w14:paraId="1E902D2C" w14:textId="77777777" w:rsidTr="00973758">
        <w:trPr>
          <w:trHeight w:val="288"/>
        </w:trPr>
        <w:tc>
          <w:tcPr>
            <w:tcW w:w="4750" w:type="dxa"/>
            <w:hideMark/>
          </w:tcPr>
          <w:p w14:paraId="1F9BB43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Coombs test, n (%)</w:t>
            </w:r>
          </w:p>
        </w:tc>
        <w:tc>
          <w:tcPr>
            <w:tcW w:w="1820" w:type="dxa"/>
          </w:tcPr>
          <w:p w14:paraId="335CB53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69FAFC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728429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4C512973" w14:textId="77777777" w:rsidTr="00973758">
        <w:trPr>
          <w:trHeight w:val="288"/>
        </w:trPr>
        <w:tc>
          <w:tcPr>
            <w:tcW w:w="4750" w:type="dxa"/>
            <w:hideMark/>
          </w:tcPr>
          <w:p w14:paraId="1C21A3F0" w14:textId="77777777" w:rsidR="00CB4699" w:rsidRPr="00345755" w:rsidRDefault="00CB4699" w:rsidP="00973758">
            <w:pPr>
              <w:tabs>
                <w:tab w:val="left" w:pos="33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Positive</w:t>
            </w:r>
          </w:p>
        </w:tc>
        <w:tc>
          <w:tcPr>
            <w:tcW w:w="1820" w:type="dxa"/>
            <w:hideMark/>
          </w:tcPr>
          <w:p w14:paraId="519AF57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(1.9%)</w:t>
            </w:r>
          </w:p>
        </w:tc>
        <w:tc>
          <w:tcPr>
            <w:tcW w:w="1890" w:type="dxa"/>
            <w:hideMark/>
          </w:tcPr>
          <w:p w14:paraId="40C6E64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 (9.4%)</w:t>
            </w:r>
          </w:p>
        </w:tc>
        <w:tc>
          <w:tcPr>
            <w:tcW w:w="1890" w:type="dxa"/>
            <w:hideMark/>
          </w:tcPr>
          <w:p w14:paraId="297D707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 (20.0%)</w:t>
            </w:r>
          </w:p>
        </w:tc>
      </w:tr>
      <w:tr w:rsidR="00CB4699" w:rsidRPr="00345755" w14:paraId="18C11AF8" w14:textId="77777777" w:rsidTr="00973758">
        <w:trPr>
          <w:trHeight w:val="288"/>
        </w:trPr>
        <w:tc>
          <w:tcPr>
            <w:tcW w:w="4750" w:type="dxa"/>
            <w:hideMark/>
          </w:tcPr>
          <w:p w14:paraId="60B009E6" w14:textId="77777777" w:rsidR="00CB4699" w:rsidRPr="00345755" w:rsidRDefault="00CB4699" w:rsidP="0097375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C3+</w:t>
            </w:r>
          </w:p>
        </w:tc>
        <w:tc>
          <w:tcPr>
            <w:tcW w:w="1820" w:type="dxa"/>
            <w:hideMark/>
          </w:tcPr>
          <w:p w14:paraId="5C78B6B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(100.0%)</w:t>
            </w:r>
          </w:p>
        </w:tc>
        <w:tc>
          <w:tcPr>
            <w:tcW w:w="1890" w:type="dxa"/>
            <w:hideMark/>
          </w:tcPr>
          <w:p w14:paraId="1E055AA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 (66.7%)</w:t>
            </w:r>
          </w:p>
        </w:tc>
        <w:tc>
          <w:tcPr>
            <w:tcW w:w="1890" w:type="dxa"/>
            <w:hideMark/>
          </w:tcPr>
          <w:p w14:paraId="4E727A0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 (66.7%)</w:t>
            </w:r>
          </w:p>
        </w:tc>
      </w:tr>
      <w:tr w:rsidR="00CB4699" w:rsidRPr="00345755" w14:paraId="5D4A74CE" w14:textId="77777777" w:rsidTr="00973758">
        <w:trPr>
          <w:trHeight w:val="288"/>
        </w:trPr>
        <w:tc>
          <w:tcPr>
            <w:tcW w:w="4750" w:type="dxa"/>
            <w:hideMark/>
          </w:tcPr>
          <w:p w14:paraId="43345231" w14:textId="77777777" w:rsidR="00CB4699" w:rsidRPr="00345755" w:rsidRDefault="00CB4699" w:rsidP="0097375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IgG+</w:t>
            </w:r>
          </w:p>
        </w:tc>
        <w:tc>
          <w:tcPr>
            <w:tcW w:w="1820" w:type="dxa"/>
            <w:hideMark/>
          </w:tcPr>
          <w:p w14:paraId="4942012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890" w:type="dxa"/>
            <w:hideMark/>
          </w:tcPr>
          <w:p w14:paraId="04344AA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(33.3%)</w:t>
            </w:r>
          </w:p>
        </w:tc>
        <w:tc>
          <w:tcPr>
            <w:tcW w:w="1890" w:type="dxa"/>
            <w:hideMark/>
          </w:tcPr>
          <w:p w14:paraId="6521D08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(33.3%)</w:t>
            </w:r>
          </w:p>
        </w:tc>
      </w:tr>
      <w:tr w:rsidR="00CB4699" w:rsidRPr="00345755" w14:paraId="0FBAD3C2" w14:textId="77777777" w:rsidTr="00973758">
        <w:trPr>
          <w:trHeight w:val="288"/>
        </w:trPr>
        <w:tc>
          <w:tcPr>
            <w:tcW w:w="4750" w:type="dxa"/>
            <w:hideMark/>
          </w:tcPr>
          <w:p w14:paraId="0C6FFCE6" w14:textId="77777777" w:rsidR="00CB4699" w:rsidRPr="00345755" w:rsidRDefault="00CB4699" w:rsidP="00973758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Negative</w:t>
            </w:r>
          </w:p>
        </w:tc>
        <w:tc>
          <w:tcPr>
            <w:tcW w:w="1820" w:type="dxa"/>
            <w:hideMark/>
          </w:tcPr>
          <w:p w14:paraId="3F45B2E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50 (94.3%)</w:t>
            </w:r>
          </w:p>
        </w:tc>
        <w:tc>
          <w:tcPr>
            <w:tcW w:w="1890" w:type="dxa"/>
            <w:hideMark/>
          </w:tcPr>
          <w:p w14:paraId="6FED66B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28 (87.5%)</w:t>
            </w:r>
          </w:p>
        </w:tc>
        <w:tc>
          <w:tcPr>
            <w:tcW w:w="1890" w:type="dxa"/>
            <w:hideMark/>
          </w:tcPr>
          <w:p w14:paraId="01896A2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9 (60.0%)</w:t>
            </w:r>
          </w:p>
        </w:tc>
      </w:tr>
      <w:tr w:rsidR="00CB4699" w:rsidRPr="00345755" w14:paraId="34316E94" w14:textId="77777777" w:rsidTr="00973758">
        <w:trPr>
          <w:trHeight w:val="288"/>
        </w:trPr>
        <w:tc>
          <w:tcPr>
            <w:tcW w:w="4750" w:type="dxa"/>
            <w:hideMark/>
          </w:tcPr>
          <w:p w14:paraId="0D5A6EAE" w14:textId="77777777" w:rsidR="00CB4699" w:rsidRPr="00345755" w:rsidRDefault="00CB4699" w:rsidP="00973758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Not performed</w:t>
            </w:r>
          </w:p>
        </w:tc>
        <w:tc>
          <w:tcPr>
            <w:tcW w:w="1820" w:type="dxa"/>
            <w:hideMark/>
          </w:tcPr>
          <w:p w14:paraId="6154C6D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 (3.8%)</w:t>
            </w:r>
          </w:p>
        </w:tc>
        <w:tc>
          <w:tcPr>
            <w:tcW w:w="1890" w:type="dxa"/>
            <w:hideMark/>
          </w:tcPr>
          <w:p w14:paraId="0C5CFC1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(3.1%)</w:t>
            </w:r>
          </w:p>
        </w:tc>
        <w:tc>
          <w:tcPr>
            <w:tcW w:w="1890" w:type="dxa"/>
            <w:hideMark/>
          </w:tcPr>
          <w:p w14:paraId="663FAF3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 (20.0%)</w:t>
            </w:r>
          </w:p>
        </w:tc>
      </w:tr>
    </w:tbl>
    <w:p w14:paraId="676BF3F0" w14:textId="77777777" w:rsidR="00CB4699" w:rsidRPr="00345755" w:rsidRDefault="00CB4699" w:rsidP="00CB46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755">
        <w:rPr>
          <w:rFonts w:ascii="Times New Roman" w:hAnsi="Times New Roman"/>
          <w:b/>
          <w:bCs/>
          <w:color w:val="000000"/>
          <w:sz w:val="24"/>
          <w:szCs w:val="24"/>
        </w:rPr>
        <w:t>Notes:</w:t>
      </w:r>
      <w:r w:rsidRPr="003457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5755">
        <w:rPr>
          <w:rFonts w:ascii="Times New Roman" w:hAnsi="Times New Roman" w:cs="Times New Roman"/>
          <w:color w:val="000000"/>
          <w:sz w:val="24"/>
          <w:szCs w:val="24"/>
        </w:rPr>
        <w:t xml:space="preserve">*For the switch subgroup, baseline was defined as prior to initiation of eculizumab treatment. </w:t>
      </w:r>
      <w:r w:rsidRPr="003457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†</w:t>
      </w:r>
      <w:r w:rsidRPr="00345755">
        <w:rPr>
          <w:rFonts w:ascii="Times New Roman" w:hAnsi="Times New Roman" w:cs="Times New Roman"/>
          <w:color w:val="000000"/>
          <w:sz w:val="24"/>
          <w:szCs w:val="24"/>
        </w:rPr>
        <w:t xml:space="preserve">Defined according to </w:t>
      </w:r>
      <w:proofErr w:type="spellStart"/>
      <w:r w:rsidRPr="00345755">
        <w:rPr>
          <w:rFonts w:ascii="Times New Roman" w:hAnsi="Times New Roman" w:cs="Times New Roman"/>
          <w:color w:val="000000"/>
          <w:sz w:val="24"/>
          <w:szCs w:val="24"/>
        </w:rPr>
        <w:t>Camitta</w:t>
      </w:r>
      <w:proofErr w:type="spellEnd"/>
      <w:r w:rsidRPr="00345755">
        <w:rPr>
          <w:rFonts w:ascii="Times New Roman" w:hAnsi="Times New Roman" w:cs="Times New Roman"/>
          <w:color w:val="000000"/>
          <w:sz w:val="24"/>
          <w:szCs w:val="24"/>
        </w:rPr>
        <w:t xml:space="preserve"> criteria, ≥2 of the following criteria: hemoglobin level &lt;10 g/dL, platelet count &lt;50×109/L, neutrophil count &lt;1.5×10</w:t>
      </w:r>
      <w:r w:rsidRPr="003457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9</w:t>
      </w:r>
      <w:r w:rsidRPr="00345755">
        <w:rPr>
          <w:rFonts w:ascii="Times New Roman" w:hAnsi="Times New Roman" w:cs="Times New Roman"/>
          <w:color w:val="000000"/>
          <w:sz w:val="24"/>
          <w:szCs w:val="24"/>
        </w:rPr>
        <w:t xml:space="preserve">/L. </w:t>
      </w:r>
      <w:r w:rsidRPr="00345755">
        <w:rPr>
          <w:rFonts w:ascii="Times New Roman" w:hAnsi="Times New Roman" w:cs="Times New Roman"/>
          <w:color w:val="000000"/>
          <w:kern w:val="24"/>
          <w:sz w:val="24"/>
          <w:szCs w:val="24"/>
          <w:vertAlign w:val="superscript"/>
        </w:rPr>
        <w:t>‡</w:t>
      </w:r>
      <w:r w:rsidRPr="00345755">
        <w:rPr>
          <w:rFonts w:ascii="Times New Roman" w:hAnsi="Times New Roman" w:cs="Times New Roman"/>
          <w:color w:val="000000"/>
          <w:sz w:val="24"/>
          <w:szCs w:val="24"/>
        </w:rPr>
        <w:t xml:space="preserve">1.5×ULN=369 IU/L. Abbreviations: AA, aplastic anemia; C3, complement protein 3; C5, complement protein 5; GPI, glycosylphosphatidylinositol; IgG, immunoglobulin G; IQR, interquartile range; LDH, lactate dehydrogenase; MDS, myelodysplastic syndrome; </w:t>
      </w:r>
      <w:proofErr w:type="spellStart"/>
      <w:r w:rsidRPr="00345755">
        <w:rPr>
          <w:rFonts w:ascii="Times New Roman" w:hAnsi="Times New Roman" w:cs="Times New Roman"/>
          <w:color w:val="000000"/>
          <w:sz w:val="24"/>
          <w:szCs w:val="24"/>
        </w:rPr>
        <w:t>pRBCs</w:t>
      </w:r>
      <w:proofErr w:type="spellEnd"/>
      <w:r w:rsidRPr="00345755">
        <w:rPr>
          <w:rFonts w:ascii="Times New Roman" w:hAnsi="Times New Roman" w:cs="Times New Roman"/>
          <w:color w:val="000000"/>
          <w:sz w:val="24"/>
          <w:szCs w:val="24"/>
        </w:rPr>
        <w:t>, packed red blood cells; RBCs, red blood cells; SD, standard deviation; TE, thromboembolic event; ULN, upper limit of normal.</w:t>
      </w:r>
    </w:p>
    <w:p w14:paraId="337A25AA" w14:textId="77777777" w:rsidR="00CB4699" w:rsidRPr="00345755" w:rsidRDefault="00CB4699" w:rsidP="00CB469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45755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7003BEAD" w14:textId="77777777" w:rsidR="00CB4699" w:rsidRPr="00345755" w:rsidRDefault="00CB4699" w:rsidP="00CB4699">
      <w:pPr>
        <w:spacing w:line="240" w:lineRule="auto"/>
        <w:rPr>
          <w:rFonts w:ascii="Times New Roman" w:hAnsi="Times New Roman" w:cs="Times New Roman"/>
          <w:i/>
          <w:iCs/>
          <w:color w:val="000000"/>
        </w:rPr>
      </w:pPr>
      <w:r w:rsidRPr="00345755">
        <w:rPr>
          <w:rFonts w:ascii="Times New Roman" w:hAnsi="Times New Roman" w:cs="Times New Roman"/>
          <w:b/>
          <w:bCs/>
          <w:color w:val="000000"/>
        </w:rPr>
        <w:lastRenderedPageBreak/>
        <w:t>Supplemental Table 2</w:t>
      </w:r>
      <w:r w:rsidRPr="00345755">
        <w:rPr>
          <w:rFonts w:ascii="Times New Roman" w:eastAsia="Times New Roman" w:hAnsi="Times New Roman" w:cs="Times New Roman"/>
          <w:color w:val="000000"/>
        </w:rPr>
        <w:t xml:space="preserve"> Treatment characteristics</w:t>
      </w:r>
      <w:r w:rsidRPr="00345755">
        <w:rPr>
          <w:rFonts w:ascii="Times New Roman" w:hAnsi="Times New Roman" w:cs="Times New Roman"/>
          <w:color w:val="000000"/>
        </w:rPr>
        <w:t xml:space="preserve"> by subgroup</w:t>
      </w:r>
    </w:p>
    <w:tbl>
      <w:tblPr>
        <w:tblStyle w:val="TableGrid"/>
        <w:tblW w:w="9450" w:type="dxa"/>
        <w:tblLayout w:type="fixed"/>
        <w:tblLook w:val="0420" w:firstRow="1" w:lastRow="0" w:firstColumn="0" w:lastColumn="0" w:noHBand="0" w:noVBand="1"/>
      </w:tblPr>
      <w:tblGrid>
        <w:gridCol w:w="4770"/>
        <w:gridCol w:w="1560"/>
        <w:gridCol w:w="1660"/>
        <w:gridCol w:w="1460"/>
      </w:tblGrid>
      <w:tr w:rsidR="00CB4699" w:rsidRPr="00345755" w14:paraId="64E836A4" w14:textId="77777777" w:rsidTr="00973758">
        <w:trPr>
          <w:trHeight w:val="940"/>
        </w:trPr>
        <w:tc>
          <w:tcPr>
            <w:tcW w:w="4770" w:type="dxa"/>
            <w:hideMark/>
          </w:tcPr>
          <w:p w14:paraId="5AB6DD7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14:paraId="345B30B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Eculizumab only</w:t>
            </w:r>
          </w:p>
          <w:p w14:paraId="2968BA7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n=53</w:t>
            </w:r>
          </w:p>
        </w:tc>
        <w:tc>
          <w:tcPr>
            <w:tcW w:w="1660" w:type="dxa"/>
            <w:hideMark/>
          </w:tcPr>
          <w:p w14:paraId="31C5525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Ravulizumab only</w:t>
            </w:r>
          </w:p>
          <w:p w14:paraId="79F4FD3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n=32</w:t>
            </w:r>
          </w:p>
        </w:tc>
        <w:tc>
          <w:tcPr>
            <w:tcW w:w="1460" w:type="dxa"/>
            <w:hideMark/>
          </w:tcPr>
          <w:p w14:paraId="46A4165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Switch* </w:t>
            </w:r>
          </w:p>
          <w:p w14:paraId="1FFA6B0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n=15</w:t>
            </w:r>
          </w:p>
        </w:tc>
      </w:tr>
      <w:tr w:rsidR="00CB4699" w:rsidRPr="00345755" w14:paraId="0375A7D6" w14:textId="77777777" w:rsidTr="00973758">
        <w:trPr>
          <w:trHeight w:val="300"/>
        </w:trPr>
        <w:tc>
          <w:tcPr>
            <w:tcW w:w="4770" w:type="dxa"/>
            <w:noWrap/>
          </w:tcPr>
          <w:p w14:paraId="3B8528A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Reason for C5 inhibitor initiation,*</w:t>
            </w: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†</w:t>
            </w: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n (%)</w:t>
            </w: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560" w:type="dxa"/>
            <w:noWrap/>
          </w:tcPr>
          <w:p w14:paraId="7E74E71A" w14:textId="77777777" w:rsidR="00CB4699" w:rsidRPr="00345755" w:rsidRDefault="00CB4699" w:rsidP="00973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noWrap/>
          </w:tcPr>
          <w:p w14:paraId="65D2D43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noWrap/>
          </w:tcPr>
          <w:p w14:paraId="64253BD8" w14:textId="77777777" w:rsidR="00CB4699" w:rsidRPr="00345755" w:rsidRDefault="00CB4699" w:rsidP="00973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39A3B17D" w14:textId="77777777" w:rsidTr="00973758">
        <w:trPr>
          <w:trHeight w:val="300"/>
        </w:trPr>
        <w:tc>
          <w:tcPr>
            <w:tcW w:w="4770" w:type="dxa"/>
            <w:noWrap/>
          </w:tcPr>
          <w:p w14:paraId="53B47277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72314502"/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Symptoms of hemolysis</w:t>
            </w:r>
          </w:p>
        </w:tc>
        <w:tc>
          <w:tcPr>
            <w:tcW w:w="1560" w:type="dxa"/>
            <w:noWrap/>
          </w:tcPr>
          <w:p w14:paraId="4C98222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47 (88.7%)</w:t>
            </w:r>
          </w:p>
        </w:tc>
        <w:tc>
          <w:tcPr>
            <w:tcW w:w="1660" w:type="dxa"/>
            <w:noWrap/>
          </w:tcPr>
          <w:p w14:paraId="0362699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27 (84.4%)</w:t>
            </w:r>
          </w:p>
        </w:tc>
        <w:tc>
          <w:tcPr>
            <w:tcW w:w="1460" w:type="dxa"/>
            <w:noWrap/>
          </w:tcPr>
          <w:p w14:paraId="717892C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12 (80.0%)</w:t>
            </w:r>
          </w:p>
        </w:tc>
      </w:tr>
      <w:tr w:rsidR="00CB4699" w:rsidRPr="00345755" w14:paraId="5EA52DA6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57DCD01E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LDH ≥1.5×ULN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560" w:type="dxa"/>
            <w:noWrap/>
            <w:hideMark/>
          </w:tcPr>
          <w:p w14:paraId="4D28E23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45 (84.9%)</w:t>
            </w:r>
          </w:p>
        </w:tc>
        <w:tc>
          <w:tcPr>
            <w:tcW w:w="1660" w:type="dxa"/>
            <w:noWrap/>
            <w:hideMark/>
          </w:tcPr>
          <w:p w14:paraId="347B579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25 (78.1%)</w:t>
            </w:r>
          </w:p>
        </w:tc>
        <w:tc>
          <w:tcPr>
            <w:tcW w:w="1460" w:type="dxa"/>
            <w:noWrap/>
            <w:hideMark/>
          </w:tcPr>
          <w:p w14:paraId="7ADBD5C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13 (86.7%)</w:t>
            </w:r>
          </w:p>
        </w:tc>
      </w:tr>
      <w:tr w:rsidR="00CB4699" w:rsidRPr="00345755" w14:paraId="085AD28C" w14:textId="77777777" w:rsidTr="00973758">
        <w:trPr>
          <w:trHeight w:val="300"/>
        </w:trPr>
        <w:tc>
          <w:tcPr>
            <w:tcW w:w="4770" w:type="dxa"/>
            <w:noWrap/>
          </w:tcPr>
          <w:p w14:paraId="01D52AFA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High GPI-deficient clone (any kind)</w:t>
            </w:r>
          </w:p>
        </w:tc>
        <w:tc>
          <w:tcPr>
            <w:tcW w:w="1560" w:type="dxa"/>
            <w:noWrap/>
          </w:tcPr>
          <w:p w14:paraId="69DE5AF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40 (75.5%)</w:t>
            </w:r>
          </w:p>
        </w:tc>
        <w:tc>
          <w:tcPr>
            <w:tcW w:w="1660" w:type="dxa"/>
            <w:noWrap/>
          </w:tcPr>
          <w:p w14:paraId="12556F2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20 (62.5%)</w:t>
            </w:r>
          </w:p>
        </w:tc>
        <w:tc>
          <w:tcPr>
            <w:tcW w:w="1460" w:type="dxa"/>
            <w:noWrap/>
          </w:tcPr>
          <w:p w14:paraId="72963AC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15 (100.0%)</w:t>
            </w:r>
          </w:p>
        </w:tc>
      </w:tr>
      <w:tr w:rsidR="00CB4699" w:rsidRPr="00345755" w14:paraId="26C81458" w14:textId="77777777" w:rsidTr="00973758">
        <w:trPr>
          <w:trHeight w:val="300"/>
        </w:trPr>
        <w:tc>
          <w:tcPr>
            <w:tcW w:w="4770" w:type="dxa"/>
            <w:noWrap/>
          </w:tcPr>
          <w:p w14:paraId="1F4BF2F1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Previous TE</w:t>
            </w:r>
          </w:p>
        </w:tc>
        <w:tc>
          <w:tcPr>
            <w:tcW w:w="1560" w:type="dxa"/>
            <w:noWrap/>
          </w:tcPr>
          <w:p w14:paraId="3FB3D63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20 (37.7%)</w:t>
            </w:r>
          </w:p>
        </w:tc>
        <w:tc>
          <w:tcPr>
            <w:tcW w:w="1660" w:type="dxa"/>
            <w:noWrap/>
          </w:tcPr>
          <w:p w14:paraId="712E3E4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 (9.4%)</w:t>
            </w:r>
          </w:p>
        </w:tc>
        <w:tc>
          <w:tcPr>
            <w:tcW w:w="1460" w:type="dxa"/>
            <w:noWrap/>
          </w:tcPr>
          <w:p w14:paraId="1617B6A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 (13.3%)</w:t>
            </w:r>
          </w:p>
        </w:tc>
      </w:tr>
      <w:bookmarkEnd w:id="0"/>
      <w:tr w:rsidR="00CB4699" w:rsidRPr="00345755" w14:paraId="0E0A2471" w14:textId="77777777" w:rsidTr="00973758">
        <w:trPr>
          <w:trHeight w:val="300"/>
        </w:trPr>
        <w:tc>
          <w:tcPr>
            <w:tcW w:w="4770" w:type="dxa"/>
            <w:noWrap/>
          </w:tcPr>
          <w:p w14:paraId="64C1335B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Hemolytic crisis requiring hospitalization</w:t>
            </w:r>
          </w:p>
        </w:tc>
        <w:tc>
          <w:tcPr>
            <w:tcW w:w="1560" w:type="dxa"/>
            <w:noWrap/>
          </w:tcPr>
          <w:p w14:paraId="62DC1D8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10 (18.9%)</w:t>
            </w:r>
          </w:p>
        </w:tc>
        <w:tc>
          <w:tcPr>
            <w:tcW w:w="1660" w:type="dxa"/>
            <w:noWrap/>
          </w:tcPr>
          <w:p w14:paraId="3165740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7 (21.9%)</w:t>
            </w:r>
          </w:p>
        </w:tc>
        <w:tc>
          <w:tcPr>
            <w:tcW w:w="1460" w:type="dxa"/>
            <w:noWrap/>
          </w:tcPr>
          <w:p w14:paraId="1C1FE11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 (13.3%)</w:t>
            </w:r>
          </w:p>
        </w:tc>
      </w:tr>
      <w:tr w:rsidR="00CB4699" w:rsidRPr="00345755" w14:paraId="7EC446ED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3624BFAB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Prevent complications </w:t>
            </w:r>
          </w:p>
        </w:tc>
        <w:tc>
          <w:tcPr>
            <w:tcW w:w="1560" w:type="dxa"/>
            <w:noWrap/>
            <w:hideMark/>
          </w:tcPr>
          <w:p w14:paraId="3AD9DAF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(1.9%)</w:t>
            </w:r>
          </w:p>
        </w:tc>
        <w:tc>
          <w:tcPr>
            <w:tcW w:w="1660" w:type="dxa"/>
            <w:noWrap/>
            <w:hideMark/>
          </w:tcPr>
          <w:p w14:paraId="52B0FE8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(3.1%)</w:t>
            </w:r>
          </w:p>
        </w:tc>
        <w:tc>
          <w:tcPr>
            <w:tcW w:w="1460" w:type="dxa"/>
            <w:noWrap/>
            <w:hideMark/>
          </w:tcPr>
          <w:p w14:paraId="6B217CF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5725362A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4AE1F6A5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Proteinuria and CKD</w:t>
            </w:r>
          </w:p>
        </w:tc>
        <w:tc>
          <w:tcPr>
            <w:tcW w:w="1560" w:type="dxa"/>
            <w:noWrap/>
            <w:hideMark/>
          </w:tcPr>
          <w:p w14:paraId="59BFFE3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660" w:type="dxa"/>
            <w:noWrap/>
            <w:hideMark/>
          </w:tcPr>
          <w:p w14:paraId="358881D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460" w:type="dxa"/>
            <w:noWrap/>
            <w:hideMark/>
          </w:tcPr>
          <w:p w14:paraId="50EAB4C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668A7584" w14:textId="77777777" w:rsidTr="00973758">
        <w:trPr>
          <w:trHeight w:val="300"/>
        </w:trPr>
        <w:tc>
          <w:tcPr>
            <w:tcW w:w="4770" w:type="dxa"/>
            <w:noWrap/>
          </w:tcPr>
          <w:p w14:paraId="499BD23B" w14:textId="77777777" w:rsidR="00CB4699" w:rsidRPr="00345755" w:rsidDel="004F2C98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Prevent thrombosis</w:t>
            </w:r>
          </w:p>
        </w:tc>
        <w:tc>
          <w:tcPr>
            <w:tcW w:w="1560" w:type="dxa"/>
            <w:noWrap/>
          </w:tcPr>
          <w:p w14:paraId="79DD0DA0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660" w:type="dxa"/>
            <w:noWrap/>
          </w:tcPr>
          <w:p w14:paraId="3060BE6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(3.1%)</w:t>
            </w:r>
          </w:p>
        </w:tc>
        <w:tc>
          <w:tcPr>
            <w:tcW w:w="1460" w:type="dxa"/>
            <w:noWrap/>
          </w:tcPr>
          <w:p w14:paraId="0A75DC20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</w:tr>
      <w:tr w:rsidR="00CB4699" w:rsidRPr="00345755" w14:paraId="275A8812" w14:textId="77777777" w:rsidTr="00973758">
        <w:trPr>
          <w:trHeight w:val="300"/>
        </w:trPr>
        <w:tc>
          <w:tcPr>
            <w:tcW w:w="4770" w:type="dxa"/>
            <w:noWrap/>
          </w:tcPr>
          <w:p w14:paraId="68CB2424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Reason for switching from eculizumab to ravulizumab,</w:t>
            </w: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†</w:t>
            </w: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n (%) </w:t>
            </w:r>
          </w:p>
        </w:tc>
        <w:tc>
          <w:tcPr>
            <w:tcW w:w="1560" w:type="dxa"/>
            <w:noWrap/>
          </w:tcPr>
          <w:p w14:paraId="54365517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noWrap/>
          </w:tcPr>
          <w:p w14:paraId="436B2F4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noWrap/>
          </w:tcPr>
          <w:p w14:paraId="02022538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B4699" w:rsidRPr="00345755" w14:paraId="39EB487A" w14:textId="77777777" w:rsidTr="00973758">
        <w:trPr>
          <w:trHeight w:val="300"/>
        </w:trPr>
        <w:tc>
          <w:tcPr>
            <w:tcW w:w="4770" w:type="dxa"/>
            <w:noWrap/>
          </w:tcPr>
          <w:p w14:paraId="5722F341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Patient preference</w:t>
            </w:r>
          </w:p>
        </w:tc>
        <w:tc>
          <w:tcPr>
            <w:tcW w:w="1560" w:type="dxa"/>
            <w:noWrap/>
          </w:tcPr>
          <w:p w14:paraId="72DAF7DA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55634DF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</w:tcPr>
          <w:p w14:paraId="5DB312F6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3457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73.3%)</w:t>
            </w:r>
          </w:p>
        </w:tc>
      </w:tr>
      <w:tr w:rsidR="00CB4699" w:rsidRPr="00345755" w14:paraId="75D278DD" w14:textId="77777777" w:rsidTr="00973758">
        <w:trPr>
          <w:trHeight w:val="300"/>
        </w:trPr>
        <w:tc>
          <w:tcPr>
            <w:tcW w:w="4770" w:type="dxa"/>
            <w:noWrap/>
          </w:tcPr>
          <w:p w14:paraId="12483362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Reduced treatment frequency</w:t>
            </w:r>
          </w:p>
        </w:tc>
        <w:tc>
          <w:tcPr>
            <w:tcW w:w="1560" w:type="dxa"/>
            <w:noWrap/>
          </w:tcPr>
          <w:p w14:paraId="76E7FFE1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3D504D4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</w:tcPr>
          <w:p w14:paraId="4CB278D6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3457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66.7%)</w:t>
            </w:r>
          </w:p>
        </w:tc>
      </w:tr>
      <w:tr w:rsidR="00CB4699" w:rsidRPr="00345755" w14:paraId="60542287" w14:textId="77777777" w:rsidTr="00973758">
        <w:trPr>
          <w:trHeight w:val="300"/>
        </w:trPr>
        <w:tc>
          <w:tcPr>
            <w:tcW w:w="4770" w:type="dxa"/>
            <w:noWrap/>
          </w:tcPr>
          <w:p w14:paraId="2673AF4C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Reduced time required to get treatment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§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</w:tcPr>
          <w:p w14:paraId="3F18B793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3247486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</w:tcPr>
          <w:p w14:paraId="73B0CA77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457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53.3%)</w:t>
            </w:r>
          </w:p>
        </w:tc>
      </w:tr>
      <w:tr w:rsidR="00CB4699" w:rsidRPr="00345755" w14:paraId="590ABFBD" w14:textId="77777777" w:rsidTr="00973758">
        <w:trPr>
          <w:trHeight w:val="300"/>
        </w:trPr>
        <w:tc>
          <w:tcPr>
            <w:tcW w:w="4770" w:type="dxa"/>
            <w:noWrap/>
          </w:tcPr>
          <w:p w14:paraId="16BD7315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Treatment efficacy</w:t>
            </w:r>
          </w:p>
        </w:tc>
        <w:tc>
          <w:tcPr>
            <w:tcW w:w="1560" w:type="dxa"/>
            <w:noWrap/>
          </w:tcPr>
          <w:p w14:paraId="7CF49E87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4F72A03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</w:tcPr>
          <w:p w14:paraId="7B788171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457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33.3%)</w:t>
            </w:r>
          </w:p>
        </w:tc>
      </w:tr>
      <w:tr w:rsidR="00CB4699" w:rsidRPr="00345755" w14:paraId="54D603AD" w14:textId="77777777" w:rsidTr="00973758">
        <w:trPr>
          <w:trHeight w:val="300"/>
        </w:trPr>
        <w:tc>
          <w:tcPr>
            <w:tcW w:w="4770" w:type="dxa"/>
            <w:noWrap/>
          </w:tcPr>
          <w:p w14:paraId="0C6AA0E3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High GPI-deficient clone (any kind)</w:t>
            </w:r>
          </w:p>
        </w:tc>
        <w:tc>
          <w:tcPr>
            <w:tcW w:w="1560" w:type="dxa"/>
            <w:noWrap/>
          </w:tcPr>
          <w:p w14:paraId="71AAD52A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41C0AF0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</w:tcPr>
          <w:p w14:paraId="1806B838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7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26.7%)</w:t>
            </w:r>
          </w:p>
        </w:tc>
      </w:tr>
      <w:tr w:rsidR="00CB4699" w:rsidRPr="00345755" w14:paraId="482074A0" w14:textId="77777777" w:rsidTr="00973758">
        <w:trPr>
          <w:trHeight w:val="300"/>
        </w:trPr>
        <w:tc>
          <w:tcPr>
            <w:tcW w:w="4770" w:type="dxa"/>
            <w:noWrap/>
          </w:tcPr>
          <w:p w14:paraId="3157DAB1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Improved quality of life</w:t>
            </w:r>
          </w:p>
        </w:tc>
        <w:tc>
          <w:tcPr>
            <w:tcW w:w="1560" w:type="dxa"/>
            <w:noWrap/>
          </w:tcPr>
          <w:p w14:paraId="126D7FC9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0DCC007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</w:tcPr>
          <w:p w14:paraId="663987ED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7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26.7%)</w:t>
            </w:r>
          </w:p>
        </w:tc>
      </w:tr>
      <w:tr w:rsidR="00CB4699" w:rsidRPr="00345755" w14:paraId="51DE2099" w14:textId="77777777" w:rsidTr="00973758">
        <w:trPr>
          <w:trHeight w:val="300"/>
        </w:trPr>
        <w:tc>
          <w:tcPr>
            <w:tcW w:w="4770" w:type="dxa"/>
            <w:noWrap/>
          </w:tcPr>
          <w:p w14:paraId="2026FCB0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LDH ≥1.5×ULN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560" w:type="dxa"/>
            <w:noWrap/>
          </w:tcPr>
          <w:p w14:paraId="12B8A842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511BA7E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</w:tcPr>
          <w:p w14:paraId="2D05C833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457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13.3%)</w:t>
            </w:r>
          </w:p>
        </w:tc>
      </w:tr>
      <w:tr w:rsidR="00CB4699" w:rsidRPr="00345755" w14:paraId="7754623B" w14:textId="77777777" w:rsidTr="00973758">
        <w:trPr>
          <w:trHeight w:val="300"/>
        </w:trPr>
        <w:tc>
          <w:tcPr>
            <w:tcW w:w="4770" w:type="dxa"/>
            <w:noWrap/>
          </w:tcPr>
          <w:p w14:paraId="51955FC7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Symptoms of hemolysis</w:t>
            </w:r>
          </w:p>
        </w:tc>
        <w:tc>
          <w:tcPr>
            <w:tcW w:w="1560" w:type="dxa"/>
            <w:noWrap/>
          </w:tcPr>
          <w:p w14:paraId="6A883918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07034BD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</w:tcPr>
          <w:p w14:paraId="2480AC08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457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13.3%)</w:t>
            </w:r>
          </w:p>
        </w:tc>
      </w:tr>
      <w:tr w:rsidR="00CB4699" w:rsidRPr="00345755" w14:paraId="6CD0E5CE" w14:textId="77777777" w:rsidTr="00973758">
        <w:trPr>
          <w:trHeight w:val="300"/>
        </w:trPr>
        <w:tc>
          <w:tcPr>
            <w:tcW w:w="4770" w:type="dxa"/>
            <w:noWrap/>
          </w:tcPr>
          <w:p w14:paraId="7B495B87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Previous TE</w:t>
            </w:r>
          </w:p>
        </w:tc>
        <w:tc>
          <w:tcPr>
            <w:tcW w:w="1560" w:type="dxa"/>
            <w:noWrap/>
          </w:tcPr>
          <w:p w14:paraId="4849520A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3FDD172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</w:tcPr>
          <w:p w14:paraId="1FCF3FD7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457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6.7%)</w:t>
            </w:r>
          </w:p>
        </w:tc>
      </w:tr>
      <w:tr w:rsidR="00CB4699" w:rsidRPr="00345755" w14:paraId="5C7BBCF2" w14:textId="77777777" w:rsidTr="00973758">
        <w:trPr>
          <w:trHeight w:val="300"/>
        </w:trPr>
        <w:tc>
          <w:tcPr>
            <w:tcW w:w="4770" w:type="dxa"/>
            <w:noWrap/>
          </w:tcPr>
          <w:p w14:paraId="250D13B6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Improved symptom control</w:t>
            </w:r>
          </w:p>
        </w:tc>
        <w:tc>
          <w:tcPr>
            <w:tcW w:w="1560" w:type="dxa"/>
            <w:noWrap/>
          </w:tcPr>
          <w:p w14:paraId="01B9FAF9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56DDCB5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</w:tcPr>
          <w:p w14:paraId="15CFB5BC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457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6.7%)</w:t>
            </w:r>
          </w:p>
        </w:tc>
      </w:tr>
      <w:tr w:rsidR="00CB4699" w:rsidRPr="00345755" w14:paraId="28A79023" w14:textId="77777777" w:rsidTr="00973758">
        <w:trPr>
          <w:trHeight w:val="300"/>
        </w:trPr>
        <w:tc>
          <w:tcPr>
            <w:tcW w:w="4770" w:type="dxa"/>
            <w:noWrap/>
          </w:tcPr>
          <w:p w14:paraId="120C6CFA" w14:textId="77777777" w:rsidR="00CB4699" w:rsidRPr="00345755" w:rsidRDefault="00CB4699" w:rsidP="00973758">
            <w:pPr>
              <w:tabs>
                <w:tab w:val="left" w:pos="3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Duration of treatment</w:t>
            </w: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║</w:t>
            </w: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(months)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</w:tcPr>
          <w:p w14:paraId="01BD7D3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noWrap/>
          </w:tcPr>
          <w:p w14:paraId="5D79DBB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noWrap/>
          </w:tcPr>
          <w:p w14:paraId="26EE8D1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B4699" w:rsidRPr="00345755" w14:paraId="0A9124A4" w14:textId="77777777" w:rsidTr="00973758">
        <w:trPr>
          <w:trHeight w:val="300"/>
        </w:trPr>
        <w:tc>
          <w:tcPr>
            <w:tcW w:w="4770" w:type="dxa"/>
            <w:noWrap/>
          </w:tcPr>
          <w:p w14:paraId="3F514DF4" w14:textId="77777777" w:rsidR="00CB4699" w:rsidRPr="00345755" w:rsidRDefault="00CB4699" w:rsidP="00973758">
            <w:pPr>
              <w:tabs>
                <w:tab w:val="left" w:pos="3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Mean ± SD</w:t>
            </w:r>
          </w:p>
        </w:tc>
        <w:tc>
          <w:tcPr>
            <w:tcW w:w="1560" w:type="dxa"/>
            <w:noWrap/>
          </w:tcPr>
          <w:p w14:paraId="2D286F2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25.4±15.5 </w:t>
            </w:r>
          </w:p>
        </w:tc>
        <w:tc>
          <w:tcPr>
            <w:tcW w:w="1660" w:type="dxa"/>
            <w:noWrap/>
          </w:tcPr>
          <w:p w14:paraId="033DA32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18.1±3.6 </w:t>
            </w:r>
          </w:p>
        </w:tc>
        <w:tc>
          <w:tcPr>
            <w:tcW w:w="1460" w:type="dxa"/>
            <w:noWrap/>
          </w:tcPr>
          <w:p w14:paraId="6EA9FE6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48.0±22.7 </w:t>
            </w:r>
          </w:p>
        </w:tc>
      </w:tr>
      <w:tr w:rsidR="00CB4699" w:rsidRPr="00345755" w14:paraId="11D016AD" w14:textId="77777777" w:rsidTr="00973758">
        <w:trPr>
          <w:trHeight w:val="300"/>
        </w:trPr>
        <w:tc>
          <w:tcPr>
            <w:tcW w:w="4770" w:type="dxa"/>
            <w:noWrap/>
          </w:tcPr>
          <w:p w14:paraId="7D3757C1" w14:textId="77777777" w:rsidR="00CB4699" w:rsidRPr="00345755" w:rsidRDefault="00CB4699" w:rsidP="00973758">
            <w:pPr>
              <w:tabs>
                <w:tab w:val="left" w:pos="3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Range (minimum–maximum)</w:t>
            </w:r>
          </w:p>
        </w:tc>
        <w:tc>
          <w:tcPr>
            <w:tcW w:w="1560" w:type="dxa"/>
            <w:noWrap/>
          </w:tcPr>
          <w:p w14:paraId="4F2E7F7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5.4–79.4</w:t>
            </w:r>
          </w:p>
        </w:tc>
        <w:tc>
          <w:tcPr>
            <w:tcW w:w="1660" w:type="dxa"/>
            <w:noWrap/>
          </w:tcPr>
          <w:p w14:paraId="45DC2DD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13.4–25.1</w:t>
            </w:r>
          </w:p>
        </w:tc>
        <w:tc>
          <w:tcPr>
            <w:tcW w:w="1460" w:type="dxa"/>
            <w:noWrap/>
          </w:tcPr>
          <w:p w14:paraId="2AD6E9B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15.4–84.0</w:t>
            </w:r>
          </w:p>
        </w:tc>
      </w:tr>
      <w:tr w:rsidR="00CB4699" w:rsidRPr="00345755" w14:paraId="5CEEB954" w14:textId="77777777" w:rsidTr="00973758">
        <w:trPr>
          <w:trHeight w:val="300"/>
        </w:trPr>
        <w:tc>
          <w:tcPr>
            <w:tcW w:w="4770" w:type="dxa"/>
            <w:noWrap/>
          </w:tcPr>
          <w:p w14:paraId="7702A97C" w14:textId="77777777" w:rsidR="00CB4699" w:rsidRPr="00345755" w:rsidRDefault="00CB4699" w:rsidP="00973758">
            <w:pPr>
              <w:tabs>
                <w:tab w:val="left" w:pos="3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Eculizumab treatment characteristics </w:t>
            </w:r>
          </w:p>
        </w:tc>
        <w:tc>
          <w:tcPr>
            <w:tcW w:w="1560" w:type="dxa"/>
            <w:noWrap/>
          </w:tcPr>
          <w:p w14:paraId="3C2CF48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noWrap/>
          </w:tcPr>
          <w:p w14:paraId="23AEC4D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noWrap/>
          </w:tcPr>
          <w:p w14:paraId="02C1B94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B4699" w:rsidRPr="00345755" w14:paraId="7DBCA914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4D48BD1C" w14:textId="77777777" w:rsidR="00CB4699" w:rsidRPr="00345755" w:rsidRDefault="00CB4699" w:rsidP="00973758">
            <w:pPr>
              <w:tabs>
                <w:tab w:val="left" w:pos="3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Last reported maintenance dose, n (%)</w:t>
            </w:r>
          </w:p>
        </w:tc>
        <w:tc>
          <w:tcPr>
            <w:tcW w:w="1560" w:type="dxa"/>
            <w:noWrap/>
          </w:tcPr>
          <w:p w14:paraId="7A8BB3B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noWrap/>
          </w:tcPr>
          <w:p w14:paraId="5C7B27F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noWrap/>
          </w:tcPr>
          <w:p w14:paraId="7BB8DB2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B4699" w:rsidRPr="00345755" w14:paraId="0BE2F12F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49AF67C4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900 mg</w:t>
            </w:r>
          </w:p>
        </w:tc>
        <w:tc>
          <w:tcPr>
            <w:tcW w:w="1560" w:type="dxa"/>
            <w:noWrap/>
            <w:hideMark/>
          </w:tcPr>
          <w:p w14:paraId="692C9BA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42 (79.2%)</w:t>
            </w:r>
          </w:p>
        </w:tc>
        <w:tc>
          <w:tcPr>
            <w:tcW w:w="1660" w:type="dxa"/>
            <w:noWrap/>
            <w:hideMark/>
          </w:tcPr>
          <w:p w14:paraId="6F5C1A2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  <w:hideMark/>
          </w:tcPr>
          <w:p w14:paraId="3B6424C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11 (73.3%)</w:t>
            </w:r>
          </w:p>
        </w:tc>
      </w:tr>
      <w:tr w:rsidR="00CB4699" w:rsidRPr="00345755" w14:paraId="3A1BF0E4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1C4B4F39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1200 mg</w:t>
            </w:r>
          </w:p>
        </w:tc>
        <w:tc>
          <w:tcPr>
            <w:tcW w:w="1560" w:type="dxa"/>
            <w:noWrap/>
            <w:hideMark/>
          </w:tcPr>
          <w:p w14:paraId="102B0B9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11 (20.8%)</w:t>
            </w:r>
          </w:p>
        </w:tc>
        <w:tc>
          <w:tcPr>
            <w:tcW w:w="1660" w:type="dxa"/>
            <w:noWrap/>
            <w:hideMark/>
          </w:tcPr>
          <w:p w14:paraId="5E673C3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  <w:hideMark/>
          </w:tcPr>
          <w:p w14:paraId="397E374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 (20.0%)</w:t>
            </w:r>
          </w:p>
        </w:tc>
      </w:tr>
      <w:tr w:rsidR="00CB4699" w:rsidRPr="00345755" w14:paraId="5E9F13D1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5CF540F4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Missing</w:t>
            </w:r>
          </w:p>
        </w:tc>
        <w:tc>
          <w:tcPr>
            <w:tcW w:w="1560" w:type="dxa"/>
            <w:noWrap/>
            <w:hideMark/>
          </w:tcPr>
          <w:p w14:paraId="47C9C09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660" w:type="dxa"/>
            <w:noWrap/>
            <w:hideMark/>
          </w:tcPr>
          <w:p w14:paraId="21EDFC3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  <w:hideMark/>
          </w:tcPr>
          <w:p w14:paraId="41F13C3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78869236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17C827F9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Last reported infusion frequency, n (%)</w:t>
            </w:r>
          </w:p>
        </w:tc>
        <w:tc>
          <w:tcPr>
            <w:tcW w:w="1560" w:type="dxa"/>
            <w:noWrap/>
          </w:tcPr>
          <w:p w14:paraId="74B2364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noWrap/>
          </w:tcPr>
          <w:p w14:paraId="73D90BD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noWrap/>
          </w:tcPr>
          <w:p w14:paraId="68A762C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B4699" w:rsidRPr="00345755" w14:paraId="0E5F8BFA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5DA41ADA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12–13 days</w:t>
            </w:r>
          </w:p>
        </w:tc>
        <w:tc>
          <w:tcPr>
            <w:tcW w:w="1560" w:type="dxa"/>
            <w:noWrap/>
            <w:hideMark/>
          </w:tcPr>
          <w:p w14:paraId="7BA6F32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660" w:type="dxa"/>
            <w:noWrap/>
            <w:hideMark/>
          </w:tcPr>
          <w:p w14:paraId="4ECA6CA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  <w:hideMark/>
          </w:tcPr>
          <w:p w14:paraId="46B7A5C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</w:tr>
      <w:tr w:rsidR="00CB4699" w:rsidRPr="00345755" w14:paraId="125A0448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0289B0A5" w14:textId="77777777" w:rsidR="00CB4699" w:rsidRPr="00345755" w:rsidRDefault="00CB4699" w:rsidP="00973758">
            <w:pPr>
              <w:tabs>
                <w:tab w:val="left" w:pos="3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14 days</w:t>
            </w:r>
          </w:p>
        </w:tc>
        <w:tc>
          <w:tcPr>
            <w:tcW w:w="1560" w:type="dxa"/>
            <w:noWrap/>
            <w:hideMark/>
          </w:tcPr>
          <w:p w14:paraId="774A4D9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40 (75.5%)</w:t>
            </w:r>
          </w:p>
        </w:tc>
        <w:tc>
          <w:tcPr>
            <w:tcW w:w="1660" w:type="dxa"/>
            <w:noWrap/>
            <w:hideMark/>
          </w:tcPr>
          <w:p w14:paraId="78901ED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  <w:hideMark/>
          </w:tcPr>
          <w:p w14:paraId="4BFBB4F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13 (86.7%)</w:t>
            </w:r>
          </w:p>
        </w:tc>
      </w:tr>
      <w:tr w:rsidR="00CB4699" w:rsidRPr="00345755" w14:paraId="6F8C17B3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2262F980" w14:textId="77777777" w:rsidR="00CB4699" w:rsidRPr="00345755" w:rsidRDefault="00CB4699" w:rsidP="00973758">
            <w:pPr>
              <w:tabs>
                <w:tab w:val="left" w:pos="3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15–16 days</w:t>
            </w:r>
          </w:p>
        </w:tc>
        <w:tc>
          <w:tcPr>
            <w:tcW w:w="1560" w:type="dxa"/>
            <w:noWrap/>
            <w:hideMark/>
          </w:tcPr>
          <w:p w14:paraId="4A0A77F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13 (24.5%)</w:t>
            </w:r>
          </w:p>
        </w:tc>
        <w:tc>
          <w:tcPr>
            <w:tcW w:w="1660" w:type="dxa"/>
            <w:noWrap/>
            <w:hideMark/>
          </w:tcPr>
          <w:p w14:paraId="0EA84D9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  <w:hideMark/>
          </w:tcPr>
          <w:p w14:paraId="69B5690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0C1618CB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6C761128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Missing</w:t>
            </w:r>
          </w:p>
        </w:tc>
        <w:tc>
          <w:tcPr>
            <w:tcW w:w="1560" w:type="dxa"/>
            <w:noWrap/>
            <w:hideMark/>
          </w:tcPr>
          <w:p w14:paraId="087D115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660" w:type="dxa"/>
            <w:noWrap/>
            <w:hideMark/>
          </w:tcPr>
          <w:p w14:paraId="410FCA9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  <w:hideMark/>
          </w:tcPr>
          <w:p w14:paraId="15DAF5D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255999BF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46C1D580" w14:textId="77777777" w:rsidR="00CB4699" w:rsidRPr="00345755" w:rsidRDefault="00CB4699" w:rsidP="00973758">
            <w:pPr>
              <w:tabs>
                <w:tab w:val="left" w:pos="3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Dose modification, n (%)</w:t>
            </w:r>
          </w:p>
        </w:tc>
        <w:tc>
          <w:tcPr>
            <w:tcW w:w="1560" w:type="dxa"/>
            <w:noWrap/>
          </w:tcPr>
          <w:p w14:paraId="15285A5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(1.9%)</w:t>
            </w:r>
          </w:p>
        </w:tc>
        <w:tc>
          <w:tcPr>
            <w:tcW w:w="1660" w:type="dxa"/>
            <w:noWrap/>
          </w:tcPr>
          <w:p w14:paraId="481F1A2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</w:tcPr>
          <w:p w14:paraId="6C3AC30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</w:tr>
      <w:tr w:rsidR="00CB4699" w:rsidRPr="00345755" w14:paraId="518EB881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796C0DEC" w14:textId="77777777" w:rsidR="00CB4699" w:rsidRPr="00345755" w:rsidRDefault="00CB4699" w:rsidP="00973758">
            <w:pPr>
              <w:tabs>
                <w:tab w:val="left" w:pos="360"/>
                <w:tab w:val="left" w:pos="7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ab/>
              <w:t xml:space="preserve">Temporary increase to weekly </w:t>
            </w:r>
          </w:p>
        </w:tc>
        <w:tc>
          <w:tcPr>
            <w:tcW w:w="1560" w:type="dxa"/>
            <w:noWrap/>
            <w:hideMark/>
          </w:tcPr>
          <w:p w14:paraId="415F194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(1.9%)</w:t>
            </w:r>
          </w:p>
        </w:tc>
        <w:tc>
          <w:tcPr>
            <w:tcW w:w="1660" w:type="dxa"/>
            <w:noWrap/>
            <w:hideMark/>
          </w:tcPr>
          <w:p w14:paraId="7858E2F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  <w:hideMark/>
          </w:tcPr>
          <w:p w14:paraId="050951A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</w:tr>
      <w:tr w:rsidR="00CB4699" w:rsidRPr="00345755" w14:paraId="5817AE97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6B490D38" w14:textId="77777777" w:rsidR="00CB4699" w:rsidRPr="00345755" w:rsidRDefault="00CB4699" w:rsidP="00973758">
            <w:pPr>
              <w:tabs>
                <w:tab w:val="left" w:pos="345"/>
                <w:tab w:val="left" w:pos="705"/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Reason: hemolysis/LDH ≥ 1.5 × ULN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560" w:type="dxa"/>
            <w:noWrap/>
            <w:hideMark/>
          </w:tcPr>
          <w:p w14:paraId="6C8D0DC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(1.9%)</w:t>
            </w:r>
          </w:p>
        </w:tc>
        <w:tc>
          <w:tcPr>
            <w:tcW w:w="1660" w:type="dxa"/>
            <w:noWrap/>
            <w:hideMark/>
          </w:tcPr>
          <w:p w14:paraId="7A57B0C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  <w:hideMark/>
          </w:tcPr>
          <w:p w14:paraId="11251EB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</w:tr>
      <w:tr w:rsidR="00CB4699" w:rsidRPr="00345755" w14:paraId="0FBAA7EA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1F91B079" w14:textId="77777777" w:rsidR="00CB4699" w:rsidRPr="00345755" w:rsidRDefault="00CB4699" w:rsidP="00973758">
            <w:pPr>
              <w:tabs>
                <w:tab w:val="left" w:pos="37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Treatment interruption, n (%)</w:t>
            </w:r>
          </w:p>
        </w:tc>
        <w:tc>
          <w:tcPr>
            <w:tcW w:w="1560" w:type="dxa"/>
            <w:noWrap/>
            <w:hideMark/>
          </w:tcPr>
          <w:p w14:paraId="332BCEB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660" w:type="dxa"/>
            <w:noWrap/>
            <w:hideMark/>
          </w:tcPr>
          <w:p w14:paraId="32A674F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  <w:hideMark/>
          </w:tcPr>
          <w:p w14:paraId="36E1CE7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14:paraId="6CBDE629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06C87914" w14:textId="77777777" w:rsidR="00CB4699" w:rsidRPr="00345755" w:rsidRDefault="00CB4699" w:rsidP="00973758">
            <w:pPr>
              <w:tabs>
                <w:tab w:val="left" w:pos="37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Duration in days, mean ± SD</w:t>
            </w:r>
          </w:p>
        </w:tc>
        <w:tc>
          <w:tcPr>
            <w:tcW w:w="1560" w:type="dxa"/>
            <w:noWrap/>
          </w:tcPr>
          <w:p w14:paraId="53D9A92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603B933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</w:tcPr>
          <w:p w14:paraId="688C62F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7.0 ± 0.0</w:t>
            </w:r>
          </w:p>
        </w:tc>
      </w:tr>
      <w:tr w:rsidR="00CB4699" w:rsidRPr="00345755" w14:paraId="78070138" w14:textId="77777777" w:rsidTr="00973758">
        <w:trPr>
          <w:trHeight w:val="300"/>
        </w:trPr>
        <w:tc>
          <w:tcPr>
            <w:tcW w:w="4770" w:type="dxa"/>
            <w:noWrap/>
            <w:hideMark/>
          </w:tcPr>
          <w:p w14:paraId="4C33AED3" w14:textId="77777777" w:rsidR="00CB4699" w:rsidRPr="00345755" w:rsidRDefault="00CB4699" w:rsidP="00973758">
            <w:pPr>
              <w:tabs>
                <w:tab w:val="left" w:pos="37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Reason: vacation, traveling</w:t>
            </w:r>
          </w:p>
        </w:tc>
        <w:tc>
          <w:tcPr>
            <w:tcW w:w="1560" w:type="dxa"/>
            <w:noWrap/>
          </w:tcPr>
          <w:p w14:paraId="75C6BF4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64A4CC7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60" w:type="dxa"/>
            <w:noWrap/>
          </w:tcPr>
          <w:p w14:paraId="21453B7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(6.7%)</w:t>
            </w:r>
          </w:p>
        </w:tc>
      </w:tr>
      <w:tr w:rsidR="00CB4699" w:rsidRPr="00345755" w:rsidDel="004F2C98" w14:paraId="59C5B4E4" w14:textId="77777777" w:rsidTr="00973758">
        <w:trPr>
          <w:trHeight w:val="300"/>
        </w:trPr>
        <w:tc>
          <w:tcPr>
            <w:tcW w:w="4770" w:type="dxa"/>
            <w:noWrap/>
          </w:tcPr>
          <w:p w14:paraId="3FC6BC00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Ravulizumab treatment characteristics </w:t>
            </w:r>
          </w:p>
        </w:tc>
        <w:tc>
          <w:tcPr>
            <w:tcW w:w="1560" w:type="dxa"/>
            <w:noWrap/>
          </w:tcPr>
          <w:p w14:paraId="4627332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noWrap/>
          </w:tcPr>
          <w:p w14:paraId="68E323C1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noWrap/>
          </w:tcPr>
          <w:p w14:paraId="6CDF9E38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:rsidDel="004F2C98" w14:paraId="432F6F64" w14:textId="77777777" w:rsidTr="00973758">
        <w:trPr>
          <w:trHeight w:val="300"/>
        </w:trPr>
        <w:tc>
          <w:tcPr>
            <w:tcW w:w="4770" w:type="dxa"/>
            <w:noWrap/>
          </w:tcPr>
          <w:p w14:paraId="10B9740F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Last reported maintenance dose, n (%)</w:t>
            </w:r>
          </w:p>
        </w:tc>
        <w:tc>
          <w:tcPr>
            <w:tcW w:w="1560" w:type="dxa"/>
            <w:noWrap/>
          </w:tcPr>
          <w:p w14:paraId="35A6262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noWrap/>
          </w:tcPr>
          <w:p w14:paraId="4211D984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noWrap/>
          </w:tcPr>
          <w:p w14:paraId="41D27DC3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:rsidDel="004F2C98" w14:paraId="4BE6606F" w14:textId="77777777" w:rsidTr="00973758">
        <w:trPr>
          <w:trHeight w:val="300"/>
        </w:trPr>
        <w:tc>
          <w:tcPr>
            <w:tcW w:w="4770" w:type="dxa"/>
            <w:noWrap/>
          </w:tcPr>
          <w:p w14:paraId="0DD12918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3000 mg</w:t>
            </w:r>
          </w:p>
        </w:tc>
        <w:tc>
          <w:tcPr>
            <w:tcW w:w="1560" w:type="dxa"/>
            <w:noWrap/>
          </w:tcPr>
          <w:p w14:paraId="2C22486C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3A4134BF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(3.1%)</w:t>
            </w:r>
          </w:p>
        </w:tc>
        <w:tc>
          <w:tcPr>
            <w:tcW w:w="1460" w:type="dxa"/>
            <w:noWrap/>
          </w:tcPr>
          <w:p w14:paraId="7291513C" w14:textId="77777777" w:rsidR="00CB4699" w:rsidRPr="00345755" w:rsidDel="004F2C98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457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13.3%)</w:t>
            </w:r>
          </w:p>
        </w:tc>
      </w:tr>
      <w:tr w:rsidR="00CB4699" w:rsidRPr="00345755" w:rsidDel="004F2C98" w14:paraId="3F2FD8EF" w14:textId="77777777" w:rsidTr="00973758">
        <w:trPr>
          <w:trHeight w:val="300"/>
        </w:trPr>
        <w:tc>
          <w:tcPr>
            <w:tcW w:w="4770" w:type="dxa"/>
            <w:noWrap/>
          </w:tcPr>
          <w:p w14:paraId="600E630E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3300 mg</w:t>
            </w:r>
          </w:p>
        </w:tc>
        <w:tc>
          <w:tcPr>
            <w:tcW w:w="1560" w:type="dxa"/>
            <w:noWrap/>
          </w:tcPr>
          <w:p w14:paraId="22FAFD09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11C9F9CB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30 (93.8%)</w:t>
            </w:r>
          </w:p>
        </w:tc>
        <w:tc>
          <w:tcPr>
            <w:tcW w:w="1460" w:type="dxa"/>
            <w:noWrap/>
          </w:tcPr>
          <w:p w14:paraId="0C80AB14" w14:textId="77777777" w:rsidR="00CB4699" w:rsidRPr="00345755" w:rsidDel="004F2C98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3457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80.0%)</w:t>
            </w:r>
          </w:p>
        </w:tc>
      </w:tr>
      <w:tr w:rsidR="00CB4699" w:rsidRPr="00345755" w:rsidDel="004F2C98" w14:paraId="6E25C0FE" w14:textId="77777777" w:rsidTr="00973758">
        <w:trPr>
          <w:trHeight w:val="300"/>
        </w:trPr>
        <w:tc>
          <w:tcPr>
            <w:tcW w:w="4770" w:type="dxa"/>
            <w:noWrap/>
          </w:tcPr>
          <w:p w14:paraId="29A22B48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3600 mg</w:t>
            </w:r>
          </w:p>
        </w:tc>
        <w:tc>
          <w:tcPr>
            <w:tcW w:w="1560" w:type="dxa"/>
            <w:noWrap/>
          </w:tcPr>
          <w:p w14:paraId="4D63368F" w14:textId="77777777" w:rsidR="00CB4699" w:rsidRPr="00345755" w:rsidDel="004F2C98" w:rsidRDefault="00CB4699" w:rsidP="009737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7230D7C6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 (3.1%)</w:t>
            </w:r>
          </w:p>
        </w:tc>
        <w:tc>
          <w:tcPr>
            <w:tcW w:w="1460" w:type="dxa"/>
            <w:noWrap/>
          </w:tcPr>
          <w:p w14:paraId="56D2C03D" w14:textId="77777777" w:rsidR="00CB4699" w:rsidRPr="00345755" w:rsidDel="004F2C98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457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6.7%)</w:t>
            </w:r>
          </w:p>
        </w:tc>
      </w:tr>
      <w:tr w:rsidR="00CB4699" w:rsidRPr="00345755" w14:paraId="0867EFAC" w14:textId="77777777" w:rsidTr="00973758">
        <w:trPr>
          <w:trHeight w:val="300"/>
        </w:trPr>
        <w:tc>
          <w:tcPr>
            <w:tcW w:w="4770" w:type="dxa"/>
            <w:noWrap/>
          </w:tcPr>
          <w:p w14:paraId="3969D280" w14:textId="77777777" w:rsidR="00CB4699" w:rsidRPr="00345755" w:rsidRDefault="00CB4699" w:rsidP="00973758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Last reported infusion frequency, n (%)</w:t>
            </w:r>
          </w:p>
        </w:tc>
        <w:tc>
          <w:tcPr>
            <w:tcW w:w="1560" w:type="dxa"/>
            <w:noWrap/>
          </w:tcPr>
          <w:p w14:paraId="2BBD46A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noWrap/>
          </w:tcPr>
          <w:p w14:paraId="174C3974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noWrap/>
          </w:tcPr>
          <w:p w14:paraId="6244E73D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7E37ECAD" w14:textId="77777777" w:rsidTr="00973758">
        <w:trPr>
          <w:trHeight w:val="300"/>
        </w:trPr>
        <w:tc>
          <w:tcPr>
            <w:tcW w:w="4770" w:type="dxa"/>
            <w:noWrap/>
          </w:tcPr>
          <w:p w14:paraId="16624B2A" w14:textId="77777777" w:rsidR="00CB4699" w:rsidRPr="00345755" w:rsidRDefault="00CB4699" w:rsidP="0097375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8 weeks</w:t>
            </w:r>
          </w:p>
        </w:tc>
        <w:tc>
          <w:tcPr>
            <w:tcW w:w="1560" w:type="dxa"/>
            <w:noWrap/>
          </w:tcPr>
          <w:p w14:paraId="53EA4E24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5EC4AAA5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32 (100.0%)</w:t>
            </w:r>
          </w:p>
        </w:tc>
        <w:tc>
          <w:tcPr>
            <w:tcW w:w="1460" w:type="dxa"/>
            <w:noWrap/>
          </w:tcPr>
          <w:p w14:paraId="39D3678A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15 (100.0%)</w:t>
            </w:r>
          </w:p>
        </w:tc>
      </w:tr>
      <w:tr w:rsidR="00CB4699" w:rsidRPr="00345755" w14:paraId="70DF6DC9" w14:textId="77777777" w:rsidTr="00973758">
        <w:trPr>
          <w:trHeight w:val="300"/>
        </w:trPr>
        <w:tc>
          <w:tcPr>
            <w:tcW w:w="4770" w:type="dxa"/>
            <w:noWrap/>
          </w:tcPr>
          <w:p w14:paraId="427F96F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Dose modification, n (%)</w:t>
            </w:r>
          </w:p>
        </w:tc>
        <w:tc>
          <w:tcPr>
            <w:tcW w:w="1560" w:type="dxa"/>
            <w:noWrap/>
          </w:tcPr>
          <w:p w14:paraId="33D068B7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5D4DF12C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460" w:type="dxa"/>
            <w:noWrap/>
          </w:tcPr>
          <w:p w14:paraId="122A03C6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</w:tr>
      <w:tr w:rsidR="00CB4699" w:rsidRPr="00345755" w14:paraId="573D353F" w14:textId="77777777" w:rsidTr="00973758">
        <w:trPr>
          <w:trHeight w:val="300"/>
        </w:trPr>
        <w:tc>
          <w:tcPr>
            <w:tcW w:w="4770" w:type="dxa"/>
            <w:noWrap/>
          </w:tcPr>
          <w:p w14:paraId="4683B45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Treatment interruption, n (%)</w:t>
            </w:r>
          </w:p>
        </w:tc>
        <w:tc>
          <w:tcPr>
            <w:tcW w:w="1560" w:type="dxa"/>
            <w:noWrap/>
          </w:tcPr>
          <w:p w14:paraId="45A9BB2E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60" w:type="dxa"/>
            <w:noWrap/>
          </w:tcPr>
          <w:p w14:paraId="1B7EA430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460" w:type="dxa"/>
            <w:noWrap/>
          </w:tcPr>
          <w:p w14:paraId="646D7C0F" w14:textId="77777777" w:rsidR="00CB4699" w:rsidRPr="00345755" w:rsidRDefault="00CB4699" w:rsidP="009737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 (0.0%)</w:t>
            </w:r>
          </w:p>
        </w:tc>
      </w:tr>
    </w:tbl>
    <w:p w14:paraId="62309E02" w14:textId="77777777" w:rsidR="00CB4699" w:rsidRPr="00345755" w:rsidRDefault="00CB4699" w:rsidP="00CB46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755">
        <w:rPr>
          <w:rFonts w:ascii="Times New Roman" w:hAnsi="Times New Roman"/>
          <w:b/>
          <w:bCs/>
          <w:color w:val="000000"/>
          <w:sz w:val="24"/>
          <w:szCs w:val="24"/>
        </w:rPr>
        <w:t>Notes:</w:t>
      </w:r>
      <w:r w:rsidRPr="003457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*In the switch group, reason for initiating C5 inhibitor treatment was defined as the reason for starting eculizumab. 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†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Multiple reasons possible. 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‡</w:t>
      </w:r>
      <w:r w:rsidRPr="00345755">
        <w:rPr>
          <w:rFonts w:ascii="Times New Roman" w:hAnsi="Times New Roman" w:cs="Times New Roman"/>
          <w:color w:val="000000"/>
          <w:sz w:val="24"/>
          <w:szCs w:val="24"/>
        </w:rPr>
        <w:t xml:space="preserve">1.5×ULN=369 IU/L. 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§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Including travel. </w:t>
      </w:r>
      <w:r w:rsidRPr="0034575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║</w:t>
      </w:r>
      <w:r w:rsidRPr="00345755">
        <w:rPr>
          <w:rFonts w:ascii="Times New Roman" w:hAnsi="Times New Roman" w:cs="Times New Roman"/>
          <w:color w:val="000000"/>
          <w:sz w:val="24"/>
          <w:szCs w:val="24"/>
        </w:rPr>
        <w:t>Start to last encounter. For patients in the switch subgroup,</w:t>
      </w:r>
      <w:r w:rsidRPr="00345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5755">
        <w:rPr>
          <w:rFonts w:ascii="Times New Roman" w:hAnsi="Times New Roman" w:cs="Times New Roman"/>
          <w:color w:val="000000"/>
          <w:sz w:val="24"/>
          <w:szCs w:val="24"/>
        </w:rPr>
        <w:t xml:space="preserve">treatment duration was defined as </w:t>
      </w:r>
      <w:r w:rsidRPr="00345755">
        <w:rPr>
          <w:rFonts w:ascii="Times New Roman" w:hAnsi="Times New Roman" w:cs="Times New Roman"/>
          <w:snapToGrid w:val="0"/>
          <w:color w:val="000000"/>
          <w:sz w:val="24"/>
          <w:szCs w:val="24"/>
        </w:rPr>
        <w:t>the sum of the two treatment durations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Abbreviations: C5, complement protein C5; CKD, chronic kidney disease; </w:t>
      </w:r>
      <w:r w:rsidRPr="00345755">
        <w:rPr>
          <w:rFonts w:ascii="Times New Roman" w:hAnsi="Times New Roman" w:cs="Times New Roman"/>
          <w:color w:val="000000"/>
          <w:sz w:val="24"/>
          <w:szCs w:val="24"/>
        </w:rPr>
        <w:t xml:space="preserve">GPI, glycosylphosphatidylinositol; 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</w:rPr>
        <w:t>LDH, lactate dehydrogenase; NA, not applicable; SD, standard deviation; TE, thromboembolic event; ULN, upper limit of normal.</w:t>
      </w:r>
    </w:p>
    <w:p w14:paraId="7E2A90AF" w14:textId="77777777" w:rsidR="00CB4699" w:rsidRPr="00345755" w:rsidRDefault="00CB4699" w:rsidP="00CB46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1FD813C" w14:textId="77777777" w:rsidR="00CB4699" w:rsidRPr="00345755" w:rsidRDefault="00CB4699" w:rsidP="00CB4699">
      <w:pPr>
        <w:rPr>
          <w:rFonts w:ascii="Times New Roman" w:hAnsi="Times New Roman" w:cs="Times New Roman"/>
          <w:color w:val="000000"/>
          <w:sz w:val="24"/>
          <w:szCs w:val="24"/>
        </w:rPr>
        <w:sectPr w:rsidR="00CB4699" w:rsidRPr="00345755" w:rsidSect="00ED63CE">
          <w:pgSz w:w="12240" w:h="15840"/>
          <w:pgMar w:top="1701" w:right="1701" w:bottom="1701" w:left="1701" w:header="720" w:footer="720" w:gutter="0"/>
          <w:cols w:space="720"/>
          <w:docGrid w:linePitch="360"/>
        </w:sectPr>
      </w:pPr>
    </w:p>
    <w:p w14:paraId="3553B7C9" w14:textId="77777777" w:rsidR="00CB4699" w:rsidRPr="00345755" w:rsidRDefault="00CB4699" w:rsidP="00CB4699">
      <w:pPr>
        <w:spacing w:line="240" w:lineRule="auto"/>
        <w:rPr>
          <w:rFonts w:ascii="Times New Roman" w:hAnsi="Times New Roman" w:cs="Times New Roman"/>
          <w:i/>
          <w:iCs/>
          <w:color w:val="000000"/>
        </w:rPr>
      </w:pPr>
      <w:r w:rsidRPr="00345755">
        <w:rPr>
          <w:rFonts w:ascii="Times New Roman" w:hAnsi="Times New Roman" w:cs="Times New Roman"/>
          <w:b/>
          <w:bCs/>
          <w:color w:val="000000"/>
        </w:rPr>
        <w:lastRenderedPageBreak/>
        <w:t>Supplemental Table 3</w:t>
      </w:r>
      <w:r w:rsidRPr="00345755">
        <w:rPr>
          <w:rFonts w:ascii="Times New Roman" w:hAnsi="Times New Roman" w:cs="Times New Roman"/>
          <w:color w:val="000000"/>
        </w:rPr>
        <w:t xml:space="preserve"> Change in laboratory values between baseline and follow-up by subgroup (routine visits)</w:t>
      </w:r>
    </w:p>
    <w:tbl>
      <w:tblPr>
        <w:tblStyle w:val="TableGrid"/>
        <w:tblW w:w="12749" w:type="dxa"/>
        <w:tblLook w:val="04A0" w:firstRow="1" w:lastRow="0" w:firstColumn="1" w:lastColumn="0" w:noHBand="0" w:noVBand="1"/>
      </w:tblPr>
      <w:tblGrid>
        <w:gridCol w:w="6140"/>
        <w:gridCol w:w="1121"/>
        <w:gridCol w:w="1350"/>
        <w:gridCol w:w="1282"/>
        <w:gridCol w:w="1710"/>
        <w:gridCol w:w="1146"/>
      </w:tblGrid>
      <w:tr w:rsidR="00CB4699" w:rsidRPr="00345755" w14:paraId="21019A72" w14:textId="77777777" w:rsidTr="00973758">
        <w:trPr>
          <w:trHeight w:val="300"/>
        </w:trPr>
        <w:tc>
          <w:tcPr>
            <w:tcW w:w="6140" w:type="dxa"/>
            <w:noWrap/>
          </w:tcPr>
          <w:p w14:paraId="67BE5D7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noWrap/>
          </w:tcPr>
          <w:p w14:paraId="0D14174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Baseline mean</w:t>
            </w:r>
          </w:p>
        </w:tc>
        <w:tc>
          <w:tcPr>
            <w:tcW w:w="1350" w:type="dxa"/>
            <w:noWrap/>
          </w:tcPr>
          <w:p w14:paraId="56CD434D" w14:textId="77777777" w:rsidR="00CB4699" w:rsidRPr="00345755" w:rsidRDefault="00CB4699" w:rsidP="009737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Follow-up*</w:t>
            </w:r>
          </w:p>
          <w:p w14:paraId="1B9BB246" w14:textId="77777777" w:rsidR="00CB4699" w:rsidRPr="00345755" w:rsidRDefault="00CB4699" w:rsidP="009737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282" w:type="dxa"/>
            <w:noWrap/>
          </w:tcPr>
          <w:p w14:paraId="3F12DDF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Difference </w:t>
            </w:r>
            <w:proofErr w:type="gramStart"/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mean</w:t>
            </w:r>
            <w:proofErr w:type="gramEnd"/>
          </w:p>
        </w:tc>
        <w:tc>
          <w:tcPr>
            <w:tcW w:w="1710" w:type="dxa"/>
            <w:noWrap/>
          </w:tcPr>
          <w:p w14:paraId="51DAA2A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1146" w:type="dxa"/>
            <w:noWrap/>
          </w:tcPr>
          <w:p w14:paraId="4B9EAA8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 value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†</w:t>
            </w:r>
          </w:p>
        </w:tc>
      </w:tr>
      <w:tr w:rsidR="00CB4699" w:rsidRPr="00345755" w14:paraId="286BD702" w14:textId="77777777" w:rsidTr="00973758">
        <w:trPr>
          <w:trHeight w:val="288"/>
        </w:trPr>
        <w:tc>
          <w:tcPr>
            <w:tcW w:w="6140" w:type="dxa"/>
            <w:noWrap/>
          </w:tcPr>
          <w:p w14:paraId="558EDC3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Eculizumab only</w:t>
            </w:r>
          </w:p>
        </w:tc>
        <w:tc>
          <w:tcPr>
            <w:tcW w:w="1121" w:type="dxa"/>
          </w:tcPr>
          <w:p w14:paraId="64A3B4F3" w14:textId="77777777" w:rsidR="00CB4699" w:rsidRPr="00345755" w:rsidRDefault="00CB4699" w:rsidP="00973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761AF3B" w14:textId="77777777" w:rsidR="00CB4699" w:rsidRPr="00345755" w:rsidRDefault="00CB4699" w:rsidP="00973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</w:tcPr>
          <w:p w14:paraId="798C6C48" w14:textId="77777777" w:rsidR="00CB4699" w:rsidRPr="00345755" w:rsidRDefault="00CB4699" w:rsidP="00973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B22FE1E" w14:textId="77777777" w:rsidR="00CB4699" w:rsidRPr="00345755" w:rsidRDefault="00CB4699" w:rsidP="00973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noWrap/>
          </w:tcPr>
          <w:p w14:paraId="287B9765" w14:textId="77777777" w:rsidR="00CB4699" w:rsidRPr="00345755" w:rsidRDefault="00CB4699" w:rsidP="00973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70DE1919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4C242EF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Hemoglobin (g/dL), n=50</w:t>
            </w:r>
          </w:p>
        </w:tc>
        <w:tc>
          <w:tcPr>
            <w:tcW w:w="1121" w:type="dxa"/>
            <w:hideMark/>
          </w:tcPr>
          <w:p w14:paraId="232B496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50" w:type="dxa"/>
            <w:hideMark/>
          </w:tcPr>
          <w:p w14:paraId="4EAC7FD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1282" w:type="dxa"/>
            <w:hideMark/>
          </w:tcPr>
          <w:p w14:paraId="4AB1192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710" w:type="dxa"/>
            <w:hideMark/>
          </w:tcPr>
          <w:p w14:paraId="071E899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2.6, 3.7</w:t>
            </w:r>
          </w:p>
        </w:tc>
        <w:tc>
          <w:tcPr>
            <w:tcW w:w="1146" w:type="dxa"/>
            <w:noWrap/>
            <w:hideMark/>
          </w:tcPr>
          <w:p w14:paraId="3990537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B4699" w:rsidRPr="00345755" w14:paraId="412024B5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1375C86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Absolute reticulocyte count (×10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/L), n=28</w:t>
            </w:r>
          </w:p>
        </w:tc>
        <w:tc>
          <w:tcPr>
            <w:tcW w:w="1121" w:type="dxa"/>
            <w:hideMark/>
          </w:tcPr>
          <w:p w14:paraId="2894BAC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92.9</w:t>
            </w:r>
          </w:p>
        </w:tc>
        <w:tc>
          <w:tcPr>
            <w:tcW w:w="1350" w:type="dxa"/>
            <w:hideMark/>
          </w:tcPr>
          <w:p w14:paraId="6CCD5A9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82" w:type="dxa"/>
            <w:hideMark/>
          </w:tcPr>
          <w:p w14:paraId="1D1898C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–28.9</w:t>
            </w:r>
          </w:p>
        </w:tc>
        <w:tc>
          <w:tcPr>
            <w:tcW w:w="1710" w:type="dxa"/>
            <w:hideMark/>
          </w:tcPr>
          <w:p w14:paraId="53AA39B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–87.0, 29.1</w:t>
            </w:r>
          </w:p>
        </w:tc>
        <w:tc>
          <w:tcPr>
            <w:tcW w:w="1146" w:type="dxa"/>
            <w:noWrap/>
            <w:hideMark/>
          </w:tcPr>
          <w:p w14:paraId="44746A5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0.316</w:t>
            </w:r>
          </w:p>
        </w:tc>
      </w:tr>
      <w:tr w:rsidR="00CB4699" w:rsidRPr="00345755" w14:paraId="56FF1045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092D07D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Platelet count (×10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/L), n=50</w:t>
            </w:r>
          </w:p>
        </w:tc>
        <w:tc>
          <w:tcPr>
            <w:tcW w:w="1121" w:type="dxa"/>
            <w:hideMark/>
          </w:tcPr>
          <w:p w14:paraId="1F91FBD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146.2</w:t>
            </w:r>
          </w:p>
        </w:tc>
        <w:tc>
          <w:tcPr>
            <w:tcW w:w="1350" w:type="dxa"/>
            <w:hideMark/>
          </w:tcPr>
          <w:p w14:paraId="3E7797A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179.7</w:t>
            </w:r>
          </w:p>
        </w:tc>
        <w:tc>
          <w:tcPr>
            <w:tcW w:w="1282" w:type="dxa"/>
            <w:hideMark/>
          </w:tcPr>
          <w:p w14:paraId="0D011FF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33.5</w:t>
            </w:r>
          </w:p>
        </w:tc>
        <w:tc>
          <w:tcPr>
            <w:tcW w:w="1710" w:type="dxa"/>
            <w:hideMark/>
          </w:tcPr>
          <w:p w14:paraId="7F33C86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3.3, 63.7</w:t>
            </w:r>
          </w:p>
        </w:tc>
        <w:tc>
          <w:tcPr>
            <w:tcW w:w="1146" w:type="dxa"/>
            <w:noWrap/>
            <w:hideMark/>
          </w:tcPr>
          <w:p w14:paraId="009B0AE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0.031</w:t>
            </w:r>
          </w:p>
        </w:tc>
      </w:tr>
      <w:tr w:rsidR="00CB4699" w:rsidRPr="00345755" w14:paraId="4999CA38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12200FA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White blood cell count (×10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/L), n=50</w:t>
            </w:r>
          </w:p>
        </w:tc>
        <w:tc>
          <w:tcPr>
            <w:tcW w:w="1121" w:type="dxa"/>
            <w:hideMark/>
          </w:tcPr>
          <w:p w14:paraId="7305E7F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50" w:type="dxa"/>
            <w:hideMark/>
          </w:tcPr>
          <w:p w14:paraId="449FD3B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82" w:type="dxa"/>
            <w:hideMark/>
          </w:tcPr>
          <w:p w14:paraId="4289816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–0.3</w:t>
            </w:r>
          </w:p>
        </w:tc>
        <w:tc>
          <w:tcPr>
            <w:tcW w:w="1710" w:type="dxa"/>
            <w:hideMark/>
          </w:tcPr>
          <w:p w14:paraId="3036EEB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–1.1, 0.5</w:t>
            </w:r>
          </w:p>
        </w:tc>
        <w:tc>
          <w:tcPr>
            <w:tcW w:w="1146" w:type="dxa"/>
            <w:noWrap/>
            <w:hideMark/>
          </w:tcPr>
          <w:p w14:paraId="466FC9B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0.444</w:t>
            </w:r>
          </w:p>
        </w:tc>
      </w:tr>
      <w:tr w:rsidR="00CB4699" w:rsidRPr="00345755" w14:paraId="1958AE80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2BEF994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Neutrophil count (×10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/L), n=41</w:t>
            </w:r>
          </w:p>
        </w:tc>
        <w:tc>
          <w:tcPr>
            <w:tcW w:w="1121" w:type="dxa"/>
            <w:hideMark/>
          </w:tcPr>
          <w:p w14:paraId="21D888A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50" w:type="dxa"/>
            <w:hideMark/>
          </w:tcPr>
          <w:p w14:paraId="0AFEF6D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282" w:type="dxa"/>
            <w:hideMark/>
          </w:tcPr>
          <w:p w14:paraId="725041D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–0.5</w:t>
            </w:r>
          </w:p>
        </w:tc>
        <w:tc>
          <w:tcPr>
            <w:tcW w:w="1710" w:type="dxa"/>
            <w:hideMark/>
          </w:tcPr>
          <w:p w14:paraId="0BFB982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–1.3, 0.2</w:t>
            </w:r>
          </w:p>
        </w:tc>
        <w:tc>
          <w:tcPr>
            <w:tcW w:w="1146" w:type="dxa"/>
            <w:noWrap/>
            <w:hideMark/>
          </w:tcPr>
          <w:p w14:paraId="4E07B93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0.133</w:t>
            </w:r>
          </w:p>
        </w:tc>
      </w:tr>
      <w:tr w:rsidR="00CB4699" w:rsidRPr="00345755" w14:paraId="7B95FE1D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7A2B173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ALT (U/L), n=23 </w:t>
            </w:r>
          </w:p>
        </w:tc>
        <w:tc>
          <w:tcPr>
            <w:tcW w:w="1121" w:type="dxa"/>
            <w:hideMark/>
          </w:tcPr>
          <w:p w14:paraId="6226E4C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350" w:type="dxa"/>
            <w:hideMark/>
          </w:tcPr>
          <w:p w14:paraId="0923CF4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1282" w:type="dxa"/>
            <w:hideMark/>
          </w:tcPr>
          <w:p w14:paraId="3DD2E17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–14.4</w:t>
            </w:r>
          </w:p>
        </w:tc>
        <w:tc>
          <w:tcPr>
            <w:tcW w:w="1710" w:type="dxa"/>
            <w:hideMark/>
          </w:tcPr>
          <w:p w14:paraId="5E200E1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–23.6, –5.2</w:t>
            </w:r>
          </w:p>
        </w:tc>
        <w:tc>
          <w:tcPr>
            <w:tcW w:w="1146" w:type="dxa"/>
            <w:noWrap/>
            <w:hideMark/>
          </w:tcPr>
          <w:p w14:paraId="0ECA226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0.004</w:t>
            </w:r>
          </w:p>
        </w:tc>
      </w:tr>
      <w:tr w:rsidR="00CB4699" w:rsidRPr="00345755" w14:paraId="0284B31E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444289A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AST (U/L), n=23</w:t>
            </w:r>
          </w:p>
        </w:tc>
        <w:tc>
          <w:tcPr>
            <w:tcW w:w="1121" w:type="dxa"/>
            <w:hideMark/>
          </w:tcPr>
          <w:p w14:paraId="47A8CED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55.3</w:t>
            </w:r>
          </w:p>
        </w:tc>
        <w:tc>
          <w:tcPr>
            <w:tcW w:w="1350" w:type="dxa"/>
            <w:hideMark/>
          </w:tcPr>
          <w:p w14:paraId="32133CB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1282" w:type="dxa"/>
            <w:hideMark/>
          </w:tcPr>
          <w:p w14:paraId="270DC81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–16.6</w:t>
            </w:r>
          </w:p>
        </w:tc>
        <w:tc>
          <w:tcPr>
            <w:tcW w:w="1710" w:type="dxa"/>
            <w:hideMark/>
          </w:tcPr>
          <w:p w14:paraId="56C22BB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–25.6, –7.7</w:t>
            </w:r>
          </w:p>
        </w:tc>
        <w:tc>
          <w:tcPr>
            <w:tcW w:w="1146" w:type="dxa"/>
            <w:noWrap/>
            <w:hideMark/>
          </w:tcPr>
          <w:p w14:paraId="7213F40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B4699" w:rsidRPr="00345755" w14:paraId="2DB8E409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37D836F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Lactate dehydrogenase (IU/L), n=49</w:t>
            </w:r>
          </w:p>
        </w:tc>
        <w:tc>
          <w:tcPr>
            <w:tcW w:w="1121" w:type="dxa"/>
            <w:hideMark/>
          </w:tcPr>
          <w:p w14:paraId="7CC1EDA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605.7</w:t>
            </w:r>
          </w:p>
        </w:tc>
        <w:tc>
          <w:tcPr>
            <w:tcW w:w="1350" w:type="dxa"/>
            <w:hideMark/>
          </w:tcPr>
          <w:p w14:paraId="36C853C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246.5</w:t>
            </w:r>
          </w:p>
        </w:tc>
        <w:tc>
          <w:tcPr>
            <w:tcW w:w="1282" w:type="dxa"/>
            <w:hideMark/>
          </w:tcPr>
          <w:p w14:paraId="3E41CC4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–359.2</w:t>
            </w:r>
          </w:p>
        </w:tc>
        <w:tc>
          <w:tcPr>
            <w:tcW w:w="1710" w:type="dxa"/>
            <w:hideMark/>
          </w:tcPr>
          <w:p w14:paraId="7D46D6B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–459.5, –258.9</w:t>
            </w:r>
          </w:p>
        </w:tc>
        <w:tc>
          <w:tcPr>
            <w:tcW w:w="1146" w:type="dxa"/>
            <w:noWrap/>
            <w:hideMark/>
          </w:tcPr>
          <w:p w14:paraId="21A7642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B4699" w:rsidRPr="00345755" w14:paraId="1E152D3D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291100E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Bilirubin (mg/dL), n=48</w:t>
            </w:r>
          </w:p>
        </w:tc>
        <w:tc>
          <w:tcPr>
            <w:tcW w:w="1121" w:type="dxa"/>
            <w:hideMark/>
          </w:tcPr>
          <w:p w14:paraId="0C5BF99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50" w:type="dxa"/>
            <w:hideMark/>
          </w:tcPr>
          <w:p w14:paraId="3F8278E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82" w:type="dxa"/>
            <w:hideMark/>
          </w:tcPr>
          <w:p w14:paraId="0B663E5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–1.5</w:t>
            </w:r>
          </w:p>
        </w:tc>
        <w:tc>
          <w:tcPr>
            <w:tcW w:w="1710" w:type="dxa"/>
            <w:hideMark/>
          </w:tcPr>
          <w:p w14:paraId="6C718CE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–1.8, -–1.1</w:t>
            </w:r>
          </w:p>
        </w:tc>
        <w:tc>
          <w:tcPr>
            <w:tcW w:w="1146" w:type="dxa"/>
            <w:noWrap/>
            <w:hideMark/>
          </w:tcPr>
          <w:p w14:paraId="5B3868B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B4699" w:rsidRPr="00345755" w14:paraId="1F3F42E0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2D7535F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Indirect bilirubin (mg/dL), n=14</w:t>
            </w:r>
          </w:p>
        </w:tc>
        <w:tc>
          <w:tcPr>
            <w:tcW w:w="1121" w:type="dxa"/>
            <w:hideMark/>
          </w:tcPr>
          <w:p w14:paraId="04A3C5B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50" w:type="dxa"/>
            <w:hideMark/>
          </w:tcPr>
          <w:p w14:paraId="19E4721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82" w:type="dxa"/>
            <w:hideMark/>
          </w:tcPr>
          <w:p w14:paraId="6BF9C52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–1.4</w:t>
            </w:r>
          </w:p>
        </w:tc>
        <w:tc>
          <w:tcPr>
            <w:tcW w:w="1710" w:type="dxa"/>
            <w:hideMark/>
          </w:tcPr>
          <w:p w14:paraId="680E53F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–1.8, –0.9</w:t>
            </w:r>
          </w:p>
        </w:tc>
        <w:tc>
          <w:tcPr>
            <w:tcW w:w="1146" w:type="dxa"/>
            <w:noWrap/>
            <w:hideMark/>
          </w:tcPr>
          <w:p w14:paraId="08B83E6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B4699" w:rsidRPr="00345755" w14:paraId="6A87D02B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58F5411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Ferritin (µg/L), n=7</w:t>
            </w:r>
          </w:p>
        </w:tc>
        <w:tc>
          <w:tcPr>
            <w:tcW w:w="1121" w:type="dxa"/>
            <w:hideMark/>
          </w:tcPr>
          <w:p w14:paraId="53CF3EF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459.3</w:t>
            </w:r>
          </w:p>
        </w:tc>
        <w:tc>
          <w:tcPr>
            <w:tcW w:w="1350" w:type="dxa"/>
            <w:hideMark/>
          </w:tcPr>
          <w:p w14:paraId="50B040C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342.2</w:t>
            </w:r>
          </w:p>
        </w:tc>
        <w:tc>
          <w:tcPr>
            <w:tcW w:w="1282" w:type="dxa"/>
            <w:hideMark/>
          </w:tcPr>
          <w:p w14:paraId="14B12BF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–117.1</w:t>
            </w:r>
          </w:p>
        </w:tc>
        <w:tc>
          <w:tcPr>
            <w:tcW w:w="1710" w:type="dxa"/>
            <w:hideMark/>
          </w:tcPr>
          <w:p w14:paraId="6BEF91B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–299.3, 65.2</w:t>
            </w:r>
          </w:p>
        </w:tc>
        <w:tc>
          <w:tcPr>
            <w:tcW w:w="1146" w:type="dxa"/>
            <w:noWrap/>
            <w:hideMark/>
          </w:tcPr>
          <w:p w14:paraId="60B7140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0.167</w:t>
            </w:r>
          </w:p>
        </w:tc>
      </w:tr>
      <w:tr w:rsidR="00CB4699" w:rsidRPr="00345755" w14:paraId="00177567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7749DEF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D-dimers (ng/mL), n=5</w:t>
            </w:r>
          </w:p>
        </w:tc>
        <w:tc>
          <w:tcPr>
            <w:tcW w:w="1121" w:type="dxa"/>
            <w:hideMark/>
          </w:tcPr>
          <w:p w14:paraId="67FC297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614.0</w:t>
            </w:r>
          </w:p>
        </w:tc>
        <w:tc>
          <w:tcPr>
            <w:tcW w:w="1350" w:type="dxa"/>
            <w:hideMark/>
          </w:tcPr>
          <w:p w14:paraId="4FCF6B7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157.1</w:t>
            </w:r>
          </w:p>
        </w:tc>
        <w:tc>
          <w:tcPr>
            <w:tcW w:w="1282" w:type="dxa"/>
            <w:hideMark/>
          </w:tcPr>
          <w:p w14:paraId="635A4E4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–456.9</w:t>
            </w:r>
          </w:p>
        </w:tc>
        <w:tc>
          <w:tcPr>
            <w:tcW w:w="1710" w:type="dxa"/>
            <w:hideMark/>
          </w:tcPr>
          <w:p w14:paraId="1A7AE84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–9983, 84.4</w:t>
            </w:r>
          </w:p>
        </w:tc>
        <w:tc>
          <w:tcPr>
            <w:tcW w:w="1146" w:type="dxa"/>
            <w:noWrap/>
            <w:hideMark/>
          </w:tcPr>
          <w:p w14:paraId="782D620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0.079</w:t>
            </w:r>
          </w:p>
        </w:tc>
      </w:tr>
      <w:tr w:rsidR="00CB4699" w:rsidRPr="00345755" w14:paraId="2C0FA34E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1EFF9A7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GPI-deficient granulocytes (%), n=8</w:t>
            </w:r>
          </w:p>
        </w:tc>
        <w:tc>
          <w:tcPr>
            <w:tcW w:w="1121" w:type="dxa"/>
            <w:hideMark/>
          </w:tcPr>
          <w:p w14:paraId="4ED52A2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51.8</w:t>
            </w:r>
          </w:p>
        </w:tc>
        <w:tc>
          <w:tcPr>
            <w:tcW w:w="1350" w:type="dxa"/>
            <w:hideMark/>
          </w:tcPr>
          <w:p w14:paraId="62BF3C1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32.5</w:t>
            </w:r>
          </w:p>
        </w:tc>
        <w:tc>
          <w:tcPr>
            <w:tcW w:w="1282" w:type="dxa"/>
            <w:hideMark/>
          </w:tcPr>
          <w:p w14:paraId="5D7105F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–19.3</w:t>
            </w:r>
          </w:p>
        </w:tc>
        <w:tc>
          <w:tcPr>
            <w:tcW w:w="1710" w:type="dxa"/>
            <w:hideMark/>
          </w:tcPr>
          <w:p w14:paraId="53FF874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–45.1, 6.5</w:t>
            </w:r>
          </w:p>
        </w:tc>
        <w:tc>
          <w:tcPr>
            <w:tcW w:w="1146" w:type="dxa"/>
            <w:noWrap/>
            <w:hideMark/>
          </w:tcPr>
          <w:p w14:paraId="0CF4F2B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0.121</w:t>
            </w:r>
          </w:p>
        </w:tc>
      </w:tr>
      <w:tr w:rsidR="00CB4699" w:rsidRPr="00345755" w14:paraId="76910838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6EF8BED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GPI-deficient monocytes (%), n=7</w:t>
            </w:r>
          </w:p>
        </w:tc>
        <w:tc>
          <w:tcPr>
            <w:tcW w:w="1121" w:type="dxa"/>
            <w:hideMark/>
          </w:tcPr>
          <w:p w14:paraId="57BE910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1350" w:type="dxa"/>
            <w:hideMark/>
          </w:tcPr>
          <w:p w14:paraId="44CE9FA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1282" w:type="dxa"/>
            <w:hideMark/>
          </w:tcPr>
          <w:p w14:paraId="45D0531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–19.6</w:t>
            </w:r>
          </w:p>
        </w:tc>
        <w:tc>
          <w:tcPr>
            <w:tcW w:w="1710" w:type="dxa"/>
            <w:hideMark/>
          </w:tcPr>
          <w:p w14:paraId="640F74E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–50.5, 11.2</w:t>
            </w:r>
          </w:p>
        </w:tc>
        <w:tc>
          <w:tcPr>
            <w:tcW w:w="1146" w:type="dxa"/>
            <w:noWrap/>
            <w:hideMark/>
          </w:tcPr>
          <w:p w14:paraId="40040DC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0.170</w:t>
            </w:r>
          </w:p>
        </w:tc>
      </w:tr>
      <w:tr w:rsidR="00CB4699" w:rsidRPr="00345755" w14:paraId="71F1E45B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34F53B6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GPI-deficient total RBCs (%), n=7</w:t>
            </w:r>
          </w:p>
        </w:tc>
        <w:tc>
          <w:tcPr>
            <w:tcW w:w="1121" w:type="dxa"/>
            <w:hideMark/>
          </w:tcPr>
          <w:p w14:paraId="3EF4264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41.8</w:t>
            </w:r>
          </w:p>
        </w:tc>
        <w:tc>
          <w:tcPr>
            <w:tcW w:w="1350" w:type="dxa"/>
            <w:hideMark/>
          </w:tcPr>
          <w:p w14:paraId="376E099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24.6</w:t>
            </w:r>
          </w:p>
        </w:tc>
        <w:tc>
          <w:tcPr>
            <w:tcW w:w="1282" w:type="dxa"/>
            <w:hideMark/>
          </w:tcPr>
          <w:p w14:paraId="13722FA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–17.2</w:t>
            </w:r>
          </w:p>
        </w:tc>
        <w:tc>
          <w:tcPr>
            <w:tcW w:w="1710" w:type="dxa"/>
            <w:hideMark/>
          </w:tcPr>
          <w:p w14:paraId="1E9C19E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–42.6, 8.1</w:t>
            </w:r>
          </w:p>
        </w:tc>
        <w:tc>
          <w:tcPr>
            <w:tcW w:w="1146" w:type="dxa"/>
            <w:noWrap/>
            <w:hideMark/>
          </w:tcPr>
          <w:p w14:paraId="659A77C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0.147</w:t>
            </w:r>
          </w:p>
        </w:tc>
      </w:tr>
      <w:tr w:rsidR="00CB4699" w:rsidRPr="00345755" w14:paraId="4B3DE5F2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67D279C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Number of transfusions</w:t>
            </w: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‡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, n=53</w:t>
            </w:r>
          </w:p>
        </w:tc>
        <w:tc>
          <w:tcPr>
            <w:tcW w:w="1121" w:type="dxa"/>
            <w:hideMark/>
          </w:tcPr>
          <w:p w14:paraId="1097D2B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50" w:type="dxa"/>
            <w:hideMark/>
          </w:tcPr>
          <w:p w14:paraId="2B7A97A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82" w:type="dxa"/>
            <w:hideMark/>
          </w:tcPr>
          <w:p w14:paraId="1917F8B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–2.1</w:t>
            </w:r>
          </w:p>
        </w:tc>
        <w:tc>
          <w:tcPr>
            <w:tcW w:w="1710" w:type="dxa"/>
            <w:hideMark/>
          </w:tcPr>
          <w:p w14:paraId="47AC8C2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–2.9, –1.3</w:t>
            </w:r>
          </w:p>
        </w:tc>
        <w:tc>
          <w:tcPr>
            <w:tcW w:w="1146" w:type="dxa"/>
            <w:noWrap/>
            <w:hideMark/>
          </w:tcPr>
          <w:p w14:paraId="41894C3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B4699" w:rsidRPr="00345755" w14:paraId="4374A130" w14:textId="77777777" w:rsidTr="00973758">
        <w:trPr>
          <w:trHeight w:val="605"/>
        </w:trPr>
        <w:tc>
          <w:tcPr>
            <w:tcW w:w="6140" w:type="dxa"/>
            <w:hideMark/>
          </w:tcPr>
          <w:p w14:paraId="20AB5A7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Number of transfusions</w:t>
            </w: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‡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among patients with ≥1 transfusion at baseline and ≥1 transfusion during follow-up*, n=24</w:t>
            </w:r>
          </w:p>
        </w:tc>
        <w:tc>
          <w:tcPr>
            <w:tcW w:w="1121" w:type="dxa"/>
            <w:hideMark/>
          </w:tcPr>
          <w:p w14:paraId="68B97F9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50" w:type="dxa"/>
            <w:hideMark/>
          </w:tcPr>
          <w:p w14:paraId="2F61665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82" w:type="dxa"/>
            <w:hideMark/>
          </w:tcPr>
          <w:p w14:paraId="46A06D0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–0.9</w:t>
            </w:r>
          </w:p>
        </w:tc>
        <w:tc>
          <w:tcPr>
            <w:tcW w:w="1710" w:type="dxa"/>
            <w:hideMark/>
          </w:tcPr>
          <w:p w14:paraId="13827ED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–1.7, –0.1</w:t>
            </w:r>
          </w:p>
        </w:tc>
        <w:tc>
          <w:tcPr>
            <w:tcW w:w="1146" w:type="dxa"/>
            <w:noWrap/>
            <w:hideMark/>
          </w:tcPr>
          <w:p w14:paraId="10485F1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0.037</w:t>
            </w:r>
          </w:p>
        </w:tc>
      </w:tr>
      <w:tr w:rsidR="00CB4699" w:rsidRPr="00345755" w14:paraId="088092F7" w14:textId="77777777" w:rsidTr="00973758">
        <w:trPr>
          <w:trHeight w:val="288"/>
        </w:trPr>
        <w:tc>
          <w:tcPr>
            <w:tcW w:w="6140" w:type="dxa"/>
            <w:noWrap/>
          </w:tcPr>
          <w:p w14:paraId="6C58923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_Hlk79654480"/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Ravulizumab only</w:t>
            </w:r>
          </w:p>
        </w:tc>
        <w:tc>
          <w:tcPr>
            <w:tcW w:w="1121" w:type="dxa"/>
          </w:tcPr>
          <w:p w14:paraId="1CEF2C4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81FB2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</w:tcPr>
          <w:p w14:paraId="7B8CE7D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7A66FA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noWrap/>
          </w:tcPr>
          <w:p w14:paraId="7715559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51CE0403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4792C7C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Hemoglobin, mean (g/dL), n=32</w:t>
            </w:r>
          </w:p>
        </w:tc>
        <w:tc>
          <w:tcPr>
            <w:tcW w:w="1121" w:type="dxa"/>
          </w:tcPr>
          <w:p w14:paraId="6507D48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50" w:type="dxa"/>
          </w:tcPr>
          <w:p w14:paraId="7871C6D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1282" w:type="dxa"/>
          </w:tcPr>
          <w:p w14:paraId="3FE6FB7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710" w:type="dxa"/>
          </w:tcPr>
          <w:p w14:paraId="1B4A667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2.5, 3.8</w:t>
            </w:r>
          </w:p>
        </w:tc>
        <w:tc>
          <w:tcPr>
            <w:tcW w:w="1146" w:type="dxa"/>
            <w:noWrap/>
          </w:tcPr>
          <w:p w14:paraId="1048BED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B4699" w:rsidRPr="00345755" w14:paraId="65F224C9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677CD2F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Hlk78369995"/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Absolute reticulocyte count (×10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/L), n=16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121" w:type="dxa"/>
          </w:tcPr>
          <w:p w14:paraId="3AB6FCF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121.4</w:t>
            </w:r>
          </w:p>
        </w:tc>
        <w:tc>
          <w:tcPr>
            <w:tcW w:w="1350" w:type="dxa"/>
          </w:tcPr>
          <w:p w14:paraId="19136D6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517.9</w:t>
            </w:r>
          </w:p>
        </w:tc>
        <w:tc>
          <w:tcPr>
            <w:tcW w:w="1282" w:type="dxa"/>
          </w:tcPr>
          <w:p w14:paraId="1958711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396.5</w:t>
            </w:r>
          </w:p>
        </w:tc>
        <w:tc>
          <w:tcPr>
            <w:tcW w:w="1710" w:type="dxa"/>
          </w:tcPr>
          <w:p w14:paraId="70F852E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–106.6, 899.5</w:t>
            </w:r>
          </w:p>
        </w:tc>
        <w:tc>
          <w:tcPr>
            <w:tcW w:w="1146" w:type="dxa"/>
            <w:noWrap/>
          </w:tcPr>
          <w:p w14:paraId="019255C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0.114</w:t>
            </w:r>
          </w:p>
        </w:tc>
      </w:tr>
      <w:bookmarkEnd w:id="2"/>
      <w:tr w:rsidR="00CB4699" w:rsidRPr="00345755" w14:paraId="7D5B683D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157A1D4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Platelet count (×10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/L), n=32</w:t>
            </w:r>
          </w:p>
        </w:tc>
        <w:tc>
          <w:tcPr>
            <w:tcW w:w="1121" w:type="dxa"/>
          </w:tcPr>
          <w:p w14:paraId="08C1B4B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137.2</w:t>
            </w:r>
          </w:p>
        </w:tc>
        <w:tc>
          <w:tcPr>
            <w:tcW w:w="1350" w:type="dxa"/>
          </w:tcPr>
          <w:p w14:paraId="0A3F73E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203.1</w:t>
            </w:r>
          </w:p>
        </w:tc>
        <w:tc>
          <w:tcPr>
            <w:tcW w:w="1282" w:type="dxa"/>
          </w:tcPr>
          <w:p w14:paraId="3F4D419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65.9</w:t>
            </w:r>
          </w:p>
        </w:tc>
        <w:tc>
          <w:tcPr>
            <w:tcW w:w="1710" w:type="dxa"/>
          </w:tcPr>
          <w:p w14:paraId="11D97F2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35.9, 95.9</w:t>
            </w:r>
          </w:p>
        </w:tc>
        <w:tc>
          <w:tcPr>
            <w:tcW w:w="1146" w:type="dxa"/>
            <w:noWrap/>
          </w:tcPr>
          <w:p w14:paraId="5FEF60A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bookmarkEnd w:id="1"/>
      <w:tr w:rsidR="00CB4699" w:rsidRPr="00345755" w14:paraId="1FBD5EA8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36BAE53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White blood cell count (×10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/L), n=32</w:t>
            </w:r>
          </w:p>
        </w:tc>
        <w:tc>
          <w:tcPr>
            <w:tcW w:w="1121" w:type="dxa"/>
          </w:tcPr>
          <w:p w14:paraId="3AF969B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50" w:type="dxa"/>
          </w:tcPr>
          <w:p w14:paraId="0D5A7F4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282" w:type="dxa"/>
          </w:tcPr>
          <w:p w14:paraId="63D1BE2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710" w:type="dxa"/>
          </w:tcPr>
          <w:p w14:paraId="0078C59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–0.8, 1.3</w:t>
            </w:r>
          </w:p>
        </w:tc>
        <w:tc>
          <w:tcPr>
            <w:tcW w:w="1146" w:type="dxa"/>
            <w:noWrap/>
          </w:tcPr>
          <w:p w14:paraId="34403EF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0.637</w:t>
            </w:r>
          </w:p>
        </w:tc>
      </w:tr>
      <w:tr w:rsidR="00CB4699" w:rsidRPr="00345755" w14:paraId="15EFBBBB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3EE523D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Neutrophils (×10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/L), n=20</w:t>
            </w:r>
          </w:p>
        </w:tc>
        <w:tc>
          <w:tcPr>
            <w:tcW w:w="1121" w:type="dxa"/>
          </w:tcPr>
          <w:p w14:paraId="779CD84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50" w:type="dxa"/>
          </w:tcPr>
          <w:p w14:paraId="5721931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82" w:type="dxa"/>
          </w:tcPr>
          <w:p w14:paraId="3E15239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–0.6</w:t>
            </w:r>
          </w:p>
        </w:tc>
        <w:tc>
          <w:tcPr>
            <w:tcW w:w="1710" w:type="dxa"/>
          </w:tcPr>
          <w:p w14:paraId="4C0314D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–1.8, 0.6</w:t>
            </w:r>
          </w:p>
        </w:tc>
        <w:tc>
          <w:tcPr>
            <w:tcW w:w="1146" w:type="dxa"/>
            <w:noWrap/>
          </w:tcPr>
          <w:p w14:paraId="2D439D2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0.313</w:t>
            </w:r>
          </w:p>
        </w:tc>
      </w:tr>
      <w:tr w:rsidR="00CB4699" w:rsidRPr="00345755" w14:paraId="4DC6C58E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2901A60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ALT (U/L), n=15</w:t>
            </w:r>
          </w:p>
        </w:tc>
        <w:tc>
          <w:tcPr>
            <w:tcW w:w="1121" w:type="dxa"/>
          </w:tcPr>
          <w:p w14:paraId="3F4A99F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77.9</w:t>
            </w:r>
          </w:p>
        </w:tc>
        <w:tc>
          <w:tcPr>
            <w:tcW w:w="1350" w:type="dxa"/>
          </w:tcPr>
          <w:p w14:paraId="2C010FD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1282" w:type="dxa"/>
          </w:tcPr>
          <w:p w14:paraId="3FC8872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–35.6</w:t>
            </w:r>
          </w:p>
        </w:tc>
        <w:tc>
          <w:tcPr>
            <w:tcW w:w="1710" w:type="dxa"/>
          </w:tcPr>
          <w:p w14:paraId="0AF61F9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–56.2, –15.1</w:t>
            </w:r>
          </w:p>
        </w:tc>
        <w:tc>
          <w:tcPr>
            <w:tcW w:w="1146" w:type="dxa"/>
            <w:noWrap/>
          </w:tcPr>
          <w:p w14:paraId="1F279D3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0.002</w:t>
            </w:r>
          </w:p>
        </w:tc>
      </w:tr>
      <w:tr w:rsidR="00CB4699" w:rsidRPr="00345755" w14:paraId="18D1F04C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5D95C77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AST (U/L), n=15</w:t>
            </w:r>
          </w:p>
        </w:tc>
        <w:tc>
          <w:tcPr>
            <w:tcW w:w="1121" w:type="dxa"/>
          </w:tcPr>
          <w:p w14:paraId="56128CE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75.8</w:t>
            </w:r>
          </w:p>
        </w:tc>
        <w:tc>
          <w:tcPr>
            <w:tcW w:w="1350" w:type="dxa"/>
          </w:tcPr>
          <w:p w14:paraId="20B558B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49.1</w:t>
            </w:r>
          </w:p>
        </w:tc>
        <w:tc>
          <w:tcPr>
            <w:tcW w:w="1282" w:type="dxa"/>
          </w:tcPr>
          <w:p w14:paraId="6819E8B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–26.7</w:t>
            </w:r>
          </w:p>
        </w:tc>
        <w:tc>
          <w:tcPr>
            <w:tcW w:w="1710" w:type="dxa"/>
          </w:tcPr>
          <w:p w14:paraId="45013B6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–52.2, –1.1</w:t>
            </w:r>
          </w:p>
        </w:tc>
        <w:tc>
          <w:tcPr>
            <w:tcW w:w="1146" w:type="dxa"/>
            <w:noWrap/>
          </w:tcPr>
          <w:p w14:paraId="5B4FA0A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0.042</w:t>
            </w:r>
          </w:p>
        </w:tc>
      </w:tr>
      <w:tr w:rsidR="00CB4699" w:rsidRPr="00345755" w14:paraId="59F2506F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48FC42B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Lactate dehydrogenase (IU/L), n=31</w:t>
            </w:r>
          </w:p>
        </w:tc>
        <w:tc>
          <w:tcPr>
            <w:tcW w:w="1121" w:type="dxa"/>
          </w:tcPr>
          <w:p w14:paraId="1099302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506.0</w:t>
            </w:r>
          </w:p>
        </w:tc>
        <w:tc>
          <w:tcPr>
            <w:tcW w:w="1350" w:type="dxa"/>
          </w:tcPr>
          <w:p w14:paraId="5FD99D7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204.1</w:t>
            </w:r>
          </w:p>
        </w:tc>
        <w:tc>
          <w:tcPr>
            <w:tcW w:w="1282" w:type="dxa"/>
          </w:tcPr>
          <w:p w14:paraId="3A7BA34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–302.0</w:t>
            </w:r>
          </w:p>
        </w:tc>
        <w:tc>
          <w:tcPr>
            <w:tcW w:w="1710" w:type="dxa"/>
          </w:tcPr>
          <w:p w14:paraId="3433664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–378.2, –225.7</w:t>
            </w:r>
          </w:p>
        </w:tc>
        <w:tc>
          <w:tcPr>
            <w:tcW w:w="1146" w:type="dxa"/>
            <w:noWrap/>
          </w:tcPr>
          <w:p w14:paraId="32E6C3C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B4699" w:rsidRPr="00345755" w14:paraId="28FE3E80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40049EA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Bilirubin (mg/dL), n=32</w:t>
            </w:r>
          </w:p>
        </w:tc>
        <w:tc>
          <w:tcPr>
            <w:tcW w:w="1121" w:type="dxa"/>
          </w:tcPr>
          <w:p w14:paraId="0C47F8F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50" w:type="dxa"/>
          </w:tcPr>
          <w:p w14:paraId="4027C6D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82" w:type="dxa"/>
          </w:tcPr>
          <w:p w14:paraId="51042A8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–2.1</w:t>
            </w:r>
          </w:p>
        </w:tc>
        <w:tc>
          <w:tcPr>
            <w:tcW w:w="1710" w:type="dxa"/>
          </w:tcPr>
          <w:p w14:paraId="27DF6F2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–2.6, –1.7</w:t>
            </w:r>
          </w:p>
        </w:tc>
        <w:tc>
          <w:tcPr>
            <w:tcW w:w="1146" w:type="dxa"/>
            <w:noWrap/>
          </w:tcPr>
          <w:p w14:paraId="41B71DC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B4699" w:rsidRPr="00345755" w14:paraId="52D78215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3CB07AD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Indirect bilirubin (mg/dL), n=13</w:t>
            </w:r>
          </w:p>
        </w:tc>
        <w:tc>
          <w:tcPr>
            <w:tcW w:w="1121" w:type="dxa"/>
          </w:tcPr>
          <w:p w14:paraId="596612E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50" w:type="dxa"/>
          </w:tcPr>
          <w:p w14:paraId="3BEFFE9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82" w:type="dxa"/>
          </w:tcPr>
          <w:p w14:paraId="0107869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–2.3</w:t>
            </w:r>
          </w:p>
        </w:tc>
        <w:tc>
          <w:tcPr>
            <w:tcW w:w="1710" w:type="dxa"/>
          </w:tcPr>
          <w:p w14:paraId="18C2C8C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–3.1, –1.5</w:t>
            </w:r>
          </w:p>
        </w:tc>
        <w:tc>
          <w:tcPr>
            <w:tcW w:w="1146" w:type="dxa"/>
            <w:noWrap/>
          </w:tcPr>
          <w:p w14:paraId="039DABE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B4699" w:rsidRPr="00345755" w14:paraId="62BFA140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30A64FA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Ferritin (µg/L), n=4</w:t>
            </w:r>
          </w:p>
        </w:tc>
        <w:tc>
          <w:tcPr>
            <w:tcW w:w="1121" w:type="dxa"/>
          </w:tcPr>
          <w:p w14:paraId="774BCBE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482.3</w:t>
            </w:r>
          </w:p>
        </w:tc>
        <w:tc>
          <w:tcPr>
            <w:tcW w:w="1350" w:type="dxa"/>
          </w:tcPr>
          <w:p w14:paraId="31D978B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422.4</w:t>
            </w:r>
          </w:p>
        </w:tc>
        <w:tc>
          <w:tcPr>
            <w:tcW w:w="1282" w:type="dxa"/>
          </w:tcPr>
          <w:p w14:paraId="7EF9CA3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–59.9</w:t>
            </w:r>
          </w:p>
        </w:tc>
        <w:tc>
          <w:tcPr>
            <w:tcW w:w="1710" w:type="dxa"/>
          </w:tcPr>
          <w:p w14:paraId="4FCEAA5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–372.9, 253.2</w:t>
            </w:r>
          </w:p>
        </w:tc>
        <w:tc>
          <w:tcPr>
            <w:tcW w:w="1146" w:type="dxa"/>
            <w:noWrap/>
          </w:tcPr>
          <w:p w14:paraId="4669C53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0.586</w:t>
            </w:r>
          </w:p>
        </w:tc>
      </w:tr>
      <w:tr w:rsidR="00CB4699" w:rsidRPr="00345755" w14:paraId="09E4AB59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6C99FF0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D-dimers (ng/mL), n=3</w:t>
            </w:r>
          </w:p>
        </w:tc>
        <w:tc>
          <w:tcPr>
            <w:tcW w:w="1121" w:type="dxa"/>
          </w:tcPr>
          <w:p w14:paraId="6AD95CC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580.0</w:t>
            </w:r>
          </w:p>
        </w:tc>
        <w:tc>
          <w:tcPr>
            <w:tcW w:w="1350" w:type="dxa"/>
          </w:tcPr>
          <w:p w14:paraId="2FC9F33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282" w:type="dxa"/>
          </w:tcPr>
          <w:p w14:paraId="7184A7F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–380.0</w:t>
            </w:r>
          </w:p>
        </w:tc>
        <w:tc>
          <w:tcPr>
            <w:tcW w:w="1710" w:type="dxa"/>
          </w:tcPr>
          <w:p w14:paraId="092BF1B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–681.2, –78.8</w:t>
            </w:r>
          </w:p>
        </w:tc>
        <w:tc>
          <w:tcPr>
            <w:tcW w:w="1146" w:type="dxa"/>
            <w:noWrap/>
          </w:tcPr>
          <w:p w14:paraId="75E5BF3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0.032</w:t>
            </w:r>
          </w:p>
        </w:tc>
      </w:tr>
      <w:tr w:rsidR="00CB4699" w:rsidRPr="00345755" w14:paraId="1A927713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248E223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GPI-deficient granulocytes (%), n=3</w:t>
            </w:r>
          </w:p>
        </w:tc>
        <w:tc>
          <w:tcPr>
            <w:tcW w:w="1121" w:type="dxa"/>
          </w:tcPr>
          <w:p w14:paraId="7BC36A4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350" w:type="dxa"/>
          </w:tcPr>
          <w:p w14:paraId="12D0040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282" w:type="dxa"/>
          </w:tcPr>
          <w:p w14:paraId="51372DE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4CE7C01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0, 0</w:t>
            </w:r>
          </w:p>
        </w:tc>
        <w:tc>
          <w:tcPr>
            <w:tcW w:w="1146" w:type="dxa"/>
            <w:noWrap/>
          </w:tcPr>
          <w:p w14:paraId="71C12AC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7D990C6D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7FEECDA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GPI-deficient monocytes (%), n=3</w:t>
            </w:r>
          </w:p>
        </w:tc>
        <w:tc>
          <w:tcPr>
            <w:tcW w:w="1121" w:type="dxa"/>
          </w:tcPr>
          <w:p w14:paraId="07551B0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350" w:type="dxa"/>
          </w:tcPr>
          <w:p w14:paraId="66FB73F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282" w:type="dxa"/>
          </w:tcPr>
          <w:p w14:paraId="579DF94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62709AA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0, 0</w:t>
            </w:r>
          </w:p>
        </w:tc>
        <w:tc>
          <w:tcPr>
            <w:tcW w:w="1146" w:type="dxa"/>
            <w:noWrap/>
          </w:tcPr>
          <w:p w14:paraId="14EA5A5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49C9789C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737EBAB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GPI-deficient total RBCs (%), n=3</w:t>
            </w:r>
          </w:p>
        </w:tc>
        <w:tc>
          <w:tcPr>
            <w:tcW w:w="1121" w:type="dxa"/>
          </w:tcPr>
          <w:p w14:paraId="5FCDE7E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1350" w:type="dxa"/>
          </w:tcPr>
          <w:p w14:paraId="794678A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1282" w:type="dxa"/>
          </w:tcPr>
          <w:p w14:paraId="1F8ED86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4610196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0, 0</w:t>
            </w:r>
          </w:p>
        </w:tc>
        <w:tc>
          <w:tcPr>
            <w:tcW w:w="1146" w:type="dxa"/>
            <w:noWrap/>
          </w:tcPr>
          <w:p w14:paraId="72ABF45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00397924" w14:textId="77777777" w:rsidTr="00973758">
        <w:trPr>
          <w:trHeight w:val="288"/>
        </w:trPr>
        <w:tc>
          <w:tcPr>
            <w:tcW w:w="6140" w:type="dxa"/>
            <w:noWrap/>
            <w:hideMark/>
          </w:tcPr>
          <w:p w14:paraId="5124CBC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Number of transfusions</w:t>
            </w: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‡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, n=32</w:t>
            </w:r>
          </w:p>
        </w:tc>
        <w:tc>
          <w:tcPr>
            <w:tcW w:w="1121" w:type="dxa"/>
          </w:tcPr>
          <w:p w14:paraId="0BAA08E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50" w:type="dxa"/>
          </w:tcPr>
          <w:p w14:paraId="1524529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1282" w:type="dxa"/>
          </w:tcPr>
          <w:p w14:paraId="2D807DE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–1.8</w:t>
            </w:r>
          </w:p>
        </w:tc>
        <w:tc>
          <w:tcPr>
            <w:tcW w:w="1710" w:type="dxa"/>
          </w:tcPr>
          <w:p w14:paraId="356B297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–2.7, –0.8</w:t>
            </w:r>
          </w:p>
        </w:tc>
        <w:tc>
          <w:tcPr>
            <w:tcW w:w="1146" w:type="dxa"/>
            <w:noWrap/>
          </w:tcPr>
          <w:p w14:paraId="6B2186B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B4699" w:rsidRPr="00345755" w14:paraId="77252F6B" w14:textId="77777777" w:rsidTr="00973758">
        <w:trPr>
          <w:trHeight w:val="605"/>
        </w:trPr>
        <w:tc>
          <w:tcPr>
            <w:tcW w:w="6140" w:type="dxa"/>
            <w:hideMark/>
          </w:tcPr>
          <w:p w14:paraId="37E9142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Number of transfusions</w:t>
            </w: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‡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among patients with ≥1 transfusion at baseline and ≥1 transfusion during follow-up*, n=10</w:t>
            </w:r>
          </w:p>
        </w:tc>
        <w:tc>
          <w:tcPr>
            <w:tcW w:w="1121" w:type="dxa"/>
          </w:tcPr>
          <w:p w14:paraId="03B6C6E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50" w:type="dxa"/>
          </w:tcPr>
          <w:p w14:paraId="15F87C2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82" w:type="dxa"/>
          </w:tcPr>
          <w:p w14:paraId="78BEE86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–1.3</w:t>
            </w:r>
          </w:p>
        </w:tc>
        <w:tc>
          <w:tcPr>
            <w:tcW w:w="1710" w:type="dxa"/>
          </w:tcPr>
          <w:p w14:paraId="4EE5F51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–4.1, 1.5</w:t>
            </w:r>
          </w:p>
        </w:tc>
        <w:tc>
          <w:tcPr>
            <w:tcW w:w="1146" w:type="dxa"/>
            <w:noWrap/>
          </w:tcPr>
          <w:p w14:paraId="66F8F03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0.318</w:t>
            </w:r>
          </w:p>
        </w:tc>
      </w:tr>
      <w:tr w:rsidR="00CB4699" w:rsidRPr="00345755" w14:paraId="73BF0BD9" w14:textId="77777777" w:rsidTr="00973758">
        <w:trPr>
          <w:trHeight w:val="288"/>
        </w:trPr>
        <w:tc>
          <w:tcPr>
            <w:tcW w:w="6140" w:type="dxa"/>
          </w:tcPr>
          <w:p w14:paraId="6899253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Eculizumab to ravulizumab switch</w:t>
            </w:r>
          </w:p>
        </w:tc>
        <w:tc>
          <w:tcPr>
            <w:tcW w:w="1121" w:type="dxa"/>
          </w:tcPr>
          <w:p w14:paraId="563586D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E83F55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</w:tcPr>
          <w:p w14:paraId="0767429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F72D26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noWrap/>
          </w:tcPr>
          <w:p w14:paraId="12FFA08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2173A7A3" w14:textId="77777777" w:rsidTr="00973758">
        <w:trPr>
          <w:trHeight w:val="288"/>
        </w:trPr>
        <w:tc>
          <w:tcPr>
            <w:tcW w:w="6140" w:type="dxa"/>
            <w:hideMark/>
          </w:tcPr>
          <w:p w14:paraId="033680B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Hemoglobin (g/dL), n=14</w:t>
            </w:r>
          </w:p>
        </w:tc>
        <w:tc>
          <w:tcPr>
            <w:tcW w:w="1121" w:type="dxa"/>
          </w:tcPr>
          <w:p w14:paraId="5CF5A4B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1350" w:type="dxa"/>
          </w:tcPr>
          <w:p w14:paraId="56BC899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1282" w:type="dxa"/>
          </w:tcPr>
          <w:p w14:paraId="19F88FC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710" w:type="dxa"/>
          </w:tcPr>
          <w:p w14:paraId="6FAF7D4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1.4, 3.8</w:t>
            </w:r>
          </w:p>
        </w:tc>
        <w:tc>
          <w:tcPr>
            <w:tcW w:w="1146" w:type="dxa"/>
            <w:noWrap/>
          </w:tcPr>
          <w:p w14:paraId="3A67214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B4699" w:rsidRPr="00345755" w14:paraId="2788EA9B" w14:textId="77777777" w:rsidTr="00973758">
        <w:trPr>
          <w:trHeight w:val="288"/>
        </w:trPr>
        <w:tc>
          <w:tcPr>
            <w:tcW w:w="6140" w:type="dxa"/>
            <w:hideMark/>
          </w:tcPr>
          <w:p w14:paraId="6CF2D6B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Absolute reticulocyte count (×10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/L), n=7</w:t>
            </w:r>
          </w:p>
        </w:tc>
        <w:tc>
          <w:tcPr>
            <w:tcW w:w="1121" w:type="dxa"/>
          </w:tcPr>
          <w:p w14:paraId="3B23A3F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1350" w:type="dxa"/>
          </w:tcPr>
          <w:p w14:paraId="6155F5D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282" w:type="dxa"/>
          </w:tcPr>
          <w:p w14:paraId="39C56BB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24.6</w:t>
            </w:r>
          </w:p>
        </w:tc>
        <w:tc>
          <w:tcPr>
            <w:tcW w:w="1710" w:type="dxa"/>
          </w:tcPr>
          <w:p w14:paraId="65C2E65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10.7, 38.4</w:t>
            </w:r>
          </w:p>
        </w:tc>
        <w:tc>
          <w:tcPr>
            <w:tcW w:w="1146" w:type="dxa"/>
            <w:noWrap/>
          </w:tcPr>
          <w:p w14:paraId="010B3F5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0.005</w:t>
            </w:r>
          </w:p>
        </w:tc>
      </w:tr>
      <w:tr w:rsidR="00CB4699" w:rsidRPr="00345755" w14:paraId="3E745032" w14:textId="77777777" w:rsidTr="00973758">
        <w:trPr>
          <w:trHeight w:val="288"/>
        </w:trPr>
        <w:tc>
          <w:tcPr>
            <w:tcW w:w="6140" w:type="dxa"/>
            <w:hideMark/>
          </w:tcPr>
          <w:p w14:paraId="4A9D108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Platelet count (×10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/L), n=14</w:t>
            </w:r>
          </w:p>
        </w:tc>
        <w:tc>
          <w:tcPr>
            <w:tcW w:w="1121" w:type="dxa"/>
          </w:tcPr>
          <w:p w14:paraId="068FF6A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162.1</w:t>
            </w:r>
          </w:p>
        </w:tc>
        <w:tc>
          <w:tcPr>
            <w:tcW w:w="1350" w:type="dxa"/>
          </w:tcPr>
          <w:p w14:paraId="5BF7351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176.3</w:t>
            </w:r>
          </w:p>
        </w:tc>
        <w:tc>
          <w:tcPr>
            <w:tcW w:w="1282" w:type="dxa"/>
          </w:tcPr>
          <w:p w14:paraId="35BCC94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1710" w:type="dxa"/>
          </w:tcPr>
          <w:p w14:paraId="2682E11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–12.0, 40.2</w:t>
            </w:r>
          </w:p>
        </w:tc>
        <w:tc>
          <w:tcPr>
            <w:tcW w:w="1146" w:type="dxa"/>
            <w:noWrap/>
          </w:tcPr>
          <w:p w14:paraId="06030F7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0.264</w:t>
            </w:r>
          </w:p>
        </w:tc>
      </w:tr>
      <w:tr w:rsidR="00CB4699" w:rsidRPr="00345755" w14:paraId="438C8145" w14:textId="77777777" w:rsidTr="00973758">
        <w:trPr>
          <w:trHeight w:val="288"/>
        </w:trPr>
        <w:tc>
          <w:tcPr>
            <w:tcW w:w="6140" w:type="dxa"/>
            <w:hideMark/>
          </w:tcPr>
          <w:p w14:paraId="0F35687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White blood cell count (×10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/L), n=14</w:t>
            </w:r>
          </w:p>
        </w:tc>
        <w:tc>
          <w:tcPr>
            <w:tcW w:w="1121" w:type="dxa"/>
          </w:tcPr>
          <w:p w14:paraId="0EF4FF4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50" w:type="dxa"/>
          </w:tcPr>
          <w:p w14:paraId="67F16E0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82" w:type="dxa"/>
          </w:tcPr>
          <w:p w14:paraId="3415ECD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–0.6</w:t>
            </w:r>
          </w:p>
        </w:tc>
        <w:tc>
          <w:tcPr>
            <w:tcW w:w="1710" w:type="dxa"/>
          </w:tcPr>
          <w:p w14:paraId="482BAAB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–2.1, 0.8</w:t>
            </w:r>
          </w:p>
        </w:tc>
        <w:tc>
          <w:tcPr>
            <w:tcW w:w="1146" w:type="dxa"/>
            <w:noWrap/>
          </w:tcPr>
          <w:p w14:paraId="4E418B5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0.369</w:t>
            </w:r>
          </w:p>
        </w:tc>
      </w:tr>
      <w:tr w:rsidR="00CB4699" w:rsidRPr="00345755" w14:paraId="42625354" w14:textId="77777777" w:rsidTr="00973758">
        <w:trPr>
          <w:trHeight w:val="288"/>
        </w:trPr>
        <w:tc>
          <w:tcPr>
            <w:tcW w:w="6140" w:type="dxa"/>
            <w:hideMark/>
          </w:tcPr>
          <w:p w14:paraId="0048120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Neutrophils (×10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/L), n=11</w:t>
            </w:r>
          </w:p>
        </w:tc>
        <w:tc>
          <w:tcPr>
            <w:tcW w:w="1121" w:type="dxa"/>
          </w:tcPr>
          <w:p w14:paraId="67E867D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50" w:type="dxa"/>
          </w:tcPr>
          <w:p w14:paraId="59E4800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82" w:type="dxa"/>
          </w:tcPr>
          <w:p w14:paraId="2E100AA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–0.2</w:t>
            </w:r>
          </w:p>
        </w:tc>
        <w:tc>
          <w:tcPr>
            <w:tcW w:w="1710" w:type="dxa"/>
          </w:tcPr>
          <w:p w14:paraId="38762D9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–1.4, 1.0</w:t>
            </w:r>
          </w:p>
        </w:tc>
        <w:tc>
          <w:tcPr>
            <w:tcW w:w="1146" w:type="dxa"/>
            <w:noWrap/>
          </w:tcPr>
          <w:p w14:paraId="28BEFFA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0.738</w:t>
            </w:r>
          </w:p>
        </w:tc>
      </w:tr>
      <w:tr w:rsidR="00CB4699" w:rsidRPr="00345755" w14:paraId="3D3ABF84" w14:textId="77777777" w:rsidTr="00973758">
        <w:trPr>
          <w:trHeight w:val="288"/>
        </w:trPr>
        <w:tc>
          <w:tcPr>
            <w:tcW w:w="6140" w:type="dxa"/>
            <w:hideMark/>
          </w:tcPr>
          <w:p w14:paraId="5123970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ALT (U/L), n=7</w:t>
            </w:r>
          </w:p>
        </w:tc>
        <w:tc>
          <w:tcPr>
            <w:tcW w:w="1121" w:type="dxa"/>
          </w:tcPr>
          <w:p w14:paraId="5D66D03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47.0</w:t>
            </w:r>
          </w:p>
        </w:tc>
        <w:tc>
          <w:tcPr>
            <w:tcW w:w="1350" w:type="dxa"/>
          </w:tcPr>
          <w:p w14:paraId="4C4FEAC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1282" w:type="dxa"/>
          </w:tcPr>
          <w:p w14:paraId="30EE079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–19.5</w:t>
            </w:r>
          </w:p>
        </w:tc>
        <w:tc>
          <w:tcPr>
            <w:tcW w:w="1710" w:type="dxa"/>
          </w:tcPr>
          <w:p w14:paraId="36A51F8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–36.6, –2.4</w:t>
            </w:r>
          </w:p>
        </w:tc>
        <w:tc>
          <w:tcPr>
            <w:tcW w:w="1146" w:type="dxa"/>
            <w:noWrap/>
          </w:tcPr>
          <w:p w14:paraId="77B6DC9F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0.032</w:t>
            </w:r>
          </w:p>
        </w:tc>
      </w:tr>
      <w:tr w:rsidR="00CB4699" w:rsidRPr="00345755" w14:paraId="4435D849" w14:textId="77777777" w:rsidTr="00973758">
        <w:trPr>
          <w:trHeight w:val="288"/>
        </w:trPr>
        <w:tc>
          <w:tcPr>
            <w:tcW w:w="6140" w:type="dxa"/>
            <w:hideMark/>
          </w:tcPr>
          <w:p w14:paraId="11D1F94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AST (U/L), n=7</w:t>
            </w:r>
          </w:p>
        </w:tc>
        <w:tc>
          <w:tcPr>
            <w:tcW w:w="1121" w:type="dxa"/>
          </w:tcPr>
          <w:p w14:paraId="3F54055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350" w:type="dxa"/>
          </w:tcPr>
          <w:p w14:paraId="155D7C1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29.6</w:t>
            </w:r>
          </w:p>
        </w:tc>
        <w:tc>
          <w:tcPr>
            <w:tcW w:w="1282" w:type="dxa"/>
          </w:tcPr>
          <w:p w14:paraId="3E6EAC5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–22.4</w:t>
            </w:r>
          </w:p>
        </w:tc>
        <w:tc>
          <w:tcPr>
            <w:tcW w:w="1710" w:type="dxa"/>
          </w:tcPr>
          <w:p w14:paraId="36D6569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–43.2, –1.6</w:t>
            </w:r>
          </w:p>
        </w:tc>
        <w:tc>
          <w:tcPr>
            <w:tcW w:w="1146" w:type="dxa"/>
            <w:noWrap/>
          </w:tcPr>
          <w:p w14:paraId="57C5395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0.039</w:t>
            </w:r>
          </w:p>
        </w:tc>
      </w:tr>
      <w:tr w:rsidR="00CB4699" w:rsidRPr="00345755" w14:paraId="4AFED78A" w14:textId="77777777" w:rsidTr="00973758">
        <w:trPr>
          <w:trHeight w:val="288"/>
        </w:trPr>
        <w:tc>
          <w:tcPr>
            <w:tcW w:w="6140" w:type="dxa"/>
            <w:hideMark/>
          </w:tcPr>
          <w:p w14:paraId="60B730E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Lactate dehydrogenase (IU/L), n=13</w:t>
            </w:r>
          </w:p>
        </w:tc>
        <w:tc>
          <w:tcPr>
            <w:tcW w:w="1121" w:type="dxa"/>
          </w:tcPr>
          <w:p w14:paraId="6EDBD33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805.5</w:t>
            </w:r>
          </w:p>
        </w:tc>
        <w:tc>
          <w:tcPr>
            <w:tcW w:w="1350" w:type="dxa"/>
          </w:tcPr>
          <w:p w14:paraId="0243329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188.0</w:t>
            </w:r>
          </w:p>
        </w:tc>
        <w:tc>
          <w:tcPr>
            <w:tcW w:w="1282" w:type="dxa"/>
          </w:tcPr>
          <w:p w14:paraId="66F8682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–617.6</w:t>
            </w:r>
          </w:p>
        </w:tc>
        <w:tc>
          <w:tcPr>
            <w:tcW w:w="1710" w:type="dxa"/>
          </w:tcPr>
          <w:p w14:paraId="62C07AD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–1202.4, 32.8</w:t>
            </w:r>
          </w:p>
        </w:tc>
        <w:tc>
          <w:tcPr>
            <w:tcW w:w="1146" w:type="dxa"/>
            <w:noWrap/>
          </w:tcPr>
          <w:p w14:paraId="0D3525F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0.04</w:t>
            </w:r>
          </w:p>
        </w:tc>
      </w:tr>
      <w:tr w:rsidR="00CB4699" w:rsidRPr="00345755" w14:paraId="21FA74E4" w14:textId="77777777" w:rsidTr="00973758">
        <w:trPr>
          <w:trHeight w:val="288"/>
        </w:trPr>
        <w:tc>
          <w:tcPr>
            <w:tcW w:w="6140" w:type="dxa"/>
            <w:hideMark/>
          </w:tcPr>
          <w:p w14:paraId="2D9F9C4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Bilirubin (mg/dL), n=13</w:t>
            </w:r>
          </w:p>
        </w:tc>
        <w:tc>
          <w:tcPr>
            <w:tcW w:w="1121" w:type="dxa"/>
          </w:tcPr>
          <w:p w14:paraId="5F3C27A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50" w:type="dxa"/>
          </w:tcPr>
          <w:p w14:paraId="21C9871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82" w:type="dxa"/>
          </w:tcPr>
          <w:p w14:paraId="4B51106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–1.4</w:t>
            </w:r>
          </w:p>
        </w:tc>
        <w:tc>
          <w:tcPr>
            <w:tcW w:w="1710" w:type="dxa"/>
          </w:tcPr>
          <w:p w14:paraId="7FEFAB2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–2.1, –0.7</w:t>
            </w:r>
          </w:p>
        </w:tc>
        <w:tc>
          <w:tcPr>
            <w:tcW w:w="1146" w:type="dxa"/>
            <w:noWrap/>
          </w:tcPr>
          <w:p w14:paraId="28856ED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B4699" w:rsidRPr="00345755" w14:paraId="48351257" w14:textId="77777777" w:rsidTr="00973758">
        <w:trPr>
          <w:trHeight w:val="288"/>
        </w:trPr>
        <w:tc>
          <w:tcPr>
            <w:tcW w:w="6140" w:type="dxa"/>
            <w:hideMark/>
          </w:tcPr>
          <w:p w14:paraId="2063248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Indirect bilirubin (mg/dL), n=5</w:t>
            </w:r>
          </w:p>
        </w:tc>
        <w:tc>
          <w:tcPr>
            <w:tcW w:w="1121" w:type="dxa"/>
          </w:tcPr>
          <w:p w14:paraId="167DE0E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50" w:type="dxa"/>
          </w:tcPr>
          <w:p w14:paraId="7629FA2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1282" w:type="dxa"/>
          </w:tcPr>
          <w:p w14:paraId="436E63C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–1.8</w:t>
            </w:r>
          </w:p>
        </w:tc>
        <w:tc>
          <w:tcPr>
            <w:tcW w:w="1710" w:type="dxa"/>
          </w:tcPr>
          <w:p w14:paraId="7CF70A1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–3.5, –0.1</w:t>
            </w:r>
          </w:p>
        </w:tc>
        <w:tc>
          <w:tcPr>
            <w:tcW w:w="1146" w:type="dxa"/>
            <w:noWrap/>
          </w:tcPr>
          <w:p w14:paraId="2C4AAF5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0.042</w:t>
            </w:r>
          </w:p>
        </w:tc>
      </w:tr>
      <w:tr w:rsidR="00CB4699" w:rsidRPr="00345755" w14:paraId="0711A17F" w14:textId="77777777" w:rsidTr="00973758">
        <w:trPr>
          <w:trHeight w:val="288"/>
        </w:trPr>
        <w:tc>
          <w:tcPr>
            <w:tcW w:w="6140" w:type="dxa"/>
            <w:hideMark/>
          </w:tcPr>
          <w:p w14:paraId="370D71D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Ferritin (µg/L), n=1</w:t>
            </w:r>
          </w:p>
        </w:tc>
        <w:tc>
          <w:tcPr>
            <w:tcW w:w="1121" w:type="dxa"/>
          </w:tcPr>
          <w:p w14:paraId="19D6187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224.0</w:t>
            </w:r>
          </w:p>
        </w:tc>
        <w:tc>
          <w:tcPr>
            <w:tcW w:w="1350" w:type="dxa"/>
          </w:tcPr>
          <w:p w14:paraId="45750CE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82" w:type="dxa"/>
          </w:tcPr>
          <w:p w14:paraId="367DEAC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–148.0</w:t>
            </w:r>
          </w:p>
        </w:tc>
        <w:tc>
          <w:tcPr>
            <w:tcW w:w="1710" w:type="dxa"/>
          </w:tcPr>
          <w:p w14:paraId="17A5298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noWrap/>
          </w:tcPr>
          <w:p w14:paraId="36376B0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5AFA0E47" w14:textId="77777777" w:rsidTr="00973758">
        <w:trPr>
          <w:trHeight w:val="288"/>
        </w:trPr>
        <w:tc>
          <w:tcPr>
            <w:tcW w:w="6140" w:type="dxa"/>
            <w:hideMark/>
          </w:tcPr>
          <w:p w14:paraId="4A6D303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D-dimers (ng/mL), n=0</w:t>
            </w:r>
          </w:p>
        </w:tc>
        <w:tc>
          <w:tcPr>
            <w:tcW w:w="1121" w:type="dxa"/>
          </w:tcPr>
          <w:p w14:paraId="59DFBF3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350" w:type="dxa"/>
          </w:tcPr>
          <w:p w14:paraId="77B69563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82" w:type="dxa"/>
          </w:tcPr>
          <w:p w14:paraId="328DE7F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908788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noWrap/>
          </w:tcPr>
          <w:p w14:paraId="250564D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49E488A2" w14:textId="77777777" w:rsidTr="00973758">
        <w:trPr>
          <w:trHeight w:val="288"/>
        </w:trPr>
        <w:tc>
          <w:tcPr>
            <w:tcW w:w="6140" w:type="dxa"/>
            <w:hideMark/>
          </w:tcPr>
          <w:p w14:paraId="46029DE6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GPI-deficient granulocytes (%), n=0</w:t>
            </w:r>
          </w:p>
        </w:tc>
        <w:tc>
          <w:tcPr>
            <w:tcW w:w="1121" w:type="dxa"/>
          </w:tcPr>
          <w:p w14:paraId="6D704DC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350" w:type="dxa"/>
          </w:tcPr>
          <w:p w14:paraId="0865BC1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82" w:type="dxa"/>
          </w:tcPr>
          <w:p w14:paraId="41ED99B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32E054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noWrap/>
          </w:tcPr>
          <w:p w14:paraId="278C3BF2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1A412178" w14:textId="77777777" w:rsidTr="00973758">
        <w:trPr>
          <w:trHeight w:val="288"/>
        </w:trPr>
        <w:tc>
          <w:tcPr>
            <w:tcW w:w="6140" w:type="dxa"/>
            <w:hideMark/>
          </w:tcPr>
          <w:p w14:paraId="5F5A80E5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GPI-deficient monocytes (%), n=0</w:t>
            </w:r>
          </w:p>
        </w:tc>
        <w:tc>
          <w:tcPr>
            <w:tcW w:w="1121" w:type="dxa"/>
          </w:tcPr>
          <w:p w14:paraId="2E0FCD6D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350" w:type="dxa"/>
          </w:tcPr>
          <w:p w14:paraId="2F488838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82" w:type="dxa"/>
          </w:tcPr>
          <w:p w14:paraId="0C9E99F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B859FD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noWrap/>
          </w:tcPr>
          <w:p w14:paraId="10514E9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70AA651C" w14:textId="77777777" w:rsidTr="00973758">
        <w:trPr>
          <w:trHeight w:val="288"/>
        </w:trPr>
        <w:tc>
          <w:tcPr>
            <w:tcW w:w="6140" w:type="dxa"/>
            <w:hideMark/>
          </w:tcPr>
          <w:p w14:paraId="4FADC2E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GPI-deficient total RBCs (%), n=0</w:t>
            </w:r>
          </w:p>
        </w:tc>
        <w:tc>
          <w:tcPr>
            <w:tcW w:w="1121" w:type="dxa"/>
          </w:tcPr>
          <w:p w14:paraId="581BB8C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350" w:type="dxa"/>
          </w:tcPr>
          <w:p w14:paraId="3A8C19A9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82" w:type="dxa"/>
          </w:tcPr>
          <w:p w14:paraId="2BC135CC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E399EF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noWrap/>
          </w:tcPr>
          <w:p w14:paraId="73933021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4699" w:rsidRPr="00345755" w14:paraId="4BAA75A4" w14:textId="77777777" w:rsidTr="00973758">
        <w:trPr>
          <w:trHeight w:val="288"/>
        </w:trPr>
        <w:tc>
          <w:tcPr>
            <w:tcW w:w="6140" w:type="dxa"/>
            <w:hideMark/>
          </w:tcPr>
          <w:p w14:paraId="53F5DE9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Number of transfusions</w:t>
            </w: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‡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, n=15</w:t>
            </w:r>
          </w:p>
        </w:tc>
        <w:tc>
          <w:tcPr>
            <w:tcW w:w="1121" w:type="dxa"/>
          </w:tcPr>
          <w:p w14:paraId="1A68B3E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350" w:type="dxa"/>
          </w:tcPr>
          <w:p w14:paraId="3DCA5A1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82" w:type="dxa"/>
          </w:tcPr>
          <w:p w14:paraId="16F00964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–3.0</w:t>
            </w:r>
          </w:p>
        </w:tc>
        <w:tc>
          <w:tcPr>
            <w:tcW w:w="1710" w:type="dxa"/>
          </w:tcPr>
          <w:p w14:paraId="11A508A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–5.2, –0.9</w:t>
            </w:r>
          </w:p>
        </w:tc>
        <w:tc>
          <w:tcPr>
            <w:tcW w:w="1146" w:type="dxa"/>
            <w:noWrap/>
          </w:tcPr>
          <w:p w14:paraId="034A123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0.010</w:t>
            </w:r>
          </w:p>
        </w:tc>
      </w:tr>
      <w:tr w:rsidR="00CB4699" w:rsidRPr="00345755" w14:paraId="19CD7D6B" w14:textId="77777777" w:rsidTr="00973758">
        <w:trPr>
          <w:trHeight w:val="605"/>
        </w:trPr>
        <w:tc>
          <w:tcPr>
            <w:tcW w:w="6140" w:type="dxa"/>
            <w:hideMark/>
          </w:tcPr>
          <w:p w14:paraId="656FF95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Number of transfusions</w:t>
            </w:r>
            <w:r w:rsidRPr="003457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‡</w:t>
            </w: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among patients with ≥1 transfusion at baseline and ≥1 transfusion during follow-up*, n=0</w:t>
            </w:r>
          </w:p>
        </w:tc>
        <w:tc>
          <w:tcPr>
            <w:tcW w:w="1121" w:type="dxa"/>
          </w:tcPr>
          <w:p w14:paraId="13BE14AB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350" w:type="dxa"/>
          </w:tcPr>
          <w:p w14:paraId="7E2B9A37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755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82" w:type="dxa"/>
          </w:tcPr>
          <w:p w14:paraId="69C835BA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0C20340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noWrap/>
          </w:tcPr>
          <w:p w14:paraId="6E03908E" w14:textId="77777777" w:rsidR="00CB4699" w:rsidRPr="00345755" w:rsidRDefault="00CB4699" w:rsidP="0097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B511FA6" w14:textId="77777777" w:rsidR="00CB4699" w:rsidRPr="00345755" w:rsidRDefault="00CB4699" w:rsidP="00CB469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Notes: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</w:t>
      </w:r>
      <w:r w:rsidRPr="00345755">
        <w:rPr>
          <w:rFonts w:ascii="Times New Roman" w:hAnsi="Times New Roman" w:cs="Times New Roman"/>
          <w:color w:val="000000"/>
          <w:sz w:val="24"/>
          <w:szCs w:val="24"/>
        </w:rPr>
        <w:t xml:space="preserve">Follow-up was defined as the last 6 months of treatment for all variables except transfusion, which was assessed over 12 months in patients treated with eculizumab or ravulizumab only and over 6 months for patients in the switch subgroup. 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†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Difference and </w:t>
      </w:r>
      <w:r w:rsidRPr="003457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value calculated using a paired t-test.</w:t>
      </w:r>
      <w:r w:rsidRPr="003457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575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‡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</w:rPr>
        <w:t>Transfusions of packed RBCs.</w:t>
      </w:r>
      <w:bookmarkStart w:id="3" w:name="_Hlk84317268"/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§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</w:rPr>
        <w:t>Three patients had absolute reticulocyte counts that were 2 SD greater than the mean. When these patients were excluded (n=13): mean at baseline was 26.4×10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9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</w:rPr>
        <w:t>/L; mean at 6 months was 45.4×10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9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</w:rPr>
        <w:t>/L; change from baseline was 19.0 (95% CI 7.4–30.6) ×10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9</w:t>
      </w:r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</w:rPr>
        <w:t>/L.</w:t>
      </w:r>
      <w:bookmarkEnd w:id="3"/>
      <w:r w:rsidRPr="0034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Abbreviations: ALT, alanine transaminase; AST, aspartate transaminase; CI, confidence interval; GPI, glycosylphosphatidylinositol; NA, not applicable; RBCs, red bloo</w:t>
      </w:r>
      <w:r w:rsidRPr="00345755">
        <w:rPr>
          <w:rFonts w:ascii="Times New Roman" w:hAnsi="Times New Roman" w:cs="Times New Roman"/>
          <w:color w:val="000000"/>
          <w:sz w:val="24"/>
          <w:szCs w:val="24"/>
        </w:rPr>
        <w:t>d cells; SD, standard deviation.</w:t>
      </w:r>
    </w:p>
    <w:p w14:paraId="7E4ED836" w14:textId="77777777" w:rsidR="009438FF" w:rsidRPr="00D556EB" w:rsidRDefault="00CB4699">
      <w:pPr>
        <w:rPr>
          <w:rFonts w:cs="Arial"/>
        </w:rPr>
      </w:pPr>
    </w:p>
    <w:sectPr w:rsidR="009438FF" w:rsidRPr="00D556EB" w:rsidSect="005F6F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0638"/>
    <w:multiLevelType w:val="hybridMultilevel"/>
    <w:tmpl w:val="0F1E5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111C"/>
    <w:multiLevelType w:val="hybridMultilevel"/>
    <w:tmpl w:val="7CEA7962"/>
    <w:lvl w:ilvl="0" w:tplc="2B04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5C8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CE2E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8E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87F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DAE6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69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84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A2C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2618D"/>
    <w:multiLevelType w:val="hybridMultilevel"/>
    <w:tmpl w:val="48988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C21301"/>
    <w:multiLevelType w:val="multilevel"/>
    <w:tmpl w:val="7A20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8F5E15"/>
    <w:multiLevelType w:val="hybridMultilevel"/>
    <w:tmpl w:val="1D3867FE"/>
    <w:lvl w:ilvl="0" w:tplc="2B04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5C8F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CE2E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8E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87F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DAE6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69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84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A2C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70F4D"/>
    <w:multiLevelType w:val="hybridMultilevel"/>
    <w:tmpl w:val="F7D2F2F0"/>
    <w:lvl w:ilvl="0" w:tplc="5DDE6D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ECB09C">
      <w:start w:val="2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F1667F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44C0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5E28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765B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402D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60D3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EA9A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F2297"/>
    <w:multiLevelType w:val="hybridMultilevel"/>
    <w:tmpl w:val="482E7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C7174"/>
    <w:multiLevelType w:val="hybridMultilevel"/>
    <w:tmpl w:val="71986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0F2F3B"/>
    <w:multiLevelType w:val="hybridMultilevel"/>
    <w:tmpl w:val="47829E36"/>
    <w:lvl w:ilvl="0" w:tplc="CD06F8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E0D50"/>
    <w:multiLevelType w:val="hybridMultilevel"/>
    <w:tmpl w:val="5524C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C5606"/>
    <w:multiLevelType w:val="multilevel"/>
    <w:tmpl w:val="F27636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F5496" w:themeColor="accent1" w:themeShade="B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F5496" w:themeColor="accent1" w:themeShade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F5496" w:themeColor="accent1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F5496" w:themeColor="accent1" w:themeShade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F5496" w:themeColor="accent1" w:themeShade="B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F5496" w:themeColor="accent1" w:themeShade="B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F5496" w:themeColor="accent1" w:themeShade="B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F5496" w:themeColor="accent1" w:themeShade="BF"/>
      </w:rPr>
    </w:lvl>
  </w:abstractNum>
  <w:abstractNum w:abstractNumId="11" w15:restartNumberingAfterBreak="0">
    <w:nsid w:val="3D9010F2"/>
    <w:multiLevelType w:val="hybridMultilevel"/>
    <w:tmpl w:val="1F322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C4786"/>
    <w:multiLevelType w:val="hybridMultilevel"/>
    <w:tmpl w:val="2BB8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3054E"/>
    <w:multiLevelType w:val="hybridMultilevel"/>
    <w:tmpl w:val="414A287C"/>
    <w:lvl w:ilvl="0" w:tplc="5596B866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90308A"/>
    <w:multiLevelType w:val="hybridMultilevel"/>
    <w:tmpl w:val="E5E2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B04E8"/>
    <w:multiLevelType w:val="hybridMultilevel"/>
    <w:tmpl w:val="0FAA6C58"/>
    <w:lvl w:ilvl="0" w:tplc="C56A04B0">
      <w:start w:val="1"/>
      <w:numFmt w:val="decimal"/>
      <w:lvlText w:val="%1)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52783"/>
    <w:multiLevelType w:val="hybridMultilevel"/>
    <w:tmpl w:val="334AFFAA"/>
    <w:lvl w:ilvl="0" w:tplc="D286D4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AFF40">
      <w:start w:val="5120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5A0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8A2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5E25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9C5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4A5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C03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F8D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81D41"/>
    <w:multiLevelType w:val="hybridMultilevel"/>
    <w:tmpl w:val="0228F154"/>
    <w:lvl w:ilvl="0" w:tplc="E75E9D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3C24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A05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200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2AF8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564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CF4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FA49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343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4112"/>
    <w:multiLevelType w:val="multilevel"/>
    <w:tmpl w:val="165AFD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7FF0210"/>
    <w:multiLevelType w:val="hybridMultilevel"/>
    <w:tmpl w:val="CB5E8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55432A"/>
    <w:multiLevelType w:val="hybridMultilevel"/>
    <w:tmpl w:val="7CEA7962"/>
    <w:lvl w:ilvl="0" w:tplc="2B04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5C8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CE2E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8E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87F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DAE6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69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84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A2C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4A0A00"/>
    <w:multiLevelType w:val="hybridMultilevel"/>
    <w:tmpl w:val="B0005CD8"/>
    <w:lvl w:ilvl="0" w:tplc="2FBA4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783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61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4A7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22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08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A4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E28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343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E9050CC"/>
    <w:multiLevelType w:val="hybridMultilevel"/>
    <w:tmpl w:val="AB36B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A193D"/>
    <w:multiLevelType w:val="hybridMultilevel"/>
    <w:tmpl w:val="3104E52A"/>
    <w:lvl w:ilvl="0" w:tplc="0DB08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6432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4255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A22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665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48A7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6C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247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C209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B31DA7"/>
    <w:multiLevelType w:val="hybridMultilevel"/>
    <w:tmpl w:val="7FA0A9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0D22EA"/>
    <w:multiLevelType w:val="hybridMultilevel"/>
    <w:tmpl w:val="3178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51A62"/>
    <w:multiLevelType w:val="multilevel"/>
    <w:tmpl w:val="289E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ource Sans Pro" w:eastAsia="Times New Roman" w:hAnsi="Source Sans Pro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D471C9"/>
    <w:multiLevelType w:val="hybridMultilevel"/>
    <w:tmpl w:val="B262F23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7D8D615E"/>
    <w:multiLevelType w:val="multilevel"/>
    <w:tmpl w:val="CE5E7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28667824">
    <w:abstractNumId w:val="19"/>
  </w:num>
  <w:num w:numId="2" w16cid:durableId="1076049366">
    <w:abstractNumId w:val="5"/>
  </w:num>
  <w:num w:numId="3" w16cid:durableId="383143139">
    <w:abstractNumId w:val="1"/>
  </w:num>
  <w:num w:numId="4" w16cid:durableId="1832528074">
    <w:abstractNumId w:val="4"/>
  </w:num>
  <w:num w:numId="5" w16cid:durableId="2107269040">
    <w:abstractNumId w:val="23"/>
  </w:num>
  <w:num w:numId="6" w16cid:durableId="1072309585">
    <w:abstractNumId w:val="20"/>
  </w:num>
  <w:num w:numId="7" w16cid:durableId="1432622970">
    <w:abstractNumId w:val="7"/>
  </w:num>
  <w:num w:numId="8" w16cid:durableId="1338003335">
    <w:abstractNumId w:val="0"/>
  </w:num>
  <w:num w:numId="9" w16cid:durableId="1100176227">
    <w:abstractNumId w:val="17"/>
  </w:num>
  <w:num w:numId="10" w16cid:durableId="926773330">
    <w:abstractNumId w:val="16"/>
  </w:num>
  <w:num w:numId="11" w16cid:durableId="1496729574">
    <w:abstractNumId w:val="21"/>
  </w:num>
  <w:num w:numId="12" w16cid:durableId="309291935">
    <w:abstractNumId w:val="15"/>
  </w:num>
  <w:num w:numId="13" w16cid:durableId="121000347">
    <w:abstractNumId w:val="10"/>
  </w:num>
  <w:num w:numId="14" w16cid:durableId="2121148171">
    <w:abstractNumId w:val="14"/>
  </w:num>
  <w:num w:numId="15" w16cid:durableId="341669031">
    <w:abstractNumId w:val="25"/>
  </w:num>
  <w:num w:numId="16" w16cid:durableId="92868818">
    <w:abstractNumId w:val="6"/>
  </w:num>
  <w:num w:numId="17" w16cid:durableId="1810052534">
    <w:abstractNumId w:val="22"/>
  </w:num>
  <w:num w:numId="18" w16cid:durableId="6595826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81704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6107680">
    <w:abstractNumId w:val="26"/>
  </w:num>
  <w:num w:numId="21" w16cid:durableId="1471155">
    <w:abstractNumId w:val="2"/>
  </w:num>
  <w:num w:numId="22" w16cid:durableId="185295994">
    <w:abstractNumId w:val="27"/>
  </w:num>
  <w:num w:numId="23" w16cid:durableId="1953315424">
    <w:abstractNumId w:val="28"/>
  </w:num>
  <w:num w:numId="24" w16cid:durableId="1135031098">
    <w:abstractNumId w:val="28"/>
    <w:lvlOverride w:ilvl="0">
      <w:startOverride w:val="1"/>
    </w:lvlOverride>
  </w:num>
  <w:num w:numId="25" w16cid:durableId="1720202252">
    <w:abstractNumId w:val="8"/>
  </w:num>
  <w:num w:numId="26" w16cid:durableId="1910073786">
    <w:abstractNumId w:val="13"/>
  </w:num>
  <w:num w:numId="27" w16cid:durableId="1548252151">
    <w:abstractNumId w:val="18"/>
  </w:num>
  <w:num w:numId="28" w16cid:durableId="247273078">
    <w:abstractNumId w:val="24"/>
  </w:num>
  <w:num w:numId="29" w16cid:durableId="1501699304">
    <w:abstractNumId w:val="12"/>
  </w:num>
  <w:num w:numId="30" w16cid:durableId="896744491">
    <w:abstractNumId w:val="9"/>
  </w:num>
  <w:num w:numId="31" w16cid:durableId="2080520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99"/>
    <w:rsid w:val="007E232D"/>
    <w:rsid w:val="00C655AB"/>
    <w:rsid w:val="00CB4699"/>
    <w:rsid w:val="00D5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771C"/>
  <w15:chartTrackingRefBased/>
  <w15:docId w15:val="{B492C825-D6D9-4FCB-A932-97F411BB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99"/>
    <w:pPr>
      <w:spacing w:after="360" w:line="480" w:lineRule="auto"/>
    </w:pPr>
    <w:rPr>
      <w:rFonts w:ascii="Arial" w:hAnsi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699"/>
    <w:pPr>
      <w:spacing w:after="0" w:line="360" w:lineRule="auto"/>
      <w:outlineLvl w:val="0"/>
    </w:pPr>
    <w:rPr>
      <w:rFonts w:ascii="Times New Roman" w:eastAsiaTheme="minorEastAsia" w:hAnsi="Times New Roman" w:cs="Times New Roman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4699"/>
    <w:pPr>
      <w:ind w:left="780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699"/>
    <w:pPr>
      <w:keepNext/>
      <w:keepLines/>
      <w:spacing w:before="40" w:after="0"/>
      <w:ind w:left="14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699"/>
    <w:pPr>
      <w:keepNext/>
      <w:keepLines/>
      <w:spacing w:before="40" w:after="0"/>
      <w:ind w:left="14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699"/>
    <w:rPr>
      <w:rFonts w:ascii="Times New Roman" w:eastAsiaTheme="minorEastAsia" w:hAnsi="Times New Roman" w:cs="Times New Roman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B4699"/>
    <w:rPr>
      <w:rFonts w:ascii="Times New Roman" w:eastAsiaTheme="minorEastAsia" w:hAnsi="Times New Roman" w:cs="Times New Roman"/>
      <w:b/>
      <w:bCs/>
      <w:i/>
      <w:i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B4699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B4699"/>
    <w:rPr>
      <w:rFonts w:asciiTheme="majorHAnsi" w:eastAsiaTheme="majorEastAsia" w:hAnsiTheme="majorHAnsi" w:cstheme="majorBidi"/>
      <w:i/>
      <w:iCs/>
      <w:color w:val="000000" w:themeColor="text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99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aliases w:val="Questions,List Paragraph1,Liste couleur - Accent 11,Paragrafo elenco,qq,List Paragraph2,text,Bullet List,Question Char Char Char,q"/>
    <w:basedOn w:val="Normal"/>
    <w:link w:val="ListParagraphChar"/>
    <w:uiPriority w:val="34"/>
    <w:qFormat/>
    <w:rsid w:val="00CB469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BMSBodyText">
    <w:name w:val="BMS Body Text"/>
    <w:link w:val="BMSBodyTextChar"/>
    <w:qFormat/>
    <w:rsid w:val="00CB4699"/>
    <w:pPr>
      <w:spacing w:after="120" w:line="264" w:lineRule="auto"/>
      <w:jc w:val="both"/>
    </w:pPr>
    <w:rPr>
      <w:rFonts w:ascii="Times New Roman" w:eastAsia="MS Mincho" w:hAnsi="Times New Roman" w:cs="Times New Roman"/>
      <w:color w:val="000000"/>
      <w:sz w:val="24"/>
      <w:szCs w:val="20"/>
      <w:lang w:val="en-US"/>
    </w:rPr>
  </w:style>
  <w:style w:type="character" w:customStyle="1" w:styleId="BMSBodyTextChar">
    <w:name w:val="BMS Body Text Char"/>
    <w:link w:val="BMSBodyText"/>
    <w:rsid w:val="00CB4699"/>
    <w:rPr>
      <w:rFonts w:ascii="Times New Roman" w:eastAsia="MS Mincho" w:hAnsi="Times New Roman" w:cs="Times New Roman"/>
      <w:color w:val="000000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CB4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6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699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699"/>
    <w:rPr>
      <w:rFonts w:ascii="Arial" w:hAnsi="Arial"/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CB4699"/>
  </w:style>
  <w:style w:type="character" w:customStyle="1" w:styleId="BMSInstructionText">
    <w:name w:val="BMS Instruction Text"/>
    <w:rsid w:val="00CB4699"/>
    <w:rPr>
      <w:rFonts w:ascii="Times New Roman" w:hAnsi="Times New Roman"/>
      <w:i/>
      <w:dstrike w:val="0"/>
      <w:vanish/>
      <w:color w:val="FF0000"/>
      <w:sz w:val="24"/>
      <w:u w:val="none"/>
      <w:vertAlign w:val="baseline"/>
    </w:rPr>
  </w:style>
  <w:style w:type="paragraph" w:customStyle="1" w:styleId="Paragraph">
    <w:name w:val="Paragraph"/>
    <w:link w:val="ParagraphChar"/>
    <w:rsid w:val="00CB469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ragraphChar">
    <w:name w:val="Paragraph Char"/>
    <w:link w:val="Paragraph"/>
    <w:rsid w:val="00CB469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CB4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CB46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C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CB469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B469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B46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469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B4699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B469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69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B4699"/>
    <w:pPr>
      <w:spacing w:after="0" w:line="240" w:lineRule="auto"/>
    </w:pPr>
    <w:rPr>
      <w:rFonts w:ascii="Arial" w:hAnsi="Arial"/>
      <w:lang w:val="en-US"/>
    </w:rPr>
  </w:style>
  <w:style w:type="character" w:customStyle="1" w:styleId="ListParagraphChar">
    <w:name w:val="List Paragraph Char"/>
    <w:aliases w:val="Questions Char,List Paragraph1 Char,Liste couleur - Accent 11 Char,Paragrafo elenco Char,qq Char,List Paragraph2 Char,text Char,Bullet List Char,Question Char Char Char Char,q Char"/>
    <w:link w:val="ListParagraph"/>
    <w:uiPriority w:val="34"/>
    <w:locked/>
    <w:rsid w:val="00CB4699"/>
    <w:rPr>
      <w:rFonts w:ascii="Calibri" w:hAnsi="Calibri" w:cs="Calibri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CB4699"/>
    <w:pPr>
      <w:spacing w:after="0"/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B4699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B4699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B4699"/>
    <w:rPr>
      <w:rFonts w:ascii="Arial" w:hAnsi="Arial" w:cs="Arial"/>
      <w:noProof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469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B469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4699"/>
    <w:rPr>
      <w:rFonts w:ascii="Calibri" w:hAnsi="Calibri"/>
      <w:szCs w:val="21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CB4699"/>
  </w:style>
  <w:style w:type="character" w:styleId="PlaceholderText">
    <w:name w:val="Placeholder Text"/>
    <w:basedOn w:val="DefaultParagraphFont"/>
    <w:uiPriority w:val="99"/>
    <w:semiHidden/>
    <w:rsid w:val="00CB4699"/>
    <w:rPr>
      <w:color w:val="808080"/>
    </w:rPr>
  </w:style>
  <w:style w:type="character" w:styleId="Strong">
    <w:name w:val="Strong"/>
    <w:basedOn w:val="DefaultParagraphFont"/>
    <w:uiPriority w:val="22"/>
    <w:qFormat/>
    <w:rsid w:val="00CB4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1582</Words>
  <Characters>9024</Characters>
  <Application>Microsoft Office Word</Application>
  <DocSecurity>0</DocSecurity>
  <Lines>75</Lines>
  <Paragraphs>21</Paragraphs>
  <ScaleCrop>false</ScaleCrop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Oxford PharmaGenesis RH</dc:creator>
  <cp:keywords/>
  <dc:description/>
  <cp:lastModifiedBy>Oxford PharmaGenesis RH</cp:lastModifiedBy>
  <cp:revision>1</cp:revision>
  <dcterms:created xsi:type="dcterms:W3CDTF">2022-06-09T15:59:00Z</dcterms:created>
  <dcterms:modified xsi:type="dcterms:W3CDTF">2022-06-09T16:02:00Z</dcterms:modified>
</cp:coreProperties>
</file>