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5701" w14:textId="0AF5A9DC" w:rsidR="00244BB7" w:rsidRPr="00B05257" w:rsidRDefault="00244BB7" w:rsidP="00DC4BEA">
      <w:pPr>
        <w:pStyle w:val="SupplementaryMaterial"/>
        <w:spacing w:before="0" w:after="240"/>
        <w:jc w:val="both"/>
        <w:rPr>
          <w:color w:val="000000"/>
        </w:rPr>
      </w:pPr>
      <w:bookmarkStart w:id="0" w:name="_Hlk88495142"/>
      <w:bookmarkEnd w:id="0"/>
      <w:r w:rsidRPr="00B05257">
        <w:rPr>
          <w:color w:val="000000"/>
        </w:rPr>
        <w:t>Supplementary Material</w:t>
      </w:r>
      <w:r w:rsidR="009F55A6">
        <w:rPr>
          <w:color w:val="000000"/>
        </w:rPr>
        <w:t>s</w:t>
      </w:r>
    </w:p>
    <w:p w14:paraId="0E92FFF4" w14:textId="3C3C45FB" w:rsidR="00C922BC" w:rsidRPr="00B05257" w:rsidRDefault="00C922BC" w:rsidP="00244BB7">
      <w:pPr>
        <w:pStyle w:val="Heading2"/>
        <w:numPr>
          <w:ilvl w:val="1"/>
          <w:numId w:val="0"/>
        </w:numPr>
        <w:rPr>
          <w:color w:val="000000"/>
        </w:rPr>
      </w:pPr>
      <w:r w:rsidRPr="00B05257">
        <w:rPr>
          <w:noProof/>
          <w:color w:val="000000"/>
        </w:rPr>
        <w:drawing>
          <wp:inline distT="0" distB="0" distL="0" distR="0" wp14:anchorId="515D9C5B" wp14:editId="41B44809">
            <wp:extent cx="5274310" cy="3333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57750" w14:textId="1515B0E2" w:rsidR="00C922BC" w:rsidRDefault="00C17341" w:rsidP="00AD3D47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5257">
        <w:rPr>
          <w:rFonts w:ascii="Times New Roman" w:hAnsi="Times New Roman" w:cs="Times New Roman"/>
          <w:b/>
          <w:color w:val="000000"/>
          <w:sz w:val="24"/>
          <w:szCs w:val="24"/>
        </w:rPr>
        <w:t>Supplementary Figure 1</w:t>
      </w:r>
      <w:r w:rsidR="00C922BC" w:rsidRPr="00B0525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D3D47"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22BC"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>Research flow chart of the study</w:t>
      </w:r>
    </w:p>
    <w:p w14:paraId="7C2F7D3A" w14:textId="0ADB280E" w:rsidR="00DC4BEA" w:rsidRPr="00B05257" w:rsidRDefault="00DC4BEA" w:rsidP="00AD3D47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F2322F" wp14:editId="6BAD0A30">
            <wp:extent cx="7117321" cy="5429250"/>
            <wp:effectExtent l="0" t="0" r="7620" b="0"/>
            <wp:docPr id="3" name="Picture 3" descr="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903" cy="543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8A0A" w14:textId="2B3E6E2E" w:rsidR="00C922BC" w:rsidRPr="00B05257" w:rsidRDefault="00C922BC" w:rsidP="00C922BC">
      <w:pPr>
        <w:rPr>
          <w:color w:val="000000"/>
          <w:lang w:eastAsia="en-US"/>
        </w:rPr>
      </w:pPr>
    </w:p>
    <w:p w14:paraId="274CCCB8" w14:textId="2E17BD36" w:rsidR="00AD3D47" w:rsidRPr="00B05257" w:rsidRDefault="00C17341" w:rsidP="00C922BC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05257">
        <w:rPr>
          <w:rFonts w:ascii="Times New Roman" w:hAnsi="Times New Roman" w:cs="Times New Roman"/>
          <w:b/>
          <w:color w:val="000000"/>
          <w:sz w:val="24"/>
          <w:szCs w:val="24"/>
        </w:rPr>
        <w:t>Supplementary Figure 2</w:t>
      </w:r>
      <w:r w:rsidR="00AD3D47" w:rsidRPr="00B05257">
        <w:rPr>
          <w:rFonts w:ascii="Times New Roman" w:hAnsi="Times New Roman" w:cs="Times New Roman" w:hint="eastAsia"/>
          <w:b/>
          <w:color w:val="000000"/>
          <w:sz w:val="24"/>
          <w:szCs w:val="24"/>
        </w:rPr>
        <w:t>.</w:t>
      </w:r>
      <w:r w:rsidR="00AD3D47" w:rsidRPr="00B052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3D47" w:rsidRPr="00B05257">
        <w:rPr>
          <w:rFonts w:ascii="Times New Roman" w:eastAsia="SimSun" w:hAnsi="Times New Roman" w:cs="Times New Roman"/>
          <w:color w:val="000000"/>
          <w:sz w:val="24"/>
          <w:szCs w:val="24"/>
        </w:rPr>
        <w:t>m6A and ferroptosis-related genes distribut</w:t>
      </w:r>
      <w:r w:rsidR="00684128" w:rsidRPr="00B05257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ed</w:t>
      </w:r>
      <w:r w:rsidR="00AD3D47" w:rsidRPr="00B0525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="00684128" w:rsidRPr="00B0525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on </w:t>
      </w:r>
      <w:r w:rsidR="00AD3D47" w:rsidRPr="00B05257">
        <w:rPr>
          <w:rFonts w:ascii="Times New Roman" w:eastAsia="SimSun" w:hAnsi="Times New Roman" w:cs="Times New Roman"/>
          <w:color w:val="000000"/>
          <w:sz w:val="24"/>
          <w:szCs w:val="24"/>
        </w:rPr>
        <w:t>cluster C1 and C2</w:t>
      </w:r>
      <w:r w:rsidR="00684128" w:rsidRPr="00B05257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14:paraId="38F5B696" w14:textId="55312786" w:rsidR="00684128" w:rsidRPr="00B05257" w:rsidRDefault="00684128" w:rsidP="00684128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05257">
        <w:rPr>
          <w:rFonts w:ascii="Times New Roman" w:hAnsi="Times New Roman"/>
          <w:color w:val="000000"/>
          <w:sz w:val="24"/>
          <w:szCs w:val="24"/>
        </w:rPr>
        <w:t>(*P &lt; 0.05, **P &lt; 0.01, ***P &lt; 0.001)</w:t>
      </w:r>
    </w:p>
    <w:p w14:paraId="06DDE712" w14:textId="77777777" w:rsidR="00DC4BEA" w:rsidRDefault="00DC4BEA" w:rsidP="00244BB7">
      <w:pPr>
        <w:pStyle w:val="Heading2"/>
        <w:numPr>
          <w:ilvl w:val="1"/>
          <w:numId w:val="0"/>
        </w:numPr>
        <w:rPr>
          <w:color w:val="000000"/>
        </w:rPr>
      </w:pPr>
    </w:p>
    <w:p w14:paraId="016B9B22" w14:textId="22C50A4A" w:rsidR="00244BB7" w:rsidRPr="00B05257" w:rsidRDefault="00244BB7" w:rsidP="00244BB7">
      <w:pPr>
        <w:pStyle w:val="Heading2"/>
        <w:numPr>
          <w:ilvl w:val="1"/>
          <w:numId w:val="0"/>
        </w:numPr>
        <w:rPr>
          <w:color w:val="000000"/>
        </w:rPr>
      </w:pPr>
      <w:r w:rsidRPr="00B05257">
        <w:rPr>
          <w:color w:val="000000"/>
        </w:rPr>
        <w:t>Supplementary Table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38"/>
        <w:gridCol w:w="1696"/>
      </w:tblGrid>
      <w:tr w:rsidR="00244BB7" w:rsidRPr="00B05257" w14:paraId="703854F7" w14:textId="77777777" w:rsidTr="00DC4BEA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0BB2" w14:textId="77777777" w:rsidR="00244BB7" w:rsidRPr="00B05257" w:rsidRDefault="00244BB7" w:rsidP="003E1BC5">
            <w:pPr>
              <w:spacing w:line="36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/>
                <w:color w:val="000000"/>
                <w:kern w:val="2"/>
                <w:sz w:val="24"/>
                <w:szCs w:val="24"/>
              </w:rPr>
              <w:t>Antibodies and Reagents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2D0" w14:textId="77777777" w:rsidR="00244BB7" w:rsidRPr="00B05257" w:rsidRDefault="00244BB7" w:rsidP="003E1BC5">
            <w:pPr>
              <w:spacing w:line="36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/>
                <w:color w:val="000000"/>
                <w:kern w:val="2"/>
                <w:sz w:val="24"/>
                <w:szCs w:val="24"/>
              </w:rPr>
              <w:t>Manufacturer, Country, Batch number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79EEA" w14:textId="77777777" w:rsidR="00244BB7" w:rsidRPr="00B05257" w:rsidRDefault="00244BB7" w:rsidP="003E1BC5">
            <w:pPr>
              <w:spacing w:line="36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/>
                <w:color w:val="000000"/>
                <w:kern w:val="2"/>
                <w:sz w:val="24"/>
                <w:szCs w:val="24"/>
              </w:rPr>
              <w:t>Concentration</w:t>
            </w:r>
          </w:p>
        </w:tc>
      </w:tr>
      <w:tr w:rsidR="00A539D3" w:rsidRPr="00B05257" w14:paraId="232DE0D4" w14:textId="77777777" w:rsidTr="00DC4BEA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D52" w14:textId="1A27DCA4" w:rsidR="00244BB7" w:rsidRPr="00B05257" w:rsidRDefault="007645C7" w:rsidP="003E1BC5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Anti-Cx37/GJA4</w:t>
            </w:r>
            <w:r w:rsidR="00244BB7"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 Antibody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E5C" w14:textId="354B846C" w:rsidR="00244BB7" w:rsidRPr="00B05257" w:rsidRDefault="00A539D3" w:rsidP="003E1BC5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Santa Cruz Biotechnology, USA, Lot: </w:t>
            </w:r>
            <w:r w:rsidR="007645C7"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ab181701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F78D" w14:textId="77777777" w:rsidR="00244BB7" w:rsidRPr="00B05257" w:rsidRDefault="008F6BD2" w:rsidP="003E1BC5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 w:hint="eastAsia"/>
                <w:bCs/>
                <w:color w:val="000000"/>
                <w:kern w:val="2"/>
                <w:sz w:val="24"/>
                <w:szCs w:val="24"/>
              </w:rPr>
              <w:t>I</w:t>
            </w: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HC: 1</w:t>
            </w:r>
            <w:r w:rsidRPr="00B05257">
              <w:rPr>
                <w:rFonts w:ascii="Times New Roman" w:eastAsiaTheme="minorEastAsia" w:hAnsi="Times New Roman" w:hint="eastAsia"/>
                <w:bCs/>
                <w:color w:val="000000"/>
                <w:kern w:val="2"/>
                <w:sz w:val="24"/>
                <w:szCs w:val="24"/>
              </w:rPr>
              <w:t>:</w:t>
            </w: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500</w:t>
            </w:r>
          </w:p>
          <w:p w14:paraId="27452875" w14:textId="6B5FE22D" w:rsidR="008F6BD2" w:rsidRPr="00B05257" w:rsidRDefault="008F6BD2" w:rsidP="003E1BC5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 w:hint="eastAsia"/>
                <w:bCs/>
                <w:color w:val="000000"/>
                <w:kern w:val="2"/>
                <w:sz w:val="24"/>
                <w:szCs w:val="24"/>
              </w:rPr>
              <w:t>I</w:t>
            </w: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F: 1:1000</w:t>
            </w:r>
          </w:p>
        </w:tc>
      </w:tr>
      <w:tr w:rsidR="00431183" w:rsidRPr="00B05257" w14:paraId="48FE1717" w14:textId="77777777" w:rsidTr="00DC4BEA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D98" w14:textId="39D9AB99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anti-CD163 polyclonal antibodies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E8E" w14:textId="6E98D88F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Proteintech</w:t>
            </w:r>
            <w:proofErr w:type="spellEnd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, China, Lot: 00091171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CEB5D" w14:textId="78B8C6D4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1:1000</w:t>
            </w:r>
          </w:p>
        </w:tc>
      </w:tr>
      <w:tr w:rsidR="00431183" w:rsidRPr="00B05257" w14:paraId="5B6DAE2D" w14:textId="77777777" w:rsidTr="00DC4BEA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95E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Alexa Fluor 488 </w:t>
            </w:r>
            <w:proofErr w:type="spellStart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AffiniPure</w:t>
            </w:r>
            <w:proofErr w:type="spellEnd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 goat anti-mouse IgG (H+L)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956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FcMACS</w:t>
            </w:r>
            <w:proofErr w:type="spellEnd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, China, Lot: 136908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91815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1:2000</w:t>
            </w:r>
          </w:p>
        </w:tc>
      </w:tr>
      <w:tr w:rsidR="00431183" w:rsidRPr="00B05257" w14:paraId="1ED00DEA" w14:textId="77777777" w:rsidTr="00DC4BEA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84E" w14:textId="0648414B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Goat anti-mouse IgG (H+L) </w:t>
            </w:r>
            <w:proofErr w:type="spellStart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CoraLite</w:t>
            </w:r>
            <w:proofErr w:type="spellEnd"/>
            <w:r w:rsidR="007645C7"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594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7A6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Proteintech</w:t>
            </w:r>
            <w:proofErr w:type="spellEnd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, China, Lot: 20000154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8B7CE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1:1000</w:t>
            </w:r>
          </w:p>
        </w:tc>
      </w:tr>
      <w:tr w:rsidR="00431183" w:rsidRPr="00B05257" w14:paraId="049117F7" w14:textId="77777777" w:rsidTr="00DC4BEA"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2EB286B3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 xml:space="preserve">Goat anti-rabbit IgG (H+L) R-PE conjugate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65FD1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Proteintech</w:t>
            </w:r>
            <w:proofErr w:type="spellEnd"/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, China, Lot: 20000129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4DF67FC9" w14:textId="77777777" w:rsidR="00431183" w:rsidRPr="00B05257" w:rsidRDefault="00431183" w:rsidP="00431183">
            <w:pPr>
              <w:spacing w:line="360" w:lineRule="auto"/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</w:pPr>
            <w:r w:rsidRPr="00B05257">
              <w:rPr>
                <w:rFonts w:ascii="Times New Roman" w:eastAsiaTheme="minorEastAsia" w:hAnsi="Times New Roman"/>
                <w:bCs/>
                <w:color w:val="000000"/>
                <w:kern w:val="2"/>
                <w:sz w:val="24"/>
                <w:szCs w:val="24"/>
              </w:rPr>
              <w:t>1:1000</w:t>
            </w:r>
          </w:p>
        </w:tc>
      </w:tr>
    </w:tbl>
    <w:p w14:paraId="3EEAB88B" w14:textId="51F43DAB" w:rsidR="00244BB7" w:rsidRPr="00B05257" w:rsidRDefault="00244BB7" w:rsidP="000C0324">
      <w:pPr>
        <w:pStyle w:val="Heading2"/>
        <w:numPr>
          <w:ilvl w:val="0"/>
          <w:numId w:val="0"/>
        </w:numPr>
        <w:rPr>
          <w:color w:val="000000"/>
        </w:rPr>
      </w:pPr>
    </w:p>
    <w:p w14:paraId="5D8C4AE8" w14:textId="77777777" w:rsidR="007645C7" w:rsidRPr="00B05257" w:rsidRDefault="007645C7" w:rsidP="009F55A6">
      <w:pPr>
        <w:pStyle w:val="Heading2"/>
        <w:numPr>
          <w:ilvl w:val="1"/>
          <w:numId w:val="0"/>
        </w:numPr>
        <w:spacing w:line="276" w:lineRule="auto"/>
        <w:rPr>
          <w:color w:val="000000"/>
        </w:rPr>
      </w:pPr>
      <w:r w:rsidRPr="00B05257">
        <w:rPr>
          <w:color w:val="000000"/>
        </w:rPr>
        <w:t>Immunohistochemical staining</w:t>
      </w:r>
    </w:p>
    <w:p w14:paraId="485D99A6" w14:textId="159B343C" w:rsidR="007645C7" w:rsidRPr="00B05257" w:rsidRDefault="007645C7" w:rsidP="00DC4BEA">
      <w:pPr>
        <w:spacing w:line="276" w:lineRule="auto"/>
        <w:ind w:firstLineChars="200" w:firstLine="4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>After blocking tissue sections with protein blocking solution, slides were incubated with</w:t>
      </w:r>
      <w:r w:rsidRPr="00B05257">
        <w:rPr>
          <w:rFonts w:ascii="Times New Roman" w:hAnsi="Times New Roman"/>
          <w:bCs/>
          <w:color w:val="000000"/>
          <w:sz w:val="24"/>
          <w:szCs w:val="24"/>
        </w:rPr>
        <w:t xml:space="preserve"> GJA4</w:t>
      </w:r>
      <w:r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Antibody.</w:t>
      </w:r>
      <w:r w:rsidRPr="00B05257">
        <w:rPr>
          <w:color w:val="000000"/>
        </w:rPr>
        <w:t xml:space="preserve"> </w:t>
      </w:r>
      <w:r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>IHC results (intensity and extent of staining) were independently scored by two observers. Staining intensity was graded as follows: 0, negative staining; 1, weak staining; 2, moderate staining; and 3, strong staining. The extent of staining was scored based on the proportion of positively stained cells per specimen, as follows: 0, no positively stained cells; 1 &lt;10% positively stained cells; 2, 10–50% positively stained cells; and 3, &gt;50% positively stained cells. The histochemistry score (H-SCORE), which represents the proportion of positively stained cells and the intensity of expression, was calculated as follows: H-SCORE=</w:t>
      </w:r>
      <w:r w:rsidRPr="00B05257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proofErr w:type="gramStart"/>
      <w:r w:rsidRPr="00B05257">
        <w:rPr>
          <w:rFonts w:ascii="Times New Roman" w:hAnsi="Times New Roman" w:cs="Times New Roman" w:hint="eastAsia"/>
          <w:bCs/>
          <w:color w:val="000000"/>
          <w:sz w:val="24"/>
          <w:szCs w:val="24"/>
        </w:rPr>
        <w:t>∑</w:t>
      </w:r>
      <w:r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gramEnd"/>
      <w:r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 × I) = (percentage of cells with weak intensity × 1) + (percentage of cells with moderate intensity × 2) + (percentage of cells with strong intensity × 3). In the formula, PI represents the percentage of positive cells to the total number of cells in a particular field and I represent the intensity of staining. The H-SCORE ranges from 0 to 300, with a higher score representing stronger positive staining. </w:t>
      </w:r>
    </w:p>
    <w:p w14:paraId="21EEB46C" w14:textId="25E0AEA3" w:rsidR="007645C7" w:rsidRPr="00B05257" w:rsidRDefault="007645C7" w:rsidP="009F55A6">
      <w:pPr>
        <w:spacing w:line="276" w:lineRule="auto"/>
        <w:rPr>
          <w:color w:val="000000"/>
          <w:lang w:eastAsia="en-US"/>
        </w:rPr>
      </w:pPr>
    </w:p>
    <w:p w14:paraId="4351496D" w14:textId="77777777" w:rsidR="009F55A6" w:rsidRDefault="009F55A6" w:rsidP="009F55A6">
      <w:pPr>
        <w:pStyle w:val="Heading2"/>
        <w:numPr>
          <w:ilvl w:val="1"/>
          <w:numId w:val="0"/>
        </w:numPr>
        <w:spacing w:line="276" w:lineRule="auto"/>
        <w:rPr>
          <w:color w:val="000000"/>
        </w:rPr>
      </w:pPr>
      <w:bookmarkStart w:id="1" w:name="_Hlk64292569"/>
    </w:p>
    <w:p w14:paraId="17A6B49D" w14:textId="431CCF80" w:rsidR="00773EF4" w:rsidRPr="00B05257" w:rsidRDefault="00D80056" w:rsidP="009F55A6">
      <w:pPr>
        <w:pStyle w:val="Heading2"/>
        <w:numPr>
          <w:ilvl w:val="1"/>
          <w:numId w:val="0"/>
        </w:numPr>
        <w:spacing w:line="276" w:lineRule="auto"/>
        <w:rPr>
          <w:color w:val="000000"/>
        </w:rPr>
      </w:pPr>
      <w:r w:rsidRPr="00B05257">
        <w:rPr>
          <w:color w:val="000000"/>
        </w:rPr>
        <w:t>Tissue</w:t>
      </w:r>
      <w:r w:rsidR="00CE2ECF" w:rsidRPr="00B05257">
        <w:rPr>
          <w:color w:val="000000"/>
        </w:rPr>
        <w:t xml:space="preserve"> Section</w:t>
      </w:r>
      <w:r w:rsidRPr="00B05257">
        <w:rPr>
          <w:color w:val="000000"/>
        </w:rPr>
        <w:t xml:space="preserve"> </w:t>
      </w:r>
      <w:r w:rsidR="00773EF4" w:rsidRPr="00B05257">
        <w:rPr>
          <w:color w:val="000000"/>
        </w:rPr>
        <w:t>Immunofluorescence staining</w:t>
      </w:r>
    </w:p>
    <w:bookmarkEnd w:id="1"/>
    <w:p w14:paraId="716BB789" w14:textId="2A7F21AB" w:rsidR="00773EF4" w:rsidRPr="00B05257" w:rsidRDefault="00333080" w:rsidP="009F55A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>Immunofluorescence staining was performed on the tissue sections. After blocking in</w:t>
      </w:r>
      <w:r w:rsidR="00773EF4"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773EF4" w:rsidRPr="00B05257">
        <w:rPr>
          <w:rFonts w:ascii="Times New Roman" w:hAnsi="Times New Roman" w:cs="Times New Roman"/>
          <w:bCs/>
          <w:color w:val="000000"/>
          <w:sz w:val="24"/>
          <w:szCs w:val="24"/>
        </w:rPr>
        <w:t>% bovine serum albumin in phosphate-buffered saline, 0.1% Tween followed by an overnight incubation (4 °C) with the primary antibody. This procedure was followed by an incubation with the secondary antibodies. Nuclei were stained using 4',6-diamidino-2-phenylindole (DAPI) for 3 min, and the cells were incubated in the dark for 3 min. The slides were washed with phosphate buffered saline (PBS) four times, for 5 min each. Then, the slides were sealed with sealing solution containing a fluorescence quencher and observed and imaged under a fluorescence microscope.</w:t>
      </w:r>
    </w:p>
    <w:p w14:paraId="37985B69" w14:textId="77777777" w:rsidR="00773EF4" w:rsidRPr="00B05257" w:rsidRDefault="00773EF4" w:rsidP="007645C7">
      <w:pPr>
        <w:rPr>
          <w:color w:val="000000"/>
          <w:lang w:eastAsia="en-US"/>
        </w:rPr>
      </w:pPr>
    </w:p>
    <w:sectPr w:rsidR="00773EF4" w:rsidRPr="00B05257" w:rsidSect="00DC4BE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D8A8" w14:textId="77777777" w:rsidR="00254534" w:rsidRDefault="00254534" w:rsidP="00244BB7">
      <w:r>
        <w:separator/>
      </w:r>
    </w:p>
  </w:endnote>
  <w:endnote w:type="continuationSeparator" w:id="0">
    <w:p w14:paraId="784CAD9E" w14:textId="77777777" w:rsidR="00254534" w:rsidRDefault="00254534" w:rsidP="0024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F76D" w14:textId="77777777" w:rsidR="00254534" w:rsidRDefault="00254534" w:rsidP="00244BB7">
      <w:r>
        <w:separator/>
      </w:r>
    </w:p>
  </w:footnote>
  <w:footnote w:type="continuationSeparator" w:id="0">
    <w:p w14:paraId="5476D551" w14:textId="77777777" w:rsidR="00254534" w:rsidRDefault="00254534" w:rsidP="0024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>
    <w:abstractNumId w:val="0"/>
    <w:lvlOverride w:ilvl="0">
      <w:lvl w:ilvl="0" w:tentative="1">
        <w:start w:val="1"/>
        <w:numFmt w:val="decimal"/>
        <w:pStyle w:val="Heading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pStyle w:val="Heading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">
    <w:abstractNumId w:val="0"/>
    <w:lvlOverride w:ilvl="0">
      <w:lvl w:ilvl="0" w:tentative="1">
        <w:start w:val="1"/>
        <w:numFmt w:val="decimal"/>
        <w:pStyle w:val="Heading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pStyle w:val="Heading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3">
    <w:abstractNumId w:val="0"/>
  </w:num>
  <w:num w:numId="4">
    <w:abstractNumId w:val="0"/>
    <w:lvlOverride w:ilvl="0">
      <w:lvl w:ilvl="0" w:tentative="1">
        <w:start w:val="1"/>
        <w:numFmt w:val="decimal"/>
        <w:pStyle w:val="Heading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pStyle w:val="Heading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5">
    <w:abstractNumId w:val="0"/>
    <w:lvlOverride w:ilvl="0">
      <w:lvl w:ilvl="0" w:tentative="1">
        <w:start w:val="1"/>
        <w:numFmt w:val="decimal"/>
        <w:pStyle w:val="Heading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pStyle w:val="Heading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59e2ee85ffwte505jpvfe6szxw9w55rdv5&quot;&gt;我的EndNote库&lt;record-ids&gt;&lt;item&gt;45&lt;/item&gt;&lt;item&gt;46&lt;/item&gt;&lt;item&gt;432&lt;/item&gt;&lt;/record-ids&gt;&lt;/item&gt;&lt;/Libraries&gt;"/>
  </w:docVars>
  <w:rsids>
    <w:rsidRoot w:val="00F54237"/>
    <w:rsid w:val="00003E44"/>
    <w:rsid w:val="0005698E"/>
    <w:rsid w:val="000608C2"/>
    <w:rsid w:val="000C0324"/>
    <w:rsid w:val="000D54DC"/>
    <w:rsid w:val="000F191E"/>
    <w:rsid w:val="00103388"/>
    <w:rsid w:val="001E06DB"/>
    <w:rsid w:val="00244BB7"/>
    <w:rsid w:val="00254534"/>
    <w:rsid w:val="002630E9"/>
    <w:rsid w:val="002F17C8"/>
    <w:rsid w:val="00333080"/>
    <w:rsid w:val="003613A2"/>
    <w:rsid w:val="00380AC3"/>
    <w:rsid w:val="003869C5"/>
    <w:rsid w:val="003B3F81"/>
    <w:rsid w:val="003D2588"/>
    <w:rsid w:val="00431183"/>
    <w:rsid w:val="00495466"/>
    <w:rsid w:val="004B47FE"/>
    <w:rsid w:val="00574554"/>
    <w:rsid w:val="005D1840"/>
    <w:rsid w:val="00643E80"/>
    <w:rsid w:val="00684128"/>
    <w:rsid w:val="006A49AA"/>
    <w:rsid w:val="00704FE5"/>
    <w:rsid w:val="00715607"/>
    <w:rsid w:val="007466E5"/>
    <w:rsid w:val="007533E6"/>
    <w:rsid w:val="00754EC0"/>
    <w:rsid w:val="007645C7"/>
    <w:rsid w:val="00773EF4"/>
    <w:rsid w:val="007E230F"/>
    <w:rsid w:val="008423FE"/>
    <w:rsid w:val="008E4E96"/>
    <w:rsid w:val="008F6BD2"/>
    <w:rsid w:val="00931D99"/>
    <w:rsid w:val="00965CA1"/>
    <w:rsid w:val="00973752"/>
    <w:rsid w:val="00977F31"/>
    <w:rsid w:val="009F55A6"/>
    <w:rsid w:val="00A539D3"/>
    <w:rsid w:val="00AD3D47"/>
    <w:rsid w:val="00B05257"/>
    <w:rsid w:val="00B75273"/>
    <w:rsid w:val="00B810EA"/>
    <w:rsid w:val="00C17341"/>
    <w:rsid w:val="00C6101F"/>
    <w:rsid w:val="00C8645B"/>
    <w:rsid w:val="00C922BC"/>
    <w:rsid w:val="00CE2ECF"/>
    <w:rsid w:val="00D23985"/>
    <w:rsid w:val="00D57E04"/>
    <w:rsid w:val="00D80056"/>
    <w:rsid w:val="00DC4BEA"/>
    <w:rsid w:val="00DE61C2"/>
    <w:rsid w:val="00EC7721"/>
    <w:rsid w:val="00EE4E87"/>
    <w:rsid w:val="00F45A12"/>
    <w:rsid w:val="00F501D4"/>
    <w:rsid w:val="00F54237"/>
    <w:rsid w:val="00F67B36"/>
    <w:rsid w:val="00F96260"/>
    <w:rsid w:val="00FC19E0"/>
    <w:rsid w:val="00FD5ADE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04D8"/>
  <w15:chartTrackingRefBased/>
  <w15:docId w15:val="{5F4FB8D1-0ADC-43DB-B017-0CE53DD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B7"/>
    <w:pPr>
      <w:widowControl w:val="0"/>
      <w:jc w:val="both"/>
    </w:pPr>
  </w:style>
  <w:style w:type="paragraph" w:styleId="Heading1">
    <w:name w:val="heading 1"/>
    <w:basedOn w:val="ListParagraph"/>
    <w:next w:val="Normal"/>
    <w:link w:val="Heading1Char"/>
    <w:uiPriority w:val="2"/>
    <w:qFormat/>
    <w:rsid w:val="00244BB7"/>
    <w:pPr>
      <w:widowControl/>
      <w:numPr>
        <w:numId w:val="1"/>
      </w:numPr>
      <w:spacing w:before="240" w:after="240"/>
      <w:ind w:firstLineChars="0" w:firstLine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44BB7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244BB7"/>
    <w:pPr>
      <w:keepNext/>
      <w:keepLines/>
      <w:widowControl/>
      <w:numPr>
        <w:ilvl w:val="2"/>
        <w:numId w:val="1"/>
      </w:numPr>
      <w:spacing w:before="40" w:after="120"/>
      <w:jc w:val="left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44BB7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244BB7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4BB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4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4BB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2"/>
    <w:rsid w:val="00244BB7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244BB7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244BB7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244BB7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244BB7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BB7"/>
    <w:rPr>
      <w:sz w:val="20"/>
      <w:szCs w:val="20"/>
    </w:rPr>
  </w:style>
  <w:style w:type="paragraph" w:styleId="PlainText">
    <w:name w:val="Plain Text"/>
    <w:basedOn w:val="Normal"/>
    <w:link w:val="PlainTextChar"/>
    <w:rsid w:val="00244BB7"/>
    <w:rPr>
      <w:rFonts w:ascii="SimSun" w:eastAsia="SimSun" w:hAnsi="Courier New" w:cs="Times New Roman"/>
      <w:color w:val="000000"/>
      <w:szCs w:val="20"/>
    </w:rPr>
  </w:style>
  <w:style w:type="character" w:customStyle="1" w:styleId="PlainTextChar">
    <w:name w:val="Plain Text Char"/>
    <w:basedOn w:val="DefaultParagraphFont"/>
    <w:link w:val="PlainText"/>
    <w:rsid w:val="00244BB7"/>
    <w:rPr>
      <w:rFonts w:ascii="SimSun" w:eastAsia="SimSun" w:hAnsi="Courier New" w:cs="Times New Roman"/>
      <w:color w:val="000000"/>
      <w:szCs w:val="20"/>
    </w:rPr>
  </w:style>
  <w:style w:type="table" w:styleId="TableGrid">
    <w:name w:val="Table Grid"/>
    <w:basedOn w:val="TableNormal"/>
    <w:uiPriority w:val="39"/>
    <w:qFormat/>
    <w:rsid w:val="00244BB7"/>
    <w:rPr>
      <w:rFonts w:asciiTheme="majorHAnsi" w:eastAsia="SimSun" w:hAnsiTheme="majorHAns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4BB7"/>
    <w:rPr>
      <w:sz w:val="16"/>
      <w:szCs w:val="16"/>
    </w:rPr>
  </w:style>
  <w:style w:type="paragraph" w:customStyle="1" w:styleId="SupplementaryMaterial">
    <w:name w:val="Supplementary Material"/>
    <w:basedOn w:val="Title"/>
    <w:next w:val="Title"/>
    <w:qFormat/>
    <w:rsid w:val="00244BB7"/>
    <w:pPr>
      <w:suppressLineNumbers/>
      <w:spacing w:after="120"/>
      <w:outlineLvl w:val="9"/>
    </w:pPr>
    <w:rPr>
      <w:rFonts w:asciiTheme="minorHAnsi" w:eastAsiaTheme="minorEastAsia" w:hAnsiTheme="minorHAnsi" w:cs="Times New Roman"/>
      <w:bCs w:val="0"/>
      <w:i/>
    </w:rPr>
  </w:style>
  <w:style w:type="character" w:customStyle="1" w:styleId="3Char">
    <w:name w:val="标题 3 Char"/>
    <w:qFormat/>
    <w:rsid w:val="00244BB7"/>
    <w:rPr>
      <w:b/>
      <w:bCs/>
      <w:kern w:val="2"/>
      <w:sz w:val="32"/>
      <w:szCs w:val="32"/>
      <w:lang w:val="zh-CN" w:eastAsia="zh-CN"/>
    </w:rPr>
  </w:style>
  <w:style w:type="paragraph" w:styleId="ListParagraph">
    <w:name w:val="List Paragraph"/>
    <w:basedOn w:val="Normal"/>
    <w:uiPriority w:val="34"/>
    <w:qFormat/>
    <w:rsid w:val="00244BB7"/>
    <w:pPr>
      <w:ind w:firstLineChars="200" w:firstLine="420"/>
    </w:pPr>
  </w:style>
  <w:style w:type="paragraph" w:styleId="Title">
    <w:name w:val="Title"/>
    <w:basedOn w:val="Normal"/>
    <w:next w:val="Normal"/>
    <w:link w:val="TitleChar"/>
    <w:uiPriority w:val="10"/>
    <w:qFormat/>
    <w:rsid w:val="00244B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4BB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0"/>
    <w:rsid w:val="00704FE5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704FE5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704FE5"/>
    <w:pPr>
      <w:jc w:val="left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704FE5"/>
    <w:rPr>
      <w:rFonts w:ascii="DengXian" w:eastAsia="DengXian" w:hAnsi="DengXian"/>
      <w:noProof/>
      <w:sz w:val="20"/>
    </w:rPr>
  </w:style>
  <w:style w:type="numbering" w:customStyle="1" w:styleId="Headings">
    <w:name w:val="Headings"/>
    <w:uiPriority w:val="99"/>
    <w:rsid w:val="00DE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jiepin</dc:creator>
  <cp:keywords/>
  <dc:description/>
  <cp:lastModifiedBy>Mel Phimester</cp:lastModifiedBy>
  <cp:revision>3</cp:revision>
  <dcterms:created xsi:type="dcterms:W3CDTF">2022-04-13T09:54:00Z</dcterms:created>
  <dcterms:modified xsi:type="dcterms:W3CDTF">2022-04-13T09:54:00Z</dcterms:modified>
</cp:coreProperties>
</file>