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43" w:rsidRPr="00294F43" w:rsidRDefault="00294F43" w:rsidP="00294F43">
      <w:pPr>
        <w:ind w:left="-990" w:right="-990"/>
        <w:rPr>
          <w:rFonts w:ascii="Times New Roman" w:hAnsi="Times New Roman" w:cs="Times New Roman"/>
          <w:b/>
        </w:rPr>
      </w:pPr>
      <w:r>
        <w:rPr>
          <w:rFonts w:ascii="Times New Roman" w:hAnsi="Times New Roman" w:cs="Times New Roman"/>
          <w:b/>
        </w:rPr>
        <w:t>Supplemental Table 1</w:t>
      </w:r>
      <w:r>
        <w:rPr>
          <w:rFonts w:ascii="Times New Roman" w:hAnsi="Times New Roman" w:cs="Times New Roman"/>
          <w:b/>
        </w:rPr>
        <w:t xml:space="preserve">. </w:t>
      </w:r>
      <w:r>
        <w:rPr>
          <w:rFonts w:ascii="Times New Roman" w:hAnsi="Times New Roman" w:cs="Times New Roman"/>
          <w:b/>
        </w:rPr>
        <w:t xml:space="preserve">Comparison of Spine-Related Disorders </w:t>
      </w:r>
      <w:r w:rsidRPr="004C2C2A">
        <w:rPr>
          <w:rFonts w:ascii="Times New Roman" w:hAnsi="Times New Roman" w:cs="Times New Roman"/>
          <w:b/>
        </w:rPr>
        <w:t xml:space="preserve">Between </w:t>
      </w:r>
      <w:r>
        <w:rPr>
          <w:rFonts w:ascii="Times New Roman" w:hAnsi="Times New Roman" w:cs="Times New Roman"/>
          <w:b/>
        </w:rPr>
        <w:t xml:space="preserve">Underserved </w:t>
      </w:r>
      <w:r w:rsidRPr="004C2C2A">
        <w:rPr>
          <w:rFonts w:ascii="Times New Roman" w:hAnsi="Times New Roman" w:cs="Times New Roman"/>
          <w:b/>
        </w:rPr>
        <w:t xml:space="preserve">and </w:t>
      </w:r>
      <w:r>
        <w:rPr>
          <w:rFonts w:ascii="Times New Roman" w:hAnsi="Times New Roman" w:cs="Times New Roman"/>
          <w:b/>
        </w:rPr>
        <w:t>Non-underserved Counties</w:t>
      </w:r>
    </w:p>
    <w:tbl>
      <w:tblPr>
        <w:tblStyle w:val="TableGridLight1"/>
        <w:tblW w:w="5921" w:type="pct"/>
        <w:tblInd w:w="-882" w:type="dxa"/>
        <w:tblLook w:val="04A0" w:firstRow="1" w:lastRow="0" w:firstColumn="1" w:lastColumn="0" w:noHBand="0" w:noVBand="1"/>
      </w:tblPr>
      <w:tblGrid>
        <w:gridCol w:w="4409"/>
        <w:gridCol w:w="1896"/>
        <w:gridCol w:w="1878"/>
        <w:gridCol w:w="1896"/>
        <w:gridCol w:w="1261"/>
      </w:tblGrid>
      <w:tr w:rsidR="00FE3A2F" w:rsidRPr="004C2C2A" w:rsidTr="00FE3A2F">
        <w:trPr>
          <w:trHeight w:val="288"/>
        </w:trPr>
        <w:tc>
          <w:tcPr>
            <w:tcW w:w="5000" w:type="pct"/>
            <w:gridSpan w:val="5"/>
            <w:tcBorders>
              <w:bottom w:val="single" w:sz="4" w:space="0" w:color="auto"/>
            </w:tcBorders>
            <w:shd w:val="clear" w:color="auto" w:fill="D9D9D9" w:themeFill="background1" w:themeFillShade="D9"/>
          </w:tcPr>
          <w:p w:rsidR="00FE3A2F" w:rsidRDefault="00FE3A2F" w:rsidP="00FE3A2F">
            <w:pPr>
              <w:rPr>
                <w:rFonts w:ascii="Times New Roman" w:hAnsi="Times New Roman" w:cs="Times New Roman"/>
                <w:b/>
              </w:rPr>
            </w:pPr>
          </w:p>
          <w:p w:rsidR="00FE3A2F" w:rsidRDefault="00FE3A2F" w:rsidP="00FE3A2F">
            <w:pPr>
              <w:rPr>
                <w:rFonts w:ascii="Times New Roman" w:hAnsi="Times New Roman" w:cs="Times New Roman"/>
                <w:b/>
              </w:rPr>
            </w:pPr>
            <w:r>
              <w:rPr>
                <w:rFonts w:ascii="Times New Roman" w:hAnsi="Times New Roman" w:cs="Times New Roman"/>
                <w:b/>
              </w:rPr>
              <w:t>Five-year Prevalence</w:t>
            </w:r>
          </w:p>
        </w:tc>
      </w:tr>
      <w:tr w:rsidR="00FE3A2F" w:rsidRPr="004C2C2A" w:rsidTr="00FE3A2F">
        <w:trPr>
          <w:trHeight w:val="288"/>
        </w:trPr>
        <w:tc>
          <w:tcPr>
            <w:tcW w:w="1944" w:type="pct"/>
            <w:tcBorders>
              <w:top w:val="single" w:sz="4" w:space="0" w:color="auto"/>
              <w:bottom w:val="single" w:sz="4" w:space="0" w:color="auto"/>
            </w:tcBorders>
          </w:tcPr>
          <w:p w:rsidR="00F22E01" w:rsidRPr="004C2C2A" w:rsidRDefault="00F22E01" w:rsidP="00102375">
            <w:pPr>
              <w:rPr>
                <w:rFonts w:ascii="Times New Roman" w:hAnsi="Times New Roman" w:cs="Times New Roman"/>
              </w:rPr>
            </w:pPr>
          </w:p>
          <w:p w:rsidR="00F22E01" w:rsidRDefault="00F22E01" w:rsidP="00F22E01">
            <w:pPr>
              <w:rPr>
                <w:rFonts w:ascii="Times New Roman" w:hAnsi="Times New Roman" w:cs="Times New Roman"/>
                <w:b/>
              </w:rPr>
            </w:pPr>
            <w:r>
              <w:rPr>
                <w:rFonts w:ascii="Times New Roman" w:hAnsi="Times New Roman" w:cs="Times New Roman"/>
                <w:b/>
              </w:rPr>
              <w:t xml:space="preserve">Pain Symptoms </w:t>
            </w:r>
          </w:p>
          <w:p w:rsidR="00F22E01" w:rsidRPr="004C2C2A" w:rsidRDefault="00F22E01" w:rsidP="00F22E01">
            <w:pPr>
              <w:rPr>
                <w:rFonts w:ascii="Times New Roman" w:hAnsi="Times New Roman" w:cs="Times New Roman"/>
                <w:b/>
              </w:rPr>
            </w:pPr>
            <w:r>
              <w:rPr>
                <w:rFonts w:ascii="Times New Roman" w:hAnsi="Times New Roman" w:cs="Times New Roman"/>
                <w:b/>
              </w:rPr>
              <w:t>(prevalence per 100 people)</w:t>
            </w:r>
          </w:p>
        </w:tc>
        <w:tc>
          <w:tcPr>
            <w:tcW w:w="836" w:type="pct"/>
            <w:tcBorders>
              <w:top w:val="single" w:sz="4" w:space="0" w:color="auto"/>
              <w:bottom w:val="single" w:sz="4" w:space="0" w:color="auto"/>
            </w:tcBorders>
          </w:tcPr>
          <w:p w:rsidR="00F22E01" w:rsidRPr="004F1DC7" w:rsidRDefault="004F1DC7" w:rsidP="00102375">
            <w:pPr>
              <w:jc w:val="center"/>
              <w:rPr>
                <w:rFonts w:ascii="Times New Roman" w:hAnsi="Times New Roman" w:cs="Times New Roman"/>
                <w:b/>
              </w:rPr>
            </w:pPr>
            <w:r>
              <w:rPr>
                <w:rFonts w:ascii="Times New Roman" w:hAnsi="Times New Roman" w:cs="Times New Roman"/>
                <w:b/>
              </w:rPr>
              <w:t>Overall Cohort (n=27</w:t>
            </w:r>
            <w:r w:rsidR="00F22E01" w:rsidRPr="004F1DC7">
              <w:rPr>
                <w:rFonts w:ascii="Times New Roman" w:hAnsi="Times New Roman" w:cs="Times New Roman"/>
                <w:b/>
              </w:rPr>
              <w:t>)</w:t>
            </w:r>
          </w:p>
        </w:tc>
        <w:tc>
          <w:tcPr>
            <w:tcW w:w="828" w:type="pct"/>
            <w:tcBorders>
              <w:top w:val="single" w:sz="4" w:space="0" w:color="auto"/>
              <w:bottom w:val="single" w:sz="4" w:space="0" w:color="auto"/>
            </w:tcBorders>
          </w:tcPr>
          <w:p w:rsidR="00F22E01" w:rsidRPr="004F1DC7" w:rsidRDefault="00F22E01" w:rsidP="00102375">
            <w:pPr>
              <w:jc w:val="center"/>
              <w:rPr>
                <w:rFonts w:ascii="Times New Roman" w:hAnsi="Times New Roman" w:cs="Times New Roman"/>
                <w:b/>
              </w:rPr>
            </w:pPr>
            <w:r w:rsidRPr="004F1DC7">
              <w:rPr>
                <w:rFonts w:ascii="Times New Roman" w:hAnsi="Times New Roman" w:cs="Times New Roman"/>
                <w:b/>
              </w:rPr>
              <w:t xml:space="preserve">MUA </w:t>
            </w:r>
          </w:p>
          <w:p w:rsidR="00F22E01" w:rsidRPr="004F1DC7" w:rsidRDefault="004F1DC7" w:rsidP="00102375">
            <w:pPr>
              <w:jc w:val="center"/>
              <w:rPr>
                <w:rFonts w:ascii="Times New Roman" w:hAnsi="Times New Roman" w:cs="Times New Roman"/>
                <w:b/>
              </w:rPr>
            </w:pPr>
            <w:r>
              <w:rPr>
                <w:rFonts w:ascii="Times New Roman" w:hAnsi="Times New Roman" w:cs="Times New Roman"/>
                <w:b/>
              </w:rPr>
              <w:t>(n=22</w:t>
            </w:r>
            <w:r w:rsidR="00F22E01" w:rsidRPr="004F1DC7">
              <w:rPr>
                <w:rFonts w:ascii="Times New Roman" w:hAnsi="Times New Roman" w:cs="Times New Roman"/>
                <w:b/>
              </w:rPr>
              <w:t>)</w:t>
            </w:r>
          </w:p>
        </w:tc>
        <w:tc>
          <w:tcPr>
            <w:tcW w:w="836" w:type="pct"/>
            <w:tcBorders>
              <w:top w:val="single" w:sz="4" w:space="0" w:color="auto"/>
              <w:bottom w:val="single" w:sz="4" w:space="0" w:color="auto"/>
            </w:tcBorders>
          </w:tcPr>
          <w:p w:rsidR="004F1DC7" w:rsidRDefault="00F22E01" w:rsidP="00102375">
            <w:pPr>
              <w:jc w:val="center"/>
              <w:rPr>
                <w:rFonts w:ascii="Times New Roman" w:hAnsi="Times New Roman" w:cs="Times New Roman"/>
                <w:b/>
              </w:rPr>
            </w:pPr>
            <w:r w:rsidRPr="004F1DC7">
              <w:rPr>
                <w:rFonts w:ascii="Times New Roman" w:hAnsi="Times New Roman" w:cs="Times New Roman"/>
                <w:b/>
              </w:rPr>
              <w:t>Not MUA</w:t>
            </w:r>
            <w:r w:rsidR="004F1DC7">
              <w:rPr>
                <w:rFonts w:ascii="Times New Roman" w:hAnsi="Times New Roman" w:cs="Times New Roman"/>
                <w:b/>
              </w:rPr>
              <w:t xml:space="preserve"> </w:t>
            </w:r>
          </w:p>
          <w:p w:rsidR="00F22E01" w:rsidRPr="004F1DC7" w:rsidRDefault="004F1DC7" w:rsidP="00102375">
            <w:pPr>
              <w:jc w:val="center"/>
              <w:rPr>
                <w:rFonts w:ascii="Times New Roman" w:hAnsi="Times New Roman" w:cs="Times New Roman"/>
                <w:b/>
              </w:rPr>
            </w:pPr>
            <w:r>
              <w:rPr>
                <w:rFonts w:ascii="Times New Roman" w:hAnsi="Times New Roman" w:cs="Times New Roman"/>
                <w:b/>
              </w:rPr>
              <w:t>(n=5</w:t>
            </w:r>
            <w:r w:rsidR="00F22E01" w:rsidRPr="004F1DC7">
              <w:rPr>
                <w:rFonts w:ascii="Times New Roman" w:hAnsi="Times New Roman" w:cs="Times New Roman"/>
                <w:b/>
              </w:rPr>
              <w:t>)</w:t>
            </w:r>
          </w:p>
        </w:tc>
        <w:tc>
          <w:tcPr>
            <w:tcW w:w="556" w:type="pct"/>
            <w:tcBorders>
              <w:top w:val="single" w:sz="4" w:space="0" w:color="auto"/>
              <w:bottom w:val="single" w:sz="4" w:space="0" w:color="auto"/>
            </w:tcBorders>
          </w:tcPr>
          <w:p w:rsidR="00F22E01" w:rsidRPr="004F1DC7" w:rsidRDefault="00F22E01" w:rsidP="00102375">
            <w:pPr>
              <w:jc w:val="center"/>
              <w:rPr>
                <w:rFonts w:ascii="Times New Roman" w:hAnsi="Times New Roman" w:cs="Times New Roman"/>
                <w:b/>
              </w:rPr>
            </w:pPr>
            <w:r w:rsidRPr="004F1DC7">
              <w:rPr>
                <w:rFonts w:ascii="Times New Roman" w:hAnsi="Times New Roman" w:cs="Times New Roman"/>
                <w:b/>
                <w:i/>
              </w:rPr>
              <w:t>P</w:t>
            </w:r>
            <w:r w:rsidRPr="004F1DC7">
              <w:rPr>
                <w:rFonts w:ascii="Times New Roman" w:hAnsi="Times New Roman" w:cs="Times New Roman"/>
                <w:b/>
              </w:rPr>
              <w:t xml:space="preserve"> value</w:t>
            </w:r>
          </w:p>
        </w:tc>
      </w:tr>
      <w:tr w:rsidR="005B3A68" w:rsidRPr="004C2C2A" w:rsidTr="00FE3A2F">
        <w:trPr>
          <w:trHeight w:val="288"/>
        </w:trPr>
        <w:tc>
          <w:tcPr>
            <w:tcW w:w="1944" w:type="pct"/>
          </w:tcPr>
          <w:p w:rsidR="005B3A68" w:rsidRDefault="005B3A68" w:rsidP="008F452B">
            <w:pPr>
              <w:rPr>
                <w:rFonts w:ascii="Times New Roman" w:hAnsi="Times New Roman" w:cs="Times New Roman"/>
              </w:rPr>
            </w:pPr>
            <w:r>
              <w:rPr>
                <w:rFonts w:ascii="Times New Roman" w:hAnsi="Times New Roman" w:cs="Times New Roman"/>
              </w:rPr>
              <w:t>Lumbago</w:t>
            </w:r>
          </w:p>
        </w:tc>
        <w:tc>
          <w:tcPr>
            <w:tcW w:w="836" w:type="pct"/>
          </w:tcPr>
          <w:p w:rsidR="005B3A68" w:rsidRPr="004C2C2A" w:rsidRDefault="005B3A68" w:rsidP="008F452B">
            <w:pPr>
              <w:jc w:val="center"/>
              <w:rPr>
                <w:rFonts w:ascii="Times New Roman" w:hAnsi="Times New Roman" w:cs="Times New Roman"/>
              </w:rPr>
            </w:pPr>
            <w:r>
              <w:rPr>
                <w:rFonts w:ascii="Times New Roman" w:hAnsi="Times New Roman" w:cs="Times New Roman"/>
              </w:rPr>
              <w:t>11.1 ± 2.0</w:t>
            </w:r>
          </w:p>
        </w:tc>
        <w:tc>
          <w:tcPr>
            <w:tcW w:w="828" w:type="pct"/>
          </w:tcPr>
          <w:p w:rsidR="005B3A68" w:rsidRPr="004C2C2A" w:rsidRDefault="005B3A68" w:rsidP="008F452B">
            <w:pPr>
              <w:jc w:val="center"/>
              <w:rPr>
                <w:rFonts w:ascii="Times New Roman" w:hAnsi="Times New Roman" w:cs="Times New Roman"/>
              </w:rPr>
            </w:pPr>
            <w:r>
              <w:rPr>
                <w:rFonts w:ascii="Times New Roman" w:hAnsi="Times New Roman" w:cs="Times New Roman"/>
              </w:rPr>
              <w:t>10.9 ± 2.1</w:t>
            </w:r>
          </w:p>
        </w:tc>
        <w:tc>
          <w:tcPr>
            <w:tcW w:w="836" w:type="pct"/>
          </w:tcPr>
          <w:p w:rsidR="005B3A68" w:rsidRPr="004C2C2A" w:rsidRDefault="005B3A68" w:rsidP="008F452B">
            <w:pPr>
              <w:jc w:val="center"/>
              <w:rPr>
                <w:rFonts w:ascii="Times New Roman" w:hAnsi="Times New Roman" w:cs="Times New Roman"/>
              </w:rPr>
            </w:pPr>
            <w:r>
              <w:rPr>
                <w:rFonts w:ascii="Times New Roman" w:hAnsi="Times New Roman" w:cs="Times New Roman"/>
              </w:rPr>
              <w:t>11.8 ± 1.9</w:t>
            </w:r>
          </w:p>
        </w:tc>
        <w:tc>
          <w:tcPr>
            <w:tcW w:w="556" w:type="pct"/>
          </w:tcPr>
          <w:p w:rsidR="005B3A68" w:rsidRDefault="005B3A68" w:rsidP="008F452B">
            <w:pPr>
              <w:jc w:val="center"/>
              <w:rPr>
                <w:rFonts w:ascii="Times New Roman" w:hAnsi="Times New Roman" w:cs="Times New Roman"/>
              </w:rPr>
            </w:pPr>
            <w:r>
              <w:rPr>
                <w:rFonts w:ascii="Times New Roman" w:hAnsi="Times New Roman" w:cs="Times New Roman"/>
              </w:rPr>
              <w:t>0.381</w:t>
            </w:r>
          </w:p>
        </w:tc>
      </w:tr>
      <w:tr w:rsidR="005B3A68" w:rsidRPr="004C2C2A" w:rsidTr="00FE3A2F">
        <w:trPr>
          <w:trHeight w:val="288"/>
        </w:trPr>
        <w:tc>
          <w:tcPr>
            <w:tcW w:w="1944" w:type="pct"/>
          </w:tcPr>
          <w:p w:rsidR="005B3A68" w:rsidRPr="004C2C2A" w:rsidRDefault="00E50B90" w:rsidP="00102375">
            <w:pPr>
              <w:rPr>
                <w:rFonts w:ascii="Times New Roman" w:hAnsi="Times New Roman" w:cs="Times New Roman"/>
              </w:rPr>
            </w:pPr>
            <w:r>
              <w:rPr>
                <w:rFonts w:ascii="Times New Roman" w:hAnsi="Times New Roman" w:cs="Times New Roman"/>
              </w:rPr>
              <w:t>Spondylosis</w:t>
            </w:r>
          </w:p>
        </w:tc>
        <w:tc>
          <w:tcPr>
            <w:tcW w:w="836" w:type="pct"/>
          </w:tcPr>
          <w:p w:rsidR="005B3A68" w:rsidRPr="004C2C2A" w:rsidRDefault="008A0768" w:rsidP="00102375">
            <w:pPr>
              <w:jc w:val="center"/>
              <w:rPr>
                <w:rFonts w:ascii="Times New Roman" w:hAnsi="Times New Roman" w:cs="Times New Roman"/>
              </w:rPr>
            </w:pPr>
            <w:r>
              <w:rPr>
                <w:rFonts w:ascii="Times New Roman" w:hAnsi="Times New Roman" w:cs="Times New Roman"/>
              </w:rPr>
              <w:t>4.8 ± 1.7</w:t>
            </w:r>
          </w:p>
        </w:tc>
        <w:tc>
          <w:tcPr>
            <w:tcW w:w="828" w:type="pct"/>
          </w:tcPr>
          <w:p w:rsidR="005B3A68" w:rsidRPr="004C2C2A" w:rsidRDefault="006027C6" w:rsidP="00102375">
            <w:pPr>
              <w:jc w:val="center"/>
              <w:rPr>
                <w:rFonts w:ascii="Times New Roman" w:hAnsi="Times New Roman" w:cs="Times New Roman"/>
              </w:rPr>
            </w:pPr>
            <w:r>
              <w:rPr>
                <w:rFonts w:ascii="Times New Roman" w:hAnsi="Times New Roman" w:cs="Times New Roman"/>
              </w:rPr>
              <w:t>4.8 ± 1.5</w:t>
            </w:r>
          </w:p>
        </w:tc>
        <w:tc>
          <w:tcPr>
            <w:tcW w:w="836" w:type="pct"/>
          </w:tcPr>
          <w:p w:rsidR="005B3A68" w:rsidRPr="004C2C2A" w:rsidRDefault="006027C6" w:rsidP="00102375">
            <w:pPr>
              <w:jc w:val="center"/>
              <w:rPr>
                <w:rFonts w:ascii="Times New Roman" w:hAnsi="Times New Roman" w:cs="Times New Roman"/>
              </w:rPr>
            </w:pPr>
            <w:r>
              <w:rPr>
                <w:rFonts w:ascii="Times New Roman" w:hAnsi="Times New Roman" w:cs="Times New Roman"/>
              </w:rPr>
              <w:t>4.8 ± 2.5</w:t>
            </w:r>
          </w:p>
        </w:tc>
        <w:tc>
          <w:tcPr>
            <w:tcW w:w="556" w:type="pct"/>
          </w:tcPr>
          <w:p w:rsidR="005B3A68" w:rsidRDefault="003C540E" w:rsidP="00102375">
            <w:pPr>
              <w:jc w:val="center"/>
              <w:rPr>
                <w:rFonts w:ascii="Times New Roman" w:hAnsi="Times New Roman" w:cs="Times New Roman"/>
              </w:rPr>
            </w:pPr>
            <w:r>
              <w:rPr>
                <w:rFonts w:ascii="Times New Roman" w:hAnsi="Times New Roman" w:cs="Times New Roman"/>
              </w:rPr>
              <w:t>0.982</w:t>
            </w:r>
          </w:p>
        </w:tc>
      </w:tr>
      <w:tr w:rsidR="005B3A68" w:rsidRPr="004C2C2A" w:rsidTr="00FE3A2F">
        <w:trPr>
          <w:trHeight w:val="288"/>
        </w:trPr>
        <w:tc>
          <w:tcPr>
            <w:tcW w:w="1944" w:type="pct"/>
          </w:tcPr>
          <w:p w:rsidR="005B3A68" w:rsidRDefault="00E50B90" w:rsidP="00102375">
            <w:pPr>
              <w:rPr>
                <w:rFonts w:ascii="Times New Roman" w:hAnsi="Times New Roman" w:cs="Times New Roman"/>
              </w:rPr>
            </w:pPr>
            <w:r>
              <w:rPr>
                <w:rFonts w:ascii="Times New Roman" w:hAnsi="Times New Roman" w:cs="Times New Roman"/>
              </w:rPr>
              <w:t>Intervertebral Disc Disorders</w:t>
            </w:r>
          </w:p>
        </w:tc>
        <w:tc>
          <w:tcPr>
            <w:tcW w:w="836" w:type="pct"/>
          </w:tcPr>
          <w:p w:rsidR="005B3A68" w:rsidRPr="004C2C2A" w:rsidRDefault="008A0768" w:rsidP="00102375">
            <w:pPr>
              <w:jc w:val="center"/>
              <w:rPr>
                <w:rFonts w:ascii="Times New Roman" w:hAnsi="Times New Roman" w:cs="Times New Roman"/>
              </w:rPr>
            </w:pPr>
            <w:r>
              <w:rPr>
                <w:rFonts w:ascii="Times New Roman" w:hAnsi="Times New Roman" w:cs="Times New Roman"/>
              </w:rPr>
              <w:t>5.1 ± 1.4</w:t>
            </w:r>
          </w:p>
        </w:tc>
        <w:tc>
          <w:tcPr>
            <w:tcW w:w="828" w:type="pct"/>
          </w:tcPr>
          <w:p w:rsidR="005B3A68" w:rsidRPr="004C2C2A" w:rsidRDefault="006027C6" w:rsidP="00102375">
            <w:pPr>
              <w:jc w:val="center"/>
              <w:rPr>
                <w:rFonts w:ascii="Times New Roman" w:hAnsi="Times New Roman" w:cs="Times New Roman"/>
              </w:rPr>
            </w:pPr>
            <w:r>
              <w:rPr>
                <w:rFonts w:ascii="Times New Roman" w:hAnsi="Times New Roman" w:cs="Times New Roman"/>
              </w:rPr>
              <w:t>5.2 ± 1.2</w:t>
            </w:r>
          </w:p>
        </w:tc>
        <w:tc>
          <w:tcPr>
            <w:tcW w:w="836" w:type="pct"/>
          </w:tcPr>
          <w:p w:rsidR="005B3A68" w:rsidRPr="006027C6" w:rsidRDefault="006027C6" w:rsidP="00102375">
            <w:pPr>
              <w:jc w:val="center"/>
            </w:pPr>
            <w:r>
              <w:rPr>
                <w:rFonts w:ascii="Times New Roman" w:hAnsi="Times New Roman" w:cs="Times New Roman"/>
              </w:rPr>
              <w:t xml:space="preserve">4.9 ± </w:t>
            </w:r>
            <w:r>
              <w:t>2.2</w:t>
            </w:r>
          </w:p>
        </w:tc>
        <w:tc>
          <w:tcPr>
            <w:tcW w:w="556" w:type="pct"/>
          </w:tcPr>
          <w:p w:rsidR="005B3A68" w:rsidRDefault="003C540E" w:rsidP="00102375">
            <w:pPr>
              <w:jc w:val="center"/>
              <w:rPr>
                <w:rFonts w:ascii="Times New Roman" w:hAnsi="Times New Roman" w:cs="Times New Roman"/>
              </w:rPr>
            </w:pPr>
            <w:r>
              <w:rPr>
                <w:rFonts w:ascii="Times New Roman" w:hAnsi="Times New Roman" w:cs="Times New Roman"/>
              </w:rPr>
              <w:t>0.690</w:t>
            </w:r>
          </w:p>
        </w:tc>
      </w:tr>
      <w:tr w:rsidR="005B3A68" w:rsidRPr="004C2C2A" w:rsidTr="00FE3A2F">
        <w:trPr>
          <w:trHeight w:val="288"/>
        </w:trPr>
        <w:tc>
          <w:tcPr>
            <w:tcW w:w="1944" w:type="pct"/>
          </w:tcPr>
          <w:p w:rsidR="005B3A68" w:rsidRDefault="00E50B90" w:rsidP="00102375">
            <w:pPr>
              <w:rPr>
                <w:rFonts w:ascii="Times New Roman" w:hAnsi="Times New Roman" w:cs="Times New Roman"/>
              </w:rPr>
            </w:pPr>
            <w:r>
              <w:rPr>
                <w:rFonts w:ascii="Times New Roman" w:hAnsi="Times New Roman" w:cs="Times New Roman"/>
              </w:rPr>
              <w:t>Cervical Radiculitis</w:t>
            </w:r>
          </w:p>
        </w:tc>
        <w:tc>
          <w:tcPr>
            <w:tcW w:w="836" w:type="pct"/>
          </w:tcPr>
          <w:p w:rsidR="005B3A68" w:rsidRPr="004C2C2A" w:rsidRDefault="008A0768" w:rsidP="00102375">
            <w:pPr>
              <w:jc w:val="center"/>
              <w:rPr>
                <w:rFonts w:ascii="Times New Roman" w:hAnsi="Times New Roman" w:cs="Times New Roman"/>
              </w:rPr>
            </w:pPr>
            <w:r>
              <w:rPr>
                <w:rFonts w:ascii="Times New Roman" w:hAnsi="Times New Roman" w:cs="Times New Roman"/>
              </w:rPr>
              <w:t>1.2 ± 0.2</w:t>
            </w:r>
          </w:p>
        </w:tc>
        <w:tc>
          <w:tcPr>
            <w:tcW w:w="828" w:type="pct"/>
          </w:tcPr>
          <w:p w:rsidR="005B3A68" w:rsidRPr="004C2C2A" w:rsidRDefault="006027C6" w:rsidP="00102375">
            <w:pPr>
              <w:jc w:val="center"/>
              <w:rPr>
                <w:rFonts w:ascii="Times New Roman" w:hAnsi="Times New Roman" w:cs="Times New Roman"/>
              </w:rPr>
            </w:pPr>
            <w:r>
              <w:rPr>
                <w:rFonts w:ascii="Times New Roman" w:hAnsi="Times New Roman" w:cs="Times New Roman"/>
              </w:rPr>
              <w:t>1.1 ± 0.2</w:t>
            </w:r>
          </w:p>
        </w:tc>
        <w:tc>
          <w:tcPr>
            <w:tcW w:w="836" w:type="pct"/>
          </w:tcPr>
          <w:p w:rsidR="005B3A68" w:rsidRPr="006027C6" w:rsidRDefault="006027C6" w:rsidP="006027C6">
            <w:pPr>
              <w:jc w:val="center"/>
              <w:rPr>
                <w:rFonts w:ascii="Times New Roman" w:hAnsi="Times New Roman" w:cs="Times New Roman"/>
              </w:rPr>
            </w:pPr>
            <w:r>
              <w:rPr>
                <w:rFonts w:ascii="Times New Roman" w:hAnsi="Times New Roman" w:cs="Times New Roman"/>
              </w:rPr>
              <w:t>1.2 ± 0.3</w:t>
            </w:r>
          </w:p>
        </w:tc>
        <w:tc>
          <w:tcPr>
            <w:tcW w:w="556" w:type="pct"/>
          </w:tcPr>
          <w:p w:rsidR="005B3A68" w:rsidRDefault="003C540E" w:rsidP="00102375">
            <w:pPr>
              <w:jc w:val="center"/>
              <w:rPr>
                <w:rFonts w:ascii="Times New Roman" w:hAnsi="Times New Roman" w:cs="Times New Roman"/>
              </w:rPr>
            </w:pPr>
            <w:r>
              <w:rPr>
                <w:rFonts w:ascii="Times New Roman" w:hAnsi="Times New Roman" w:cs="Times New Roman"/>
              </w:rPr>
              <w:t>0.584</w:t>
            </w:r>
          </w:p>
        </w:tc>
      </w:tr>
      <w:tr w:rsidR="005B3A68" w:rsidRPr="004C2C2A" w:rsidTr="00FE3A2F">
        <w:trPr>
          <w:trHeight w:val="288"/>
        </w:trPr>
        <w:tc>
          <w:tcPr>
            <w:tcW w:w="1944" w:type="pct"/>
          </w:tcPr>
          <w:p w:rsidR="005B3A68" w:rsidRDefault="00E50B90" w:rsidP="00102375">
            <w:pPr>
              <w:rPr>
                <w:rFonts w:ascii="Times New Roman" w:hAnsi="Times New Roman" w:cs="Times New Roman"/>
              </w:rPr>
            </w:pPr>
            <w:r>
              <w:rPr>
                <w:rFonts w:ascii="Times New Roman" w:hAnsi="Times New Roman" w:cs="Times New Roman"/>
              </w:rPr>
              <w:t>Lumbar Spinal Stenosis</w:t>
            </w:r>
          </w:p>
        </w:tc>
        <w:tc>
          <w:tcPr>
            <w:tcW w:w="836" w:type="pct"/>
          </w:tcPr>
          <w:p w:rsidR="005B3A68" w:rsidRPr="004C2C2A" w:rsidRDefault="008A0768" w:rsidP="00102375">
            <w:pPr>
              <w:jc w:val="center"/>
              <w:rPr>
                <w:rFonts w:ascii="Times New Roman" w:hAnsi="Times New Roman" w:cs="Times New Roman"/>
              </w:rPr>
            </w:pPr>
            <w:r>
              <w:rPr>
                <w:rFonts w:ascii="Times New Roman" w:hAnsi="Times New Roman" w:cs="Times New Roman"/>
              </w:rPr>
              <w:t>1.1 ± 0.2</w:t>
            </w:r>
          </w:p>
        </w:tc>
        <w:tc>
          <w:tcPr>
            <w:tcW w:w="828" w:type="pct"/>
          </w:tcPr>
          <w:p w:rsidR="005B3A68" w:rsidRPr="004C2C2A" w:rsidRDefault="006027C6" w:rsidP="00102375">
            <w:pPr>
              <w:jc w:val="center"/>
              <w:rPr>
                <w:rFonts w:ascii="Times New Roman" w:hAnsi="Times New Roman" w:cs="Times New Roman"/>
              </w:rPr>
            </w:pPr>
            <w:r>
              <w:rPr>
                <w:rFonts w:ascii="Times New Roman" w:hAnsi="Times New Roman" w:cs="Times New Roman"/>
              </w:rPr>
              <w:t>1.1 ± 0.2</w:t>
            </w:r>
          </w:p>
        </w:tc>
        <w:tc>
          <w:tcPr>
            <w:tcW w:w="836" w:type="pct"/>
          </w:tcPr>
          <w:p w:rsidR="005B3A68" w:rsidRPr="004C2C2A" w:rsidRDefault="006027C6" w:rsidP="00102375">
            <w:pPr>
              <w:jc w:val="center"/>
              <w:rPr>
                <w:rFonts w:ascii="Times New Roman" w:hAnsi="Times New Roman" w:cs="Times New Roman"/>
              </w:rPr>
            </w:pPr>
            <w:r>
              <w:rPr>
                <w:rFonts w:ascii="Times New Roman" w:hAnsi="Times New Roman" w:cs="Times New Roman"/>
              </w:rPr>
              <w:t>1.1 ± 0.2</w:t>
            </w:r>
          </w:p>
        </w:tc>
        <w:tc>
          <w:tcPr>
            <w:tcW w:w="556" w:type="pct"/>
          </w:tcPr>
          <w:p w:rsidR="005B3A68" w:rsidRDefault="003C540E" w:rsidP="00102375">
            <w:pPr>
              <w:jc w:val="center"/>
              <w:rPr>
                <w:rFonts w:ascii="Times New Roman" w:hAnsi="Times New Roman" w:cs="Times New Roman"/>
              </w:rPr>
            </w:pPr>
            <w:r>
              <w:rPr>
                <w:rFonts w:ascii="Times New Roman" w:hAnsi="Times New Roman" w:cs="Times New Roman"/>
              </w:rPr>
              <w:t>0.548</w:t>
            </w:r>
          </w:p>
        </w:tc>
      </w:tr>
      <w:tr w:rsidR="00E50B90" w:rsidRPr="004C2C2A" w:rsidTr="00FE3A2F">
        <w:trPr>
          <w:trHeight w:val="288"/>
        </w:trPr>
        <w:tc>
          <w:tcPr>
            <w:tcW w:w="1944" w:type="pct"/>
          </w:tcPr>
          <w:p w:rsidR="00E50B90" w:rsidRDefault="00E50B90" w:rsidP="00102375">
            <w:pPr>
              <w:rPr>
                <w:rFonts w:ascii="Times New Roman" w:hAnsi="Times New Roman" w:cs="Times New Roman"/>
              </w:rPr>
            </w:pPr>
            <w:r>
              <w:rPr>
                <w:rFonts w:ascii="Times New Roman" w:hAnsi="Times New Roman" w:cs="Times New Roman"/>
              </w:rPr>
              <w:t>Sciatica</w:t>
            </w:r>
          </w:p>
        </w:tc>
        <w:tc>
          <w:tcPr>
            <w:tcW w:w="836" w:type="pct"/>
          </w:tcPr>
          <w:p w:rsidR="00E50B90" w:rsidRPr="004C2C2A" w:rsidRDefault="008A0768" w:rsidP="00102375">
            <w:pPr>
              <w:jc w:val="center"/>
              <w:rPr>
                <w:rFonts w:ascii="Times New Roman" w:hAnsi="Times New Roman" w:cs="Times New Roman"/>
              </w:rPr>
            </w:pPr>
            <w:r>
              <w:rPr>
                <w:rFonts w:ascii="Times New Roman" w:hAnsi="Times New Roman" w:cs="Times New Roman"/>
              </w:rPr>
              <w:t>1.4 ± 0.5</w:t>
            </w:r>
          </w:p>
        </w:tc>
        <w:tc>
          <w:tcPr>
            <w:tcW w:w="828" w:type="pct"/>
          </w:tcPr>
          <w:p w:rsidR="00E50B90" w:rsidRPr="004C2C2A" w:rsidRDefault="006027C6" w:rsidP="00102375">
            <w:pPr>
              <w:jc w:val="center"/>
              <w:rPr>
                <w:rFonts w:ascii="Times New Roman" w:hAnsi="Times New Roman" w:cs="Times New Roman"/>
              </w:rPr>
            </w:pPr>
            <w:r>
              <w:rPr>
                <w:rFonts w:ascii="Times New Roman" w:hAnsi="Times New Roman" w:cs="Times New Roman"/>
              </w:rPr>
              <w:t>1.4 ± 0.5</w:t>
            </w:r>
          </w:p>
        </w:tc>
        <w:tc>
          <w:tcPr>
            <w:tcW w:w="836" w:type="pct"/>
          </w:tcPr>
          <w:p w:rsidR="00E50B90" w:rsidRPr="004C2C2A" w:rsidRDefault="006027C6" w:rsidP="00102375">
            <w:pPr>
              <w:jc w:val="center"/>
              <w:rPr>
                <w:rFonts w:ascii="Times New Roman" w:hAnsi="Times New Roman" w:cs="Times New Roman"/>
              </w:rPr>
            </w:pPr>
            <w:r>
              <w:rPr>
                <w:rFonts w:ascii="Times New Roman" w:hAnsi="Times New Roman" w:cs="Times New Roman"/>
              </w:rPr>
              <w:t>1.5 ± 0.3</w:t>
            </w:r>
          </w:p>
        </w:tc>
        <w:tc>
          <w:tcPr>
            <w:tcW w:w="556" w:type="pct"/>
          </w:tcPr>
          <w:p w:rsidR="00E50B90" w:rsidRDefault="003C540E" w:rsidP="00102375">
            <w:pPr>
              <w:jc w:val="center"/>
              <w:rPr>
                <w:rFonts w:ascii="Times New Roman" w:hAnsi="Times New Roman" w:cs="Times New Roman"/>
              </w:rPr>
            </w:pPr>
            <w:r>
              <w:rPr>
                <w:rFonts w:ascii="Times New Roman" w:hAnsi="Times New Roman" w:cs="Times New Roman"/>
              </w:rPr>
              <w:t>0.924</w:t>
            </w:r>
          </w:p>
        </w:tc>
      </w:tr>
      <w:tr w:rsidR="00E50B90" w:rsidRPr="004C2C2A" w:rsidTr="00FE3A2F">
        <w:trPr>
          <w:trHeight w:val="288"/>
        </w:trPr>
        <w:tc>
          <w:tcPr>
            <w:tcW w:w="1944" w:type="pct"/>
          </w:tcPr>
          <w:p w:rsidR="00E50B90" w:rsidRDefault="00E50B90" w:rsidP="00102375">
            <w:pPr>
              <w:rPr>
                <w:rFonts w:ascii="Times New Roman" w:hAnsi="Times New Roman" w:cs="Times New Roman"/>
              </w:rPr>
            </w:pPr>
            <w:r>
              <w:rPr>
                <w:rFonts w:ascii="Times New Roman" w:hAnsi="Times New Roman" w:cs="Times New Roman"/>
              </w:rPr>
              <w:t>Thoracic/Lumbosacral Radiculitis</w:t>
            </w:r>
          </w:p>
        </w:tc>
        <w:tc>
          <w:tcPr>
            <w:tcW w:w="836" w:type="pct"/>
          </w:tcPr>
          <w:p w:rsidR="00E50B90" w:rsidRPr="004C2C2A" w:rsidRDefault="008A0768" w:rsidP="00102375">
            <w:pPr>
              <w:jc w:val="center"/>
              <w:rPr>
                <w:rFonts w:ascii="Times New Roman" w:hAnsi="Times New Roman" w:cs="Times New Roman"/>
              </w:rPr>
            </w:pPr>
            <w:r>
              <w:rPr>
                <w:rFonts w:ascii="Times New Roman" w:hAnsi="Times New Roman" w:cs="Times New Roman"/>
              </w:rPr>
              <w:t>2.5 ± 0.4</w:t>
            </w:r>
          </w:p>
        </w:tc>
        <w:tc>
          <w:tcPr>
            <w:tcW w:w="828" w:type="pct"/>
          </w:tcPr>
          <w:p w:rsidR="00E50B90" w:rsidRPr="004C2C2A" w:rsidRDefault="006027C6" w:rsidP="00102375">
            <w:pPr>
              <w:jc w:val="center"/>
              <w:rPr>
                <w:rFonts w:ascii="Times New Roman" w:hAnsi="Times New Roman" w:cs="Times New Roman"/>
              </w:rPr>
            </w:pPr>
            <w:r>
              <w:rPr>
                <w:rFonts w:ascii="Times New Roman" w:hAnsi="Times New Roman" w:cs="Times New Roman"/>
              </w:rPr>
              <w:t>2.5 ± 0.4</w:t>
            </w:r>
          </w:p>
        </w:tc>
        <w:tc>
          <w:tcPr>
            <w:tcW w:w="836" w:type="pct"/>
          </w:tcPr>
          <w:p w:rsidR="00E50B90" w:rsidRPr="004C2C2A" w:rsidRDefault="006027C6" w:rsidP="00102375">
            <w:pPr>
              <w:jc w:val="center"/>
              <w:rPr>
                <w:rFonts w:ascii="Times New Roman" w:hAnsi="Times New Roman" w:cs="Times New Roman"/>
              </w:rPr>
            </w:pPr>
            <w:r>
              <w:rPr>
                <w:rFonts w:ascii="Times New Roman" w:hAnsi="Times New Roman" w:cs="Times New Roman"/>
              </w:rPr>
              <w:t>2.6 ± 0.4</w:t>
            </w:r>
          </w:p>
        </w:tc>
        <w:tc>
          <w:tcPr>
            <w:tcW w:w="556" w:type="pct"/>
          </w:tcPr>
          <w:p w:rsidR="00E50B90" w:rsidRDefault="003C540E" w:rsidP="00102375">
            <w:pPr>
              <w:jc w:val="center"/>
              <w:rPr>
                <w:rFonts w:ascii="Times New Roman" w:hAnsi="Times New Roman" w:cs="Times New Roman"/>
              </w:rPr>
            </w:pPr>
            <w:r>
              <w:rPr>
                <w:rFonts w:ascii="Times New Roman" w:hAnsi="Times New Roman" w:cs="Times New Roman"/>
              </w:rPr>
              <w:t>0.584</w:t>
            </w:r>
          </w:p>
        </w:tc>
      </w:tr>
      <w:tr w:rsidR="005B3A68" w:rsidRPr="004C2C2A" w:rsidTr="00FE3A2F">
        <w:trPr>
          <w:trHeight w:val="288"/>
        </w:trPr>
        <w:tc>
          <w:tcPr>
            <w:tcW w:w="1944" w:type="pct"/>
          </w:tcPr>
          <w:p w:rsidR="005B3A68" w:rsidRDefault="00E50B90" w:rsidP="00102375">
            <w:pPr>
              <w:rPr>
                <w:rFonts w:ascii="Times New Roman" w:hAnsi="Times New Roman" w:cs="Times New Roman"/>
              </w:rPr>
            </w:pPr>
            <w:r>
              <w:rPr>
                <w:rFonts w:ascii="Times New Roman" w:hAnsi="Times New Roman" w:cs="Times New Roman"/>
              </w:rPr>
              <w:t>Backache</w:t>
            </w:r>
          </w:p>
        </w:tc>
        <w:tc>
          <w:tcPr>
            <w:tcW w:w="836" w:type="pct"/>
          </w:tcPr>
          <w:p w:rsidR="005B3A68" w:rsidRDefault="008A0768" w:rsidP="00102375">
            <w:pPr>
              <w:jc w:val="center"/>
              <w:rPr>
                <w:rFonts w:ascii="Times New Roman" w:hAnsi="Times New Roman" w:cs="Times New Roman"/>
              </w:rPr>
            </w:pPr>
            <w:r>
              <w:rPr>
                <w:rFonts w:ascii="Times New Roman" w:hAnsi="Times New Roman" w:cs="Times New Roman"/>
              </w:rPr>
              <w:t>8.0 ± 1.9</w:t>
            </w:r>
          </w:p>
        </w:tc>
        <w:tc>
          <w:tcPr>
            <w:tcW w:w="828" w:type="pct"/>
          </w:tcPr>
          <w:p w:rsidR="005B3A68" w:rsidRDefault="006027C6" w:rsidP="00102375">
            <w:pPr>
              <w:jc w:val="center"/>
              <w:rPr>
                <w:rFonts w:ascii="Times New Roman" w:hAnsi="Times New Roman" w:cs="Times New Roman"/>
              </w:rPr>
            </w:pPr>
            <w:r>
              <w:rPr>
                <w:rFonts w:ascii="Times New Roman" w:hAnsi="Times New Roman" w:cs="Times New Roman"/>
              </w:rPr>
              <w:t>7.9 ± 1.9</w:t>
            </w:r>
          </w:p>
        </w:tc>
        <w:tc>
          <w:tcPr>
            <w:tcW w:w="836" w:type="pct"/>
          </w:tcPr>
          <w:p w:rsidR="005B3A68" w:rsidRDefault="006027C6" w:rsidP="00102375">
            <w:pPr>
              <w:jc w:val="center"/>
              <w:rPr>
                <w:rFonts w:ascii="Times New Roman" w:hAnsi="Times New Roman" w:cs="Times New Roman"/>
              </w:rPr>
            </w:pPr>
            <w:r>
              <w:rPr>
                <w:rFonts w:ascii="Times New Roman" w:hAnsi="Times New Roman" w:cs="Times New Roman"/>
              </w:rPr>
              <w:t>8.5 ± 2.1</w:t>
            </w:r>
          </w:p>
        </w:tc>
        <w:tc>
          <w:tcPr>
            <w:tcW w:w="556" w:type="pct"/>
          </w:tcPr>
          <w:p w:rsidR="005B3A68" w:rsidRDefault="003C540E" w:rsidP="00102375">
            <w:pPr>
              <w:jc w:val="center"/>
              <w:rPr>
                <w:rFonts w:ascii="Times New Roman" w:hAnsi="Times New Roman" w:cs="Times New Roman"/>
              </w:rPr>
            </w:pPr>
            <w:r>
              <w:rPr>
                <w:rFonts w:ascii="Times New Roman" w:hAnsi="Times New Roman" w:cs="Times New Roman"/>
              </w:rPr>
              <w:t>0.535</w:t>
            </w:r>
          </w:p>
        </w:tc>
      </w:tr>
    </w:tbl>
    <w:p w:rsidR="004F1DC7" w:rsidRDefault="004F1DC7" w:rsidP="00F22E01">
      <w:pPr>
        <w:ind w:left="-630" w:right="-720"/>
        <w:rPr>
          <w:sz w:val="22"/>
          <w:szCs w:val="22"/>
          <w:vertAlign w:val="superscript"/>
        </w:rPr>
      </w:pPr>
    </w:p>
    <w:p w:rsidR="00604A56" w:rsidRDefault="00604A56" w:rsidP="00254C74">
      <w:pPr>
        <w:ind w:left="-990" w:right="-990"/>
        <w:rPr>
          <w:sz w:val="22"/>
          <w:szCs w:val="22"/>
        </w:rPr>
      </w:pPr>
      <w:r w:rsidRPr="0079439E">
        <w:rPr>
          <w:sz w:val="22"/>
          <w:szCs w:val="22"/>
        </w:rPr>
        <w:t xml:space="preserve">Mean and standard deviation are provided for all continuous variables and stratified based on medically underserved area (MUA) status. Linear regression analysis was performed to compare outcomes based on MUA status. These analyses were performed for five-year </w:t>
      </w:r>
      <w:r w:rsidR="00C85BF4">
        <w:rPr>
          <w:sz w:val="22"/>
          <w:szCs w:val="22"/>
        </w:rPr>
        <w:t xml:space="preserve">prevalence data </w:t>
      </w:r>
      <w:r w:rsidRPr="0079439E">
        <w:rPr>
          <w:sz w:val="22"/>
          <w:szCs w:val="22"/>
        </w:rPr>
        <w:t>(January 1,</w:t>
      </w:r>
      <w:r w:rsidR="004223CC" w:rsidRPr="0079439E">
        <w:rPr>
          <w:sz w:val="22"/>
          <w:szCs w:val="22"/>
        </w:rPr>
        <w:t xml:space="preserve"> </w:t>
      </w:r>
      <w:r w:rsidRPr="0079439E">
        <w:rPr>
          <w:sz w:val="22"/>
          <w:szCs w:val="22"/>
        </w:rPr>
        <w:t>2011 to January 1, 2016). These prevalence values were directly standardized based on age and sex to the total United States 2010 population.</w:t>
      </w:r>
    </w:p>
    <w:p w:rsidR="004629BC" w:rsidRDefault="004629BC" w:rsidP="00254C74">
      <w:pPr>
        <w:ind w:left="-990" w:right="-990"/>
        <w:rPr>
          <w:sz w:val="22"/>
          <w:szCs w:val="22"/>
        </w:rPr>
      </w:pPr>
    </w:p>
    <w:p w:rsidR="006115F9" w:rsidRDefault="006115F9" w:rsidP="00254C74">
      <w:pPr>
        <w:ind w:left="-990" w:right="-990"/>
        <w:rPr>
          <w:sz w:val="22"/>
          <w:szCs w:val="22"/>
        </w:rPr>
      </w:pPr>
      <w:bookmarkStart w:id="0" w:name="_GoBack"/>
      <w:bookmarkEnd w:id="0"/>
    </w:p>
    <w:p w:rsidR="004629BC" w:rsidRPr="003368D7" w:rsidRDefault="003368D7" w:rsidP="003368D7">
      <w:pPr>
        <w:ind w:left="-990" w:right="-990"/>
        <w:rPr>
          <w:rFonts w:ascii="Times New Roman" w:hAnsi="Times New Roman" w:cs="Times New Roman"/>
          <w:b/>
        </w:rPr>
      </w:pPr>
      <w:r>
        <w:rPr>
          <w:rFonts w:ascii="Times New Roman" w:hAnsi="Times New Roman" w:cs="Times New Roman"/>
          <w:b/>
        </w:rPr>
        <w:t>Supplemental Table 2</w:t>
      </w:r>
      <w:r>
        <w:rPr>
          <w:rFonts w:ascii="Times New Roman" w:hAnsi="Times New Roman" w:cs="Times New Roman"/>
          <w:b/>
        </w:rPr>
        <w:t xml:space="preserve">. </w:t>
      </w:r>
      <w:r>
        <w:rPr>
          <w:rFonts w:ascii="Times New Roman" w:hAnsi="Times New Roman" w:cs="Times New Roman"/>
          <w:b/>
        </w:rPr>
        <w:t>Association Between IMU Score and Outcomes of Spine-Related Disorders</w:t>
      </w:r>
    </w:p>
    <w:tbl>
      <w:tblPr>
        <w:tblStyle w:val="TableGridLight1"/>
        <w:tblW w:w="5921" w:type="pct"/>
        <w:tblInd w:w="-882" w:type="dxa"/>
        <w:tblLook w:val="04A0" w:firstRow="1" w:lastRow="0" w:firstColumn="1" w:lastColumn="0" w:noHBand="0" w:noVBand="1"/>
      </w:tblPr>
      <w:tblGrid>
        <w:gridCol w:w="4409"/>
        <w:gridCol w:w="5670"/>
        <w:gridCol w:w="1261"/>
      </w:tblGrid>
      <w:tr w:rsidR="004629BC" w:rsidRPr="004C2C2A" w:rsidTr="00FF5271">
        <w:trPr>
          <w:trHeight w:val="288"/>
        </w:trPr>
        <w:tc>
          <w:tcPr>
            <w:tcW w:w="5000" w:type="pct"/>
            <w:gridSpan w:val="3"/>
            <w:tcBorders>
              <w:bottom w:val="single" w:sz="4" w:space="0" w:color="auto"/>
            </w:tcBorders>
            <w:shd w:val="clear" w:color="auto" w:fill="D9D9D9" w:themeFill="background1" w:themeFillShade="D9"/>
          </w:tcPr>
          <w:p w:rsidR="004629BC" w:rsidRDefault="004629BC" w:rsidP="00FF5271">
            <w:pPr>
              <w:rPr>
                <w:rFonts w:ascii="Times New Roman" w:hAnsi="Times New Roman" w:cs="Times New Roman"/>
                <w:b/>
              </w:rPr>
            </w:pPr>
          </w:p>
          <w:p w:rsidR="004629BC" w:rsidRDefault="004629BC" w:rsidP="00FF5271">
            <w:pPr>
              <w:rPr>
                <w:rFonts w:ascii="Times New Roman" w:hAnsi="Times New Roman" w:cs="Times New Roman"/>
                <w:b/>
              </w:rPr>
            </w:pPr>
            <w:r>
              <w:rPr>
                <w:rFonts w:ascii="Times New Roman" w:hAnsi="Times New Roman" w:cs="Times New Roman"/>
                <w:b/>
              </w:rPr>
              <w:t>Five-year Prevalence</w:t>
            </w:r>
          </w:p>
        </w:tc>
      </w:tr>
      <w:tr w:rsidR="004629BC" w:rsidRPr="004C2C2A" w:rsidTr="00FF5271">
        <w:trPr>
          <w:trHeight w:val="288"/>
        </w:trPr>
        <w:tc>
          <w:tcPr>
            <w:tcW w:w="1944" w:type="pct"/>
            <w:tcBorders>
              <w:top w:val="single" w:sz="4" w:space="0" w:color="auto"/>
              <w:bottom w:val="single" w:sz="4" w:space="0" w:color="auto"/>
            </w:tcBorders>
          </w:tcPr>
          <w:p w:rsidR="004629BC" w:rsidRDefault="004629BC" w:rsidP="00FF5271">
            <w:pPr>
              <w:rPr>
                <w:rFonts w:ascii="Times New Roman" w:hAnsi="Times New Roman" w:cs="Times New Roman"/>
                <w:b/>
              </w:rPr>
            </w:pPr>
          </w:p>
          <w:p w:rsidR="004629BC" w:rsidRDefault="004629BC" w:rsidP="00FF5271">
            <w:pPr>
              <w:rPr>
                <w:rFonts w:ascii="Times New Roman" w:hAnsi="Times New Roman" w:cs="Times New Roman"/>
                <w:b/>
              </w:rPr>
            </w:pPr>
            <w:r>
              <w:rPr>
                <w:rFonts w:ascii="Times New Roman" w:hAnsi="Times New Roman" w:cs="Times New Roman"/>
                <w:b/>
              </w:rPr>
              <w:t xml:space="preserve">Pain Symptoms </w:t>
            </w:r>
          </w:p>
          <w:p w:rsidR="004629BC" w:rsidRPr="004C2C2A" w:rsidRDefault="004629BC" w:rsidP="00FF5271">
            <w:pPr>
              <w:rPr>
                <w:rFonts w:ascii="Times New Roman" w:hAnsi="Times New Roman" w:cs="Times New Roman"/>
                <w:b/>
              </w:rPr>
            </w:pPr>
            <w:r>
              <w:rPr>
                <w:rFonts w:ascii="Times New Roman" w:hAnsi="Times New Roman" w:cs="Times New Roman"/>
                <w:b/>
              </w:rPr>
              <w:t>(prevalence per 100 people)</w:t>
            </w:r>
          </w:p>
        </w:tc>
        <w:tc>
          <w:tcPr>
            <w:tcW w:w="2500" w:type="pct"/>
            <w:tcBorders>
              <w:top w:val="single" w:sz="4" w:space="0" w:color="auto"/>
              <w:bottom w:val="single" w:sz="4" w:space="0" w:color="auto"/>
            </w:tcBorders>
          </w:tcPr>
          <w:p w:rsidR="004629BC" w:rsidRDefault="004629BC" w:rsidP="00FF5271">
            <w:pPr>
              <w:jc w:val="center"/>
              <w:rPr>
                <w:rFonts w:ascii="Times New Roman" w:hAnsi="Times New Roman" w:cs="Times New Roman"/>
                <w:b/>
              </w:rPr>
            </w:pPr>
          </w:p>
          <w:p w:rsidR="004629BC" w:rsidRDefault="004629BC" w:rsidP="00FF5271">
            <w:pPr>
              <w:jc w:val="center"/>
              <w:rPr>
                <w:rFonts w:ascii="Times New Roman" w:hAnsi="Times New Roman" w:cs="Times New Roman"/>
                <w:b/>
              </w:rPr>
            </w:pPr>
          </w:p>
          <w:p w:rsidR="004629BC" w:rsidRPr="004F1DC7" w:rsidRDefault="004629BC" w:rsidP="00FF5271">
            <w:pPr>
              <w:jc w:val="center"/>
              <w:rPr>
                <w:rFonts w:ascii="Times New Roman" w:hAnsi="Times New Roman" w:cs="Times New Roman"/>
                <w:b/>
              </w:rPr>
            </w:pPr>
            <w:r>
              <w:rPr>
                <w:rFonts w:ascii="Times New Roman" w:hAnsi="Times New Roman" w:cs="Times New Roman"/>
                <w:b/>
              </w:rPr>
              <w:t>Β-coefficient (95% C.I.)</w:t>
            </w:r>
          </w:p>
        </w:tc>
        <w:tc>
          <w:tcPr>
            <w:tcW w:w="556" w:type="pct"/>
            <w:tcBorders>
              <w:top w:val="single" w:sz="4" w:space="0" w:color="auto"/>
              <w:bottom w:val="single" w:sz="4" w:space="0" w:color="auto"/>
            </w:tcBorders>
          </w:tcPr>
          <w:p w:rsidR="004629BC" w:rsidRDefault="004629BC" w:rsidP="00FF5271">
            <w:pPr>
              <w:jc w:val="center"/>
              <w:rPr>
                <w:rFonts w:ascii="Times New Roman" w:hAnsi="Times New Roman" w:cs="Times New Roman"/>
                <w:b/>
                <w:i/>
              </w:rPr>
            </w:pPr>
          </w:p>
          <w:p w:rsidR="004629BC" w:rsidRDefault="004629BC" w:rsidP="00FF5271">
            <w:pPr>
              <w:jc w:val="center"/>
              <w:rPr>
                <w:rFonts w:ascii="Times New Roman" w:hAnsi="Times New Roman" w:cs="Times New Roman"/>
                <w:b/>
                <w:i/>
              </w:rPr>
            </w:pPr>
          </w:p>
          <w:p w:rsidR="004629BC" w:rsidRPr="004F1DC7" w:rsidRDefault="004629BC" w:rsidP="00FF5271">
            <w:pPr>
              <w:jc w:val="center"/>
              <w:rPr>
                <w:rFonts w:ascii="Times New Roman" w:hAnsi="Times New Roman" w:cs="Times New Roman"/>
                <w:b/>
              </w:rPr>
            </w:pPr>
            <w:r w:rsidRPr="004F1DC7">
              <w:rPr>
                <w:rFonts w:ascii="Times New Roman" w:hAnsi="Times New Roman" w:cs="Times New Roman"/>
                <w:b/>
                <w:i/>
              </w:rPr>
              <w:t>P</w:t>
            </w:r>
            <w:r w:rsidRPr="004F1DC7">
              <w:rPr>
                <w:rFonts w:ascii="Times New Roman" w:hAnsi="Times New Roman" w:cs="Times New Roman"/>
                <w:b/>
              </w:rPr>
              <w:t xml:space="preserve"> value</w:t>
            </w:r>
          </w:p>
        </w:tc>
      </w:tr>
      <w:tr w:rsidR="004629BC" w:rsidRPr="004C2C2A" w:rsidTr="00FF5271">
        <w:trPr>
          <w:trHeight w:val="288"/>
        </w:trPr>
        <w:tc>
          <w:tcPr>
            <w:tcW w:w="1944" w:type="pct"/>
          </w:tcPr>
          <w:p w:rsidR="004629BC" w:rsidRDefault="004629BC" w:rsidP="00FF5271">
            <w:pPr>
              <w:rPr>
                <w:rFonts w:ascii="Times New Roman" w:hAnsi="Times New Roman" w:cs="Times New Roman"/>
              </w:rPr>
            </w:pPr>
            <w:r>
              <w:rPr>
                <w:rFonts w:ascii="Times New Roman" w:hAnsi="Times New Roman" w:cs="Times New Roman"/>
              </w:rPr>
              <w:t>Lumbago</w:t>
            </w:r>
          </w:p>
        </w:tc>
        <w:tc>
          <w:tcPr>
            <w:tcW w:w="2500" w:type="pct"/>
          </w:tcPr>
          <w:p w:rsidR="004629BC" w:rsidRPr="004C2C2A" w:rsidRDefault="004629BC" w:rsidP="00FF5271">
            <w:pPr>
              <w:jc w:val="center"/>
              <w:rPr>
                <w:rFonts w:ascii="Times New Roman" w:hAnsi="Times New Roman" w:cs="Times New Roman"/>
              </w:rPr>
            </w:pPr>
            <w:r>
              <w:rPr>
                <w:rFonts w:ascii="Times New Roman" w:hAnsi="Times New Roman" w:cs="Times New Roman"/>
              </w:rPr>
              <w:t>-0.05 (-0.16 – 0.06)</w:t>
            </w:r>
          </w:p>
        </w:tc>
        <w:tc>
          <w:tcPr>
            <w:tcW w:w="556" w:type="pct"/>
          </w:tcPr>
          <w:p w:rsidR="004629BC" w:rsidRDefault="004629BC" w:rsidP="00FF5271">
            <w:pPr>
              <w:jc w:val="center"/>
              <w:rPr>
                <w:rFonts w:ascii="Times New Roman" w:hAnsi="Times New Roman" w:cs="Times New Roman"/>
              </w:rPr>
            </w:pPr>
            <w:r>
              <w:rPr>
                <w:rFonts w:ascii="Times New Roman" w:hAnsi="Times New Roman" w:cs="Times New Roman"/>
              </w:rPr>
              <w:t>0.379</w:t>
            </w:r>
          </w:p>
        </w:tc>
      </w:tr>
      <w:tr w:rsidR="004629BC" w:rsidRPr="004C2C2A" w:rsidTr="00FF5271">
        <w:trPr>
          <w:trHeight w:val="288"/>
        </w:trPr>
        <w:tc>
          <w:tcPr>
            <w:tcW w:w="1944" w:type="pct"/>
          </w:tcPr>
          <w:p w:rsidR="004629BC" w:rsidRPr="004C2C2A" w:rsidRDefault="004629BC" w:rsidP="00FF5271">
            <w:pPr>
              <w:rPr>
                <w:rFonts w:ascii="Times New Roman" w:hAnsi="Times New Roman" w:cs="Times New Roman"/>
              </w:rPr>
            </w:pPr>
            <w:r>
              <w:rPr>
                <w:rFonts w:ascii="Times New Roman" w:hAnsi="Times New Roman" w:cs="Times New Roman"/>
              </w:rPr>
              <w:t>Spondylosis</w:t>
            </w:r>
          </w:p>
        </w:tc>
        <w:tc>
          <w:tcPr>
            <w:tcW w:w="2500" w:type="pct"/>
          </w:tcPr>
          <w:p w:rsidR="004629BC" w:rsidRPr="004C2C2A" w:rsidRDefault="004629BC" w:rsidP="00FF5271">
            <w:pPr>
              <w:jc w:val="center"/>
              <w:rPr>
                <w:rFonts w:ascii="Times New Roman" w:hAnsi="Times New Roman" w:cs="Times New Roman"/>
              </w:rPr>
            </w:pPr>
            <w:r>
              <w:rPr>
                <w:rFonts w:ascii="Times New Roman" w:hAnsi="Times New Roman" w:cs="Times New Roman"/>
              </w:rPr>
              <w:t>0.02 (-0.06 – 0.10)</w:t>
            </w:r>
          </w:p>
        </w:tc>
        <w:tc>
          <w:tcPr>
            <w:tcW w:w="556" w:type="pct"/>
          </w:tcPr>
          <w:p w:rsidR="004629BC" w:rsidRDefault="004629BC" w:rsidP="00FF5271">
            <w:pPr>
              <w:jc w:val="center"/>
              <w:rPr>
                <w:rFonts w:ascii="Times New Roman" w:hAnsi="Times New Roman" w:cs="Times New Roman"/>
              </w:rPr>
            </w:pPr>
            <w:r>
              <w:rPr>
                <w:rFonts w:ascii="Times New Roman" w:hAnsi="Times New Roman" w:cs="Times New Roman"/>
              </w:rPr>
              <w:t>0.622</w:t>
            </w:r>
          </w:p>
        </w:tc>
      </w:tr>
      <w:tr w:rsidR="004629BC" w:rsidRPr="004C2C2A" w:rsidTr="00FF5271">
        <w:trPr>
          <w:trHeight w:val="288"/>
        </w:trPr>
        <w:tc>
          <w:tcPr>
            <w:tcW w:w="1944" w:type="pct"/>
          </w:tcPr>
          <w:p w:rsidR="004629BC" w:rsidRDefault="004629BC" w:rsidP="00FF5271">
            <w:pPr>
              <w:rPr>
                <w:rFonts w:ascii="Times New Roman" w:hAnsi="Times New Roman" w:cs="Times New Roman"/>
              </w:rPr>
            </w:pPr>
            <w:r>
              <w:rPr>
                <w:rFonts w:ascii="Times New Roman" w:hAnsi="Times New Roman" w:cs="Times New Roman"/>
              </w:rPr>
              <w:t>Intervertebral Disc Disorders</w:t>
            </w:r>
          </w:p>
        </w:tc>
        <w:tc>
          <w:tcPr>
            <w:tcW w:w="2500" w:type="pct"/>
          </w:tcPr>
          <w:p w:rsidR="004629BC" w:rsidRPr="004C2C2A" w:rsidRDefault="004629BC" w:rsidP="00FF5271">
            <w:pPr>
              <w:jc w:val="center"/>
              <w:rPr>
                <w:rFonts w:ascii="Times New Roman" w:hAnsi="Times New Roman" w:cs="Times New Roman"/>
              </w:rPr>
            </w:pPr>
            <w:r>
              <w:rPr>
                <w:rFonts w:ascii="Times New Roman" w:hAnsi="Times New Roman" w:cs="Times New Roman"/>
              </w:rPr>
              <w:t>-0.03 (-0.09 – 0.04)</w:t>
            </w:r>
          </w:p>
        </w:tc>
        <w:tc>
          <w:tcPr>
            <w:tcW w:w="556" w:type="pct"/>
          </w:tcPr>
          <w:p w:rsidR="004629BC" w:rsidRDefault="004629BC" w:rsidP="00FF5271">
            <w:pPr>
              <w:jc w:val="center"/>
              <w:rPr>
                <w:rFonts w:ascii="Times New Roman" w:hAnsi="Times New Roman" w:cs="Times New Roman"/>
              </w:rPr>
            </w:pPr>
            <w:r>
              <w:rPr>
                <w:rFonts w:ascii="Times New Roman" w:hAnsi="Times New Roman" w:cs="Times New Roman"/>
              </w:rPr>
              <w:t>0.365</w:t>
            </w:r>
          </w:p>
        </w:tc>
      </w:tr>
      <w:tr w:rsidR="004629BC" w:rsidRPr="004C2C2A" w:rsidTr="00FF5271">
        <w:trPr>
          <w:trHeight w:val="288"/>
        </w:trPr>
        <w:tc>
          <w:tcPr>
            <w:tcW w:w="1944" w:type="pct"/>
          </w:tcPr>
          <w:p w:rsidR="004629BC" w:rsidRDefault="004629BC" w:rsidP="00FF5271">
            <w:pPr>
              <w:rPr>
                <w:rFonts w:ascii="Times New Roman" w:hAnsi="Times New Roman" w:cs="Times New Roman"/>
              </w:rPr>
            </w:pPr>
            <w:r>
              <w:rPr>
                <w:rFonts w:ascii="Times New Roman" w:hAnsi="Times New Roman" w:cs="Times New Roman"/>
              </w:rPr>
              <w:t>Cervical Radiculitis</w:t>
            </w:r>
          </w:p>
        </w:tc>
        <w:tc>
          <w:tcPr>
            <w:tcW w:w="2500" w:type="pct"/>
          </w:tcPr>
          <w:p w:rsidR="004629BC" w:rsidRPr="004C2C2A" w:rsidRDefault="004629BC" w:rsidP="00FF5271">
            <w:pPr>
              <w:jc w:val="center"/>
              <w:rPr>
                <w:rFonts w:ascii="Times New Roman" w:hAnsi="Times New Roman" w:cs="Times New Roman"/>
              </w:rPr>
            </w:pPr>
            <w:r>
              <w:rPr>
                <w:rFonts w:ascii="Times New Roman" w:hAnsi="Times New Roman" w:cs="Times New Roman"/>
              </w:rPr>
              <w:t>0.00 (-0.01 – 0.00)</w:t>
            </w:r>
          </w:p>
        </w:tc>
        <w:tc>
          <w:tcPr>
            <w:tcW w:w="556" w:type="pct"/>
          </w:tcPr>
          <w:p w:rsidR="004629BC" w:rsidRDefault="004629BC" w:rsidP="00FF5271">
            <w:pPr>
              <w:jc w:val="center"/>
              <w:rPr>
                <w:rFonts w:ascii="Times New Roman" w:hAnsi="Times New Roman" w:cs="Times New Roman"/>
              </w:rPr>
            </w:pPr>
            <w:r>
              <w:rPr>
                <w:rFonts w:ascii="Times New Roman" w:hAnsi="Times New Roman" w:cs="Times New Roman"/>
              </w:rPr>
              <w:t>0.290</w:t>
            </w:r>
          </w:p>
        </w:tc>
      </w:tr>
      <w:tr w:rsidR="004629BC" w:rsidRPr="004C2C2A" w:rsidTr="00FF5271">
        <w:trPr>
          <w:trHeight w:val="288"/>
        </w:trPr>
        <w:tc>
          <w:tcPr>
            <w:tcW w:w="1944" w:type="pct"/>
          </w:tcPr>
          <w:p w:rsidR="004629BC" w:rsidRDefault="004629BC" w:rsidP="00FF5271">
            <w:pPr>
              <w:rPr>
                <w:rFonts w:ascii="Times New Roman" w:hAnsi="Times New Roman" w:cs="Times New Roman"/>
              </w:rPr>
            </w:pPr>
            <w:r>
              <w:rPr>
                <w:rFonts w:ascii="Times New Roman" w:hAnsi="Times New Roman" w:cs="Times New Roman"/>
              </w:rPr>
              <w:t>Lumbar Spinal Stenosis</w:t>
            </w:r>
          </w:p>
        </w:tc>
        <w:tc>
          <w:tcPr>
            <w:tcW w:w="2500" w:type="pct"/>
          </w:tcPr>
          <w:p w:rsidR="004629BC" w:rsidRPr="004C2C2A" w:rsidRDefault="004629BC" w:rsidP="00FF5271">
            <w:pPr>
              <w:jc w:val="center"/>
              <w:rPr>
                <w:rFonts w:ascii="Times New Roman" w:hAnsi="Times New Roman" w:cs="Times New Roman"/>
              </w:rPr>
            </w:pPr>
            <w:r>
              <w:rPr>
                <w:rFonts w:ascii="Times New Roman" w:hAnsi="Times New Roman" w:cs="Times New Roman"/>
              </w:rPr>
              <w:t>0.00 (-0.01 – 0.01)</w:t>
            </w:r>
          </w:p>
        </w:tc>
        <w:tc>
          <w:tcPr>
            <w:tcW w:w="556" w:type="pct"/>
          </w:tcPr>
          <w:p w:rsidR="004629BC" w:rsidRDefault="004629BC" w:rsidP="00FF5271">
            <w:pPr>
              <w:jc w:val="center"/>
              <w:rPr>
                <w:rFonts w:ascii="Times New Roman" w:hAnsi="Times New Roman" w:cs="Times New Roman"/>
              </w:rPr>
            </w:pPr>
            <w:r>
              <w:rPr>
                <w:rFonts w:ascii="Times New Roman" w:hAnsi="Times New Roman" w:cs="Times New Roman"/>
              </w:rPr>
              <w:t>0.684</w:t>
            </w:r>
          </w:p>
        </w:tc>
      </w:tr>
      <w:tr w:rsidR="004629BC" w:rsidRPr="004C2C2A" w:rsidTr="00FF5271">
        <w:trPr>
          <w:trHeight w:val="288"/>
        </w:trPr>
        <w:tc>
          <w:tcPr>
            <w:tcW w:w="1944" w:type="pct"/>
          </w:tcPr>
          <w:p w:rsidR="004629BC" w:rsidRDefault="004629BC" w:rsidP="00FF5271">
            <w:pPr>
              <w:rPr>
                <w:rFonts w:ascii="Times New Roman" w:hAnsi="Times New Roman" w:cs="Times New Roman"/>
              </w:rPr>
            </w:pPr>
            <w:r>
              <w:rPr>
                <w:rFonts w:ascii="Times New Roman" w:hAnsi="Times New Roman" w:cs="Times New Roman"/>
              </w:rPr>
              <w:t>Sciatica</w:t>
            </w:r>
          </w:p>
        </w:tc>
        <w:tc>
          <w:tcPr>
            <w:tcW w:w="2500" w:type="pct"/>
          </w:tcPr>
          <w:p w:rsidR="004629BC" w:rsidRDefault="004629BC" w:rsidP="00FF5271">
            <w:pPr>
              <w:jc w:val="center"/>
              <w:rPr>
                <w:rFonts w:ascii="Times New Roman" w:hAnsi="Times New Roman" w:cs="Times New Roman"/>
              </w:rPr>
            </w:pPr>
            <w:r>
              <w:rPr>
                <w:rFonts w:ascii="Times New Roman" w:hAnsi="Times New Roman" w:cs="Times New Roman"/>
              </w:rPr>
              <w:t>-0.01 (-0.04 – 0.02)</w:t>
            </w:r>
          </w:p>
        </w:tc>
        <w:tc>
          <w:tcPr>
            <w:tcW w:w="556" w:type="pct"/>
          </w:tcPr>
          <w:p w:rsidR="004629BC" w:rsidRDefault="004629BC" w:rsidP="00FF5271">
            <w:pPr>
              <w:jc w:val="center"/>
              <w:rPr>
                <w:rFonts w:ascii="Times New Roman" w:hAnsi="Times New Roman" w:cs="Times New Roman"/>
              </w:rPr>
            </w:pPr>
            <w:r>
              <w:rPr>
                <w:rFonts w:ascii="Times New Roman" w:hAnsi="Times New Roman" w:cs="Times New Roman"/>
              </w:rPr>
              <w:t>0.372</w:t>
            </w:r>
          </w:p>
        </w:tc>
      </w:tr>
      <w:tr w:rsidR="004629BC" w:rsidRPr="004C2C2A" w:rsidTr="00FF5271">
        <w:trPr>
          <w:trHeight w:val="288"/>
        </w:trPr>
        <w:tc>
          <w:tcPr>
            <w:tcW w:w="1944" w:type="pct"/>
          </w:tcPr>
          <w:p w:rsidR="004629BC" w:rsidRDefault="004629BC" w:rsidP="00FF5271">
            <w:pPr>
              <w:rPr>
                <w:rFonts w:ascii="Times New Roman" w:hAnsi="Times New Roman" w:cs="Times New Roman"/>
              </w:rPr>
            </w:pPr>
            <w:r>
              <w:rPr>
                <w:rFonts w:ascii="Times New Roman" w:hAnsi="Times New Roman" w:cs="Times New Roman"/>
              </w:rPr>
              <w:t>Thoracic/Lumbosacral Radiculitis</w:t>
            </w:r>
          </w:p>
        </w:tc>
        <w:tc>
          <w:tcPr>
            <w:tcW w:w="2500" w:type="pct"/>
          </w:tcPr>
          <w:p w:rsidR="004629BC" w:rsidRDefault="004629BC" w:rsidP="00FF5271">
            <w:pPr>
              <w:jc w:val="center"/>
              <w:rPr>
                <w:rFonts w:ascii="Times New Roman" w:hAnsi="Times New Roman" w:cs="Times New Roman"/>
              </w:rPr>
            </w:pPr>
            <w:r>
              <w:rPr>
                <w:rFonts w:ascii="Times New Roman" w:hAnsi="Times New Roman" w:cs="Times New Roman"/>
              </w:rPr>
              <w:t>-0.01 (-0.03 – 0.01)</w:t>
            </w:r>
          </w:p>
        </w:tc>
        <w:tc>
          <w:tcPr>
            <w:tcW w:w="556" w:type="pct"/>
          </w:tcPr>
          <w:p w:rsidR="004629BC" w:rsidRDefault="004629BC" w:rsidP="00FF5271">
            <w:pPr>
              <w:jc w:val="center"/>
              <w:rPr>
                <w:rFonts w:ascii="Times New Roman" w:hAnsi="Times New Roman" w:cs="Times New Roman"/>
              </w:rPr>
            </w:pPr>
            <w:r>
              <w:rPr>
                <w:rFonts w:ascii="Times New Roman" w:hAnsi="Times New Roman" w:cs="Times New Roman"/>
              </w:rPr>
              <w:t>0.306</w:t>
            </w:r>
          </w:p>
        </w:tc>
      </w:tr>
      <w:tr w:rsidR="004629BC" w:rsidRPr="004C2C2A" w:rsidTr="00FF5271">
        <w:trPr>
          <w:trHeight w:val="288"/>
        </w:trPr>
        <w:tc>
          <w:tcPr>
            <w:tcW w:w="1944" w:type="pct"/>
          </w:tcPr>
          <w:p w:rsidR="004629BC" w:rsidRDefault="004629BC" w:rsidP="00FF5271">
            <w:pPr>
              <w:rPr>
                <w:rFonts w:ascii="Times New Roman" w:hAnsi="Times New Roman" w:cs="Times New Roman"/>
              </w:rPr>
            </w:pPr>
            <w:r>
              <w:rPr>
                <w:rFonts w:ascii="Times New Roman" w:hAnsi="Times New Roman" w:cs="Times New Roman"/>
              </w:rPr>
              <w:t>Backache</w:t>
            </w:r>
          </w:p>
        </w:tc>
        <w:tc>
          <w:tcPr>
            <w:tcW w:w="2500" w:type="pct"/>
          </w:tcPr>
          <w:p w:rsidR="004629BC" w:rsidRDefault="004629BC" w:rsidP="00FF5271">
            <w:pPr>
              <w:jc w:val="center"/>
              <w:rPr>
                <w:rFonts w:ascii="Times New Roman" w:hAnsi="Times New Roman" w:cs="Times New Roman"/>
              </w:rPr>
            </w:pPr>
            <w:r>
              <w:rPr>
                <w:rFonts w:ascii="Times New Roman" w:hAnsi="Times New Roman" w:cs="Times New Roman"/>
              </w:rPr>
              <w:t>-0.05 (-0.15 – 0.05)</w:t>
            </w:r>
          </w:p>
        </w:tc>
        <w:tc>
          <w:tcPr>
            <w:tcW w:w="556" w:type="pct"/>
          </w:tcPr>
          <w:p w:rsidR="004629BC" w:rsidRDefault="004629BC" w:rsidP="00FF5271">
            <w:pPr>
              <w:jc w:val="center"/>
              <w:rPr>
                <w:rFonts w:ascii="Times New Roman" w:hAnsi="Times New Roman" w:cs="Times New Roman"/>
              </w:rPr>
            </w:pPr>
            <w:r>
              <w:rPr>
                <w:rFonts w:ascii="Times New Roman" w:hAnsi="Times New Roman" w:cs="Times New Roman"/>
              </w:rPr>
              <w:t>0.298</w:t>
            </w:r>
          </w:p>
        </w:tc>
      </w:tr>
    </w:tbl>
    <w:p w:rsidR="004629BC" w:rsidRDefault="004629BC" w:rsidP="004629BC">
      <w:pPr>
        <w:ind w:left="-630" w:right="-720"/>
        <w:rPr>
          <w:sz w:val="22"/>
          <w:szCs w:val="22"/>
          <w:vertAlign w:val="superscript"/>
        </w:rPr>
      </w:pPr>
    </w:p>
    <w:p w:rsidR="004629BC" w:rsidRPr="004740BD" w:rsidRDefault="004629BC" w:rsidP="004629BC">
      <w:pPr>
        <w:ind w:left="-990" w:right="-990"/>
        <w:rPr>
          <w:sz w:val="22"/>
          <w:szCs w:val="22"/>
        </w:rPr>
      </w:pPr>
      <w:r w:rsidRPr="004740BD">
        <w:rPr>
          <w:sz w:val="22"/>
          <w:szCs w:val="22"/>
        </w:rPr>
        <w:t xml:space="preserve">Linear regression analysis was performed to identify any association between the Index of Medical Underservice (IMU) score and variables related to spine-related pain disorders. Beta-coefficient and 95% C.I. (confidence interval) are reported for each association. These analyses were performed for five-year </w:t>
      </w:r>
      <w:r>
        <w:rPr>
          <w:sz w:val="22"/>
          <w:szCs w:val="22"/>
        </w:rPr>
        <w:t xml:space="preserve">prevalence data </w:t>
      </w:r>
      <w:r w:rsidRPr="004740BD">
        <w:rPr>
          <w:sz w:val="22"/>
          <w:szCs w:val="22"/>
        </w:rPr>
        <w:t>(January 1,2011 to January 1, 2016). These prevalence values were directly standardized based on age and sex to the total United States 2010 population.</w:t>
      </w:r>
    </w:p>
    <w:p w:rsidR="004629BC" w:rsidRPr="0028463D" w:rsidRDefault="004629BC" w:rsidP="004629BC">
      <w:pPr>
        <w:ind w:left="-990" w:right="-990"/>
        <w:rPr>
          <w:sz w:val="22"/>
          <w:szCs w:val="22"/>
        </w:rPr>
      </w:pPr>
      <w:r w:rsidRPr="004740BD">
        <w:rPr>
          <w:sz w:val="22"/>
          <w:szCs w:val="22"/>
        </w:rPr>
        <w:t>MUA = medically underserved area</w:t>
      </w:r>
    </w:p>
    <w:p w:rsidR="004629BC" w:rsidRPr="003C3E89" w:rsidRDefault="004629BC" w:rsidP="003C3E89">
      <w:pPr>
        <w:ind w:left="-990" w:right="-990"/>
        <w:rPr>
          <w:sz w:val="22"/>
          <w:szCs w:val="22"/>
        </w:rPr>
      </w:pPr>
    </w:p>
    <w:sectPr w:rsidR="004629BC" w:rsidRPr="003C3E89" w:rsidSect="006B7A69">
      <w:pgSz w:w="12240" w:h="15840"/>
      <w:pgMar w:top="117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0F38"/>
    <w:multiLevelType w:val="multilevel"/>
    <w:tmpl w:val="2000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BC6D93"/>
    <w:multiLevelType w:val="multilevel"/>
    <w:tmpl w:val="E5A6A90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E01"/>
    <w:rsid w:val="000667F4"/>
    <w:rsid w:val="001E05B3"/>
    <w:rsid w:val="0023668D"/>
    <w:rsid w:val="00254A58"/>
    <w:rsid w:val="00254C74"/>
    <w:rsid w:val="00294F43"/>
    <w:rsid w:val="002C6022"/>
    <w:rsid w:val="002D350B"/>
    <w:rsid w:val="003368D7"/>
    <w:rsid w:val="003C3E89"/>
    <w:rsid w:val="003C540E"/>
    <w:rsid w:val="004223CC"/>
    <w:rsid w:val="004629BC"/>
    <w:rsid w:val="00493B10"/>
    <w:rsid w:val="004F1DC7"/>
    <w:rsid w:val="00582739"/>
    <w:rsid w:val="005B3A68"/>
    <w:rsid w:val="006027C6"/>
    <w:rsid w:val="00604A56"/>
    <w:rsid w:val="006115F9"/>
    <w:rsid w:val="006B7A69"/>
    <w:rsid w:val="006C6750"/>
    <w:rsid w:val="0079439E"/>
    <w:rsid w:val="007B1030"/>
    <w:rsid w:val="008414BA"/>
    <w:rsid w:val="008A0768"/>
    <w:rsid w:val="00B648E6"/>
    <w:rsid w:val="00C15784"/>
    <w:rsid w:val="00C85BF4"/>
    <w:rsid w:val="00CF2AFE"/>
    <w:rsid w:val="00DE5030"/>
    <w:rsid w:val="00E1160D"/>
    <w:rsid w:val="00E50B90"/>
    <w:rsid w:val="00F22E01"/>
    <w:rsid w:val="00F55BF7"/>
    <w:rsid w:val="00FE3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E0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F22E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A07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E0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F22E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A0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0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361</Words>
  <Characters>1827</Characters>
  <Application>Microsoft Office Word</Application>
  <DocSecurity>0</DocSecurity>
  <Lines>70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35</cp:revision>
  <dcterms:created xsi:type="dcterms:W3CDTF">2021-09-18T17:35:00Z</dcterms:created>
  <dcterms:modified xsi:type="dcterms:W3CDTF">2022-04-20T01:24:00Z</dcterms:modified>
</cp:coreProperties>
</file>