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ADC70" w14:textId="77777777" w:rsidR="00682526" w:rsidRDefault="00682526" w:rsidP="00682526">
      <w:pPr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 w:hint="eastAsia"/>
          <w:b/>
          <w:bCs/>
          <w:sz w:val="22"/>
          <w:szCs w:val="22"/>
        </w:rPr>
        <w:t xml:space="preserve">Supplementary 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Table </w:t>
      </w:r>
      <w:r>
        <w:rPr>
          <w:rFonts w:ascii="Times New Roman" w:hAnsi="Times New Roman" w:cs="Times New Roman" w:hint="eastAsia"/>
          <w:b/>
          <w:bCs/>
          <w:sz w:val="22"/>
          <w:szCs w:val="22"/>
        </w:rPr>
        <w:t>1.</w:t>
      </w:r>
      <w:r>
        <w:rPr>
          <w:rFonts w:ascii="Times New Roman" w:hAnsi="Times New Roman" w:cs="Times New Roman" w:hint="eastAsia"/>
          <w:sz w:val="22"/>
          <w:szCs w:val="22"/>
        </w:rPr>
        <w:t xml:space="preserve"> A</w:t>
      </w:r>
      <w:r>
        <w:rPr>
          <w:rFonts w:ascii="Times New Roman" w:hAnsi="Times New Roman" w:cs="Times New Roman"/>
          <w:sz w:val="22"/>
          <w:szCs w:val="22"/>
        </w:rPr>
        <w:t>cupoint</w:t>
      </w:r>
      <w:r>
        <w:rPr>
          <w:rFonts w:ascii="Times New Roman" w:hAnsi="Times New Roman" w:cs="Times New Roman" w:hint="eastAsia"/>
          <w:sz w:val="22"/>
          <w:szCs w:val="22"/>
        </w:rPr>
        <w:t xml:space="preserve"> and d</w:t>
      </w:r>
      <w:r>
        <w:rPr>
          <w:rFonts w:ascii="Times New Roman" w:hAnsi="Times New Roman" w:cs="Times New Roman"/>
          <w:sz w:val="22"/>
          <w:szCs w:val="22"/>
        </w:rPr>
        <w:t>escription of acupoint location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14"/>
        <w:gridCol w:w="6492"/>
      </w:tblGrid>
      <w:tr w:rsidR="00682526" w14:paraId="1661CAF3" w14:textId="77777777" w:rsidTr="00DA6E88">
        <w:tc>
          <w:tcPr>
            <w:tcW w:w="1843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4187884F" w14:textId="77777777" w:rsidR="00682526" w:rsidRDefault="00682526" w:rsidP="00DA6E88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acupoint</w:t>
            </w:r>
          </w:p>
        </w:tc>
        <w:tc>
          <w:tcPr>
            <w:tcW w:w="6679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07850D74" w14:textId="77777777" w:rsidR="00682526" w:rsidRDefault="00682526" w:rsidP="00DA6E88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Description of acupoint location</w:t>
            </w:r>
          </w:p>
        </w:tc>
      </w:tr>
      <w:tr w:rsidR="00682526" w14:paraId="42205AC0" w14:textId="77777777" w:rsidTr="00DA6E88">
        <w:tc>
          <w:tcPr>
            <w:tcW w:w="1843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0B37B68" w14:textId="77777777" w:rsidR="00682526" w:rsidRDefault="00682526" w:rsidP="00DA6E88">
            <w:pPr>
              <w:spacing w:line="360" w:lineRule="auto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Xiya</w:t>
            </w:r>
            <w:r>
              <w:rPr>
                <w:rFonts w:hint="eastAsia"/>
                <w:sz w:val="22"/>
                <w:szCs w:val="22"/>
              </w:rPr>
              <w:t>n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(EX-LE5)</w:t>
            </w:r>
          </w:p>
        </w:tc>
        <w:tc>
          <w:tcPr>
            <w:tcW w:w="6679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0922849" w14:textId="77777777" w:rsidR="00682526" w:rsidRDefault="00682526" w:rsidP="00DA6E88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In the medial</w:t>
            </w:r>
            <w:r>
              <w:rPr>
                <w:sz w:val="22"/>
                <w:szCs w:val="22"/>
              </w:rPr>
              <w:t xml:space="preserve"> depression of</w:t>
            </w:r>
            <w:r>
              <w:rPr>
                <w:rFonts w:hint="eastAsia"/>
                <w:sz w:val="22"/>
                <w:szCs w:val="22"/>
              </w:rPr>
              <w:t xml:space="preserve"> the </w:t>
            </w:r>
            <w:r>
              <w:rPr>
                <w:sz w:val="22"/>
                <w:szCs w:val="22"/>
              </w:rPr>
              <w:t>patella and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the patellar ligament</w:t>
            </w:r>
            <w:r>
              <w:rPr>
                <w:rFonts w:hint="eastAsia"/>
                <w:sz w:val="22"/>
                <w:szCs w:val="22"/>
              </w:rPr>
              <w:t>.</w:t>
            </w:r>
          </w:p>
        </w:tc>
      </w:tr>
      <w:tr w:rsidR="00682526" w14:paraId="045DCE30" w14:textId="77777777" w:rsidTr="00DA6E88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E46569B" w14:textId="77777777" w:rsidR="00682526" w:rsidRDefault="00682526" w:rsidP="00DA6E88">
            <w:pPr>
              <w:spacing w:line="360" w:lineRule="auto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Dubi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(ST35)</w:t>
            </w:r>
          </w:p>
        </w:tc>
        <w:tc>
          <w:tcPr>
            <w:tcW w:w="6679" w:type="dxa"/>
            <w:tcBorders>
              <w:top w:val="nil"/>
              <w:left w:val="nil"/>
              <w:bottom w:val="nil"/>
              <w:right w:val="nil"/>
            </w:tcBorders>
          </w:tcPr>
          <w:p w14:paraId="1B7576DD" w14:textId="77777777" w:rsidR="00682526" w:rsidRDefault="00682526" w:rsidP="00DA6E88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In the </w:t>
            </w:r>
            <w:r>
              <w:rPr>
                <w:sz w:val="22"/>
                <w:szCs w:val="22"/>
              </w:rPr>
              <w:t>lateral depression of</w:t>
            </w:r>
            <w:r>
              <w:rPr>
                <w:rFonts w:hint="eastAsia"/>
                <w:sz w:val="22"/>
                <w:szCs w:val="22"/>
              </w:rPr>
              <w:t xml:space="preserve"> the </w:t>
            </w:r>
            <w:r>
              <w:rPr>
                <w:sz w:val="22"/>
                <w:szCs w:val="22"/>
              </w:rPr>
              <w:t>patella and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the patellar ligament</w:t>
            </w:r>
            <w:r>
              <w:rPr>
                <w:rFonts w:hint="eastAsia"/>
                <w:sz w:val="22"/>
                <w:szCs w:val="22"/>
              </w:rPr>
              <w:t>.</w:t>
            </w:r>
          </w:p>
        </w:tc>
      </w:tr>
      <w:tr w:rsidR="00682526" w14:paraId="5A1234BB" w14:textId="77777777" w:rsidTr="00DA6E88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DBBA902" w14:textId="77777777" w:rsidR="00682526" w:rsidRDefault="00682526" w:rsidP="00DA6E88">
            <w:pPr>
              <w:spacing w:line="360" w:lineRule="auto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Liangqiu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(ST34)</w:t>
            </w:r>
          </w:p>
        </w:tc>
        <w:tc>
          <w:tcPr>
            <w:tcW w:w="6679" w:type="dxa"/>
            <w:tcBorders>
              <w:top w:val="nil"/>
              <w:left w:val="nil"/>
              <w:bottom w:val="nil"/>
              <w:right w:val="nil"/>
            </w:tcBorders>
          </w:tcPr>
          <w:p w14:paraId="434F7397" w14:textId="77777777" w:rsidR="00682526" w:rsidRDefault="00682526" w:rsidP="00DA6E88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On the line between the anterior superior iliac spine and the iliac base, about 1.3mm above the lateral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iliac base.</w:t>
            </w:r>
          </w:p>
        </w:tc>
      </w:tr>
      <w:tr w:rsidR="00682526" w14:paraId="1EFF6100" w14:textId="77777777" w:rsidTr="00DA6E88">
        <w:tc>
          <w:tcPr>
            <w:tcW w:w="184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77DD1B7" w14:textId="77777777" w:rsidR="00682526" w:rsidRDefault="00682526" w:rsidP="00DA6E88">
            <w:pPr>
              <w:spacing w:line="360" w:lineRule="auto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Xuehai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(SP10)</w:t>
            </w:r>
          </w:p>
        </w:tc>
        <w:tc>
          <w:tcPr>
            <w:tcW w:w="667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0E2FC8D" w14:textId="77777777" w:rsidR="00682526" w:rsidRDefault="00682526" w:rsidP="00DA6E88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On t</w:t>
            </w:r>
            <w:r>
              <w:rPr>
                <w:sz w:val="22"/>
                <w:szCs w:val="22"/>
              </w:rPr>
              <w:t xml:space="preserve">he eminence of the head medial to the quadriceps femoris, about 1.3mm above the </w:t>
            </w:r>
            <w:r>
              <w:rPr>
                <w:rFonts w:hint="eastAsia"/>
                <w:sz w:val="22"/>
                <w:szCs w:val="22"/>
              </w:rPr>
              <w:t>medial</w:t>
            </w:r>
            <w:r>
              <w:rPr>
                <w:sz w:val="22"/>
                <w:szCs w:val="22"/>
              </w:rPr>
              <w:t xml:space="preserve"> iliac base.</w:t>
            </w:r>
          </w:p>
        </w:tc>
      </w:tr>
    </w:tbl>
    <w:p w14:paraId="4639042F" w14:textId="77777777" w:rsidR="00682526" w:rsidRDefault="00682526" w:rsidP="00682526">
      <w:pPr>
        <w:jc w:val="left"/>
        <w:rPr>
          <w:rFonts w:ascii="Times New Roman" w:hAnsi="Times New Roman" w:cs="Times New Roman"/>
          <w:sz w:val="22"/>
          <w:szCs w:val="22"/>
        </w:rPr>
      </w:pPr>
    </w:p>
    <w:p w14:paraId="1462537C" w14:textId="77777777" w:rsidR="00682526" w:rsidRDefault="00682526" w:rsidP="00682526">
      <w:pPr>
        <w:jc w:val="left"/>
        <w:rPr>
          <w:rFonts w:ascii="Times New Roman" w:hAnsi="Times New Roman" w:cs="Times New Roman"/>
          <w:sz w:val="22"/>
          <w:szCs w:val="22"/>
        </w:rPr>
      </w:pPr>
    </w:p>
    <w:p w14:paraId="1B297419" w14:textId="77777777" w:rsidR="00682526" w:rsidRDefault="00682526" w:rsidP="00682526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 w:hint="eastAsia"/>
          <w:b/>
          <w:bCs/>
          <w:sz w:val="22"/>
          <w:szCs w:val="22"/>
        </w:rPr>
        <w:t xml:space="preserve">Supplementary </w:t>
      </w:r>
      <w:r>
        <w:rPr>
          <w:rFonts w:ascii="Times New Roman" w:hAnsi="Times New Roman" w:cs="Times New Roman"/>
          <w:b/>
          <w:bCs/>
          <w:sz w:val="22"/>
          <w:szCs w:val="22"/>
        </w:rPr>
        <w:t>Table 2</w:t>
      </w:r>
      <w:r>
        <w:rPr>
          <w:rFonts w:ascii="Times New Roman" w:hAnsi="Times New Roman" w:cs="Times New Roman" w:hint="eastAsia"/>
          <w:b/>
          <w:bCs/>
          <w:sz w:val="22"/>
          <w:szCs w:val="22"/>
        </w:rPr>
        <w:t>.</w:t>
      </w:r>
      <w:r>
        <w:rPr>
          <w:rFonts w:ascii="Times New Roman" w:hAnsi="Times New Roman" w:cs="Times New Roman" w:hint="eastAsia"/>
          <w:sz w:val="22"/>
          <w:szCs w:val="22"/>
        </w:rPr>
        <w:t xml:space="preserve"> </w:t>
      </w:r>
      <w:bookmarkStart w:id="0" w:name="_Hlk92994181"/>
      <w:r>
        <w:rPr>
          <w:rFonts w:ascii="Times New Roman" w:hAnsi="Times New Roman" w:cs="Times New Roman"/>
          <w:sz w:val="22"/>
          <w:szCs w:val="22"/>
        </w:rPr>
        <w:t>Scheme for the histopathological assessment of the three features of chronic synovitis</w:t>
      </w:r>
      <w:bookmarkEnd w:id="0"/>
    </w:p>
    <w:tbl>
      <w:tblPr>
        <w:tblStyle w:val="a7"/>
        <w:tblpPr w:leftFromText="180" w:rightFromText="180" w:vertAnchor="text" w:horzAnchor="page" w:tblpX="1780" w:tblpY="226"/>
        <w:tblOverlap w:val="never"/>
        <w:tblW w:w="8551" w:type="dxa"/>
        <w:tblBorders>
          <w:top w:val="single" w:sz="12" w:space="0" w:color="000000"/>
          <w:left w:val="none" w:sz="0" w:space="0" w:color="auto"/>
          <w:bottom w:val="single" w:sz="12" w:space="0" w:color="00000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1"/>
        <w:gridCol w:w="965"/>
        <w:gridCol w:w="4785"/>
      </w:tblGrid>
      <w:tr w:rsidR="00682526" w14:paraId="511A969B" w14:textId="77777777" w:rsidTr="00DA6E88">
        <w:trPr>
          <w:trHeight w:val="463"/>
        </w:trPr>
        <w:tc>
          <w:tcPr>
            <w:tcW w:w="2801" w:type="dxa"/>
            <w:vMerge w:val="restart"/>
            <w:tcBorders>
              <w:tl2br w:val="nil"/>
              <w:tr2bl w:val="nil"/>
            </w:tcBorders>
            <w:vAlign w:val="center"/>
          </w:tcPr>
          <w:p w14:paraId="20579177" w14:textId="77777777" w:rsidR="00682526" w:rsidRDefault="00682526" w:rsidP="00DA6E8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Enlargement of the synovial lining cell layer</w:t>
            </w:r>
          </w:p>
        </w:tc>
        <w:tc>
          <w:tcPr>
            <w:tcW w:w="965" w:type="dxa"/>
            <w:tcBorders>
              <w:tl2br w:val="nil"/>
              <w:tr2bl w:val="nil"/>
            </w:tcBorders>
            <w:vAlign w:val="center"/>
          </w:tcPr>
          <w:p w14:paraId="5A74466A" w14:textId="77777777" w:rsidR="00682526" w:rsidRDefault="00682526" w:rsidP="00DA6E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 points</w:t>
            </w:r>
          </w:p>
        </w:tc>
        <w:tc>
          <w:tcPr>
            <w:tcW w:w="4785" w:type="dxa"/>
            <w:tcBorders>
              <w:tl2br w:val="nil"/>
              <w:tr2bl w:val="nil"/>
            </w:tcBorders>
            <w:vAlign w:val="center"/>
          </w:tcPr>
          <w:p w14:paraId="39BE3596" w14:textId="77777777" w:rsidR="00682526" w:rsidRDefault="00682526" w:rsidP="00DA6E8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lining cells form one layer</w:t>
            </w:r>
          </w:p>
        </w:tc>
      </w:tr>
      <w:tr w:rsidR="00682526" w14:paraId="46EBB95D" w14:textId="77777777" w:rsidTr="00DA6E88">
        <w:trPr>
          <w:trHeight w:val="463"/>
        </w:trPr>
        <w:tc>
          <w:tcPr>
            <w:tcW w:w="2801" w:type="dxa"/>
            <w:vMerge/>
            <w:tcBorders>
              <w:tl2br w:val="nil"/>
              <w:tr2bl w:val="nil"/>
            </w:tcBorders>
            <w:vAlign w:val="center"/>
          </w:tcPr>
          <w:p w14:paraId="04108D5B" w14:textId="77777777" w:rsidR="00682526" w:rsidRDefault="00682526" w:rsidP="00DA6E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l2br w:val="nil"/>
              <w:tr2bl w:val="nil"/>
            </w:tcBorders>
            <w:vAlign w:val="center"/>
          </w:tcPr>
          <w:p w14:paraId="0A0B95C2" w14:textId="77777777" w:rsidR="00682526" w:rsidRDefault="00682526" w:rsidP="00DA6E88"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 point</w:t>
            </w:r>
          </w:p>
        </w:tc>
        <w:tc>
          <w:tcPr>
            <w:tcW w:w="4785" w:type="dxa"/>
            <w:tcBorders>
              <w:tl2br w:val="nil"/>
              <w:tr2bl w:val="nil"/>
            </w:tcBorders>
            <w:vAlign w:val="center"/>
          </w:tcPr>
          <w:p w14:paraId="797CE1B4" w14:textId="77777777" w:rsidR="00682526" w:rsidRDefault="00682526" w:rsidP="00DA6E8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lining cells form 2–3 layers</w:t>
            </w:r>
          </w:p>
        </w:tc>
      </w:tr>
      <w:tr w:rsidR="00682526" w14:paraId="317AA972" w14:textId="77777777" w:rsidTr="00DA6E88">
        <w:trPr>
          <w:trHeight w:val="463"/>
        </w:trPr>
        <w:tc>
          <w:tcPr>
            <w:tcW w:w="2801" w:type="dxa"/>
            <w:vMerge/>
            <w:tcBorders>
              <w:tl2br w:val="nil"/>
              <w:tr2bl w:val="nil"/>
            </w:tcBorders>
            <w:vAlign w:val="center"/>
          </w:tcPr>
          <w:p w14:paraId="5C33121B" w14:textId="77777777" w:rsidR="00682526" w:rsidRDefault="00682526" w:rsidP="00DA6E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l2br w:val="nil"/>
              <w:tr2bl w:val="nil"/>
            </w:tcBorders>
            <w:vAlign w:val="center"/>
          </w:tcPr>
          <w:p w14:paraId="2E4A702C" w14:textId="77777777" w:rsidR="00682526" w:rsidRDefault="00682526" w:rsidP="00DA6E88"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 points</w:t>
            </w:r>
          </w:p>
        </w:tc>
        <w:tc>
          <w:tcPr>
            <w:tcW w:w="4785" w:type="dxa"/>
            <w:tcBorders>
              <w:tl2br w:val="nil"/>
              <w:tr2bl w:val="nil"/>
            </w:tcBorders>
            <w:vAlign w:val="center"/>
          </w:tcPr>
          <w:p w14:paraId="78BE2411" w14:textId="77777777" w:rsidR="00682526" w:rsidRDefault="00682526" w:rsidP="00DA6E8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lining cells form 4–5 layers, few multinucleated cells might occur</w:t>
            </w:r>
          </w:p>
        </w:tc>
      </w:tr>
      <w:tr w:rsidR="00682526" w14:paraId="529E1089" w14:textId="77777777" w:rsidTr="00DA6E88">
        <w:trPr>
          <w:trHeight w:val="463"/>
        </w:trPr>
        <w:tc>
          <w:tcPr>
            <w:tcW w:w="2801" w:type="dxa"/>
            <w:vMerge/>
            <w:tcBorders>
              <w:tl2br w:val="nil"/>
              <w:tr2bl w:val="nil"/>
            </w:tcBorders>
            <w:vAlign w:val="center"/>
          </w:tcPr>
          <w:p w14:paraId="49C34B43" w14:textId="77777777" w:rsidR="00682526" w:rsidRDefault="00682526" w:rsidP="00DA6E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l2br w:val="nil"/>
              <w:tr2bl w:val="nil"/>
            </w:tcBorders>
            <w:vAlign w:val="center"/>
          </w:tcPr>
          <w:p w14:paraId="642B22CD" w14:textId="77777777" w:rsidR="00682526" w:rsidRDefault="00682526" w:rsidP="00DA6E88"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 xml:space="preserve"> points</w:t>
            </w:r>
          </w:p>
        </w:tc>
        <w:tc>
          <w:tcPr>
            <w:tcW w:w="4785" w:type="dxa"/>
            <w:tcBorders>
              <w:tl2br w:val="nil"/>
              <w:tr2bl w:val="nil"/>
            </w:tcBorders>
            <w:vAlign w:val="center"/>
          </w:tcPr>
          <w:p w14:paraId="65E30E07" w14:textId="77777777" w:rsidR="00682526" w:rsidRDefault="00682526" w:rsidP="00DA6E8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lining cells form more than 5 layers, the lining might be ulcerated and multinucleated cells might occur</w:t>
            </w:r>
          </w:p>
        </w:tc>
      </w:tr>
      <w:tr w:rsidR="00682526" w14:paraId="081D170B" w14:textId="77777777" w:rsidTr="00DA6E88">
        <w:trPr>
          <w:trHeight w:val="463"/>
        </w:trPr>
        <w:tc>
          <w:tcPr>
            <w:tcW w:w="2801" w:type="dxa"/>
            <w:vMerge w:val="restart"/>
            <w:tcBorders>
              <w:tl2br w:val="nil"/>
              <w:tr2bl w:val="nil"/>
            </w:tcBorders>
            <w:vAlign w:val="center"/>
          </w:tcPr>
          <w:p w14:paraId="14ED4A7D" w14:textId="77777777" w:rsidR="00682526" w:rsidRDefault="00682526" w:rsidP="00DA6E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density of the resident cells</w:t>
            </w:r>
          </w:p>
        </w:tc>
        <w:tc>
          <w:tcPr>
            <w:tcW w:w="965" w:type="dxa"/>
            <w:tcBorders>
              <w:tl2br w:val="nil"/>
              <w:tr2bl w:val="nil"/>
            </w:tcBorders>
            <w:vAlign w:val="center"/>
          </w:tcPr>
          <w:p w14:paraId="6E4F5468" w14:textId="77777777" w:rsidR="00682526" w:rsidRDefault="00682526" w:rsidP="00DA6E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 points</w:t>
            </w:r>
          </w:p>
        </w:tc>
        <w:tc>
          <w:tcPr>
            <w:tcW w:w="4785" w:type="dxa"/>
            <w:tcBorders>
              <w:tl2br w:val="nil"/>
              <w:tr2bl w:val="nil"/>
            </w:tcBorders>
            <w:vAlign w:val="center"/>
          </w:tcPr>
          <w:p w14:paraId="7466000E" w14:textId="77777777" w:rsidR="00682526" w:rsidRDefault="00682526" w:rsidP="00DA6E8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synovial stroma shows normal cellularity</w:t>
            </w:r>
          </w:p>
        </w:tc>
      </w:tr>
      <w:tr w:rsidR="00682526" w14:paraId="6FF5CD3E" w14:textId="77777777" w:rsidTr="00DA6E88">
        <w:trPr>
          <w:trHeight w:val="463"/>
        </w:trPr>
        <w:tc>
          <w:tcPr>
            <w:tcW w:w="2801" w:type="dxa"/>
            <w:vMerge/>
            <w:tcBorders>
              <w:tl2br w:val="nil"/>
              <w:tr2bl w:val="nil"/>
            </w:tcBorders>
            <w:vAlign w:val="center"/>
          </w:tcPr>
          <w:p w14:paraId="5F09C182" w14:textId="77777777" w:rsidR="00682526" w:rsidRDefault="00682526" w:rsidP="00DA6E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l2br w:val="nil"/>
              <w:tr2bl w:val="nil"/>
            </w:tcBorders>
            <w:vAlign w:val="center"/>
          </w:tcPr>
          <w:p w14:paraId="14518121" w14:textId="77777777" w:rsidR="00682526" w:rsidRDefault="00682526" w:rsidP="00DA6E88"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 point</w:t>
            </w:r>
          </w:p>
        </w:tc>
        <w:tc>
          <w:tcPr>
            <w:tcW w:w="4785" w:type="dxa"/>
            <w:tcBorders>
              <w:tl2br w:val="nil"/>
              <w:tr2bl w:val="nil"/>
            </w:tcBorders>
            <w:vAlign w:val="center"/>
          </w:tcPr>
          <w:p w14:paraId="15D38DDB" w14:textId="77777777" w:rsidR="00682526" w:rsidRDefault="00682526" w:rsidP="00DA6E8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cellularity is slightly increased</w:t>
            </w:r>
          </w:p>
        </w:tc>
      </w:tr>
      <w:tr w:rsidR="00682526" w14:paraId="34DB44D8" w14:textId="77777777" w:rsidTr="00DA6E88">
        <w:trPr>
          <w:trHeight w:val="463"/>
        </w:trPr>
        <w:tc>
          <w:tcPr>
            <w:tcW w:w="2801" w:type="dxa"/>
            <w:vMerge/>
            <w:tcBorders>
              <w:tl2br w:val="nil"/>
              <w:tr2bl w:val="nil"/>
            </w:tcBorders>
            <w:vAlign w:val="center"/>
          </w:tcPr>
          <w:p w14:paraId="43CFB6B0" w14:textId="77777777" w:rsidR="00682526" w:rsidRDefault="00682526" w:rsidP="00DA6E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l2br w:val="nil"/>
              <w:tr2bl w:val="nil"/>
            </w:tcBorders>
            <w:vAlign w:val="center"/>
          </w:tcPr>
          <w:p w14:paraId="12A05ED3" w14:textId="77777777" w:rsidR="00682526" w:rsidRDefault="00682526" w:rsidP="00DA6E88"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 points</w:t>
            </w:r>
          </w:p>
        </w:tc>
        <w:tc>
          <w:tcPr>
            <w:tcW w:w="4785" w:type="dxa"/>
            <w:tcBorders>
              <w:tl2br w:val="nil"/>
              <w:tr2bl w:val="nil"/>
            </w:tcBorders>
            <w:vAlign w:val="center"/>
          </w:tcPr>
          <w:p w14:paraId="2D6272CF" w14:textId="77777777" w:rsidR="00682526" w:rsidRDefault="00682526" w:rsidP="00DA6E8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 cellularity is moderately increased, multinucleated cells might occur </w:t>
            </w:r>
          </w:p>
        </w:tc>
      </w:tr>
      <w:tr w:rsidR="00682526" w14:paraId="24CED933" w14:textId="77777777" w:rsidTr="00DA6E88">
        <w:trPr>
          <w:trHeight w:val="463"/>
        </w:trPr>
        <w:tc>
          <w:tcPr>
            <w:tcW w:w="2801" w:type="dxa"/>
            <w:vMerge/>
            <w:tcBorders>
              <w:tl2br w:val="nil"/>
              <w:tr2bl w:val="nil"/>
            </w:tcBorders>
            <w:vAlign w:val="center"/>
          </w:tcPr>
          <w:p w14:paraId="5AECDD8C" w14:textId="77777777" w:rsidR="00682526" w:rsidRDefault="00682526" w:rsidP="00DA6E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l2br w:val="nil"/>
              <w:tr2bl w:val="nil"/>
            </w:tcBorders>
            <w:vAlign w:val="center"/>
          </w:tcPr>
          <w:p w14:paraId="4BFC1DD9" w14:textId="77777777" w:rsidR="00682526" w:rsidRDefault="00682526" w:rsidP="00DA6E88"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 xml:space="preserve"> points</w:t>
            </w:r>
          </w:p>
        </w:tc>
        <w:tc>
          <w:tcPr>
            <w:tcW w:w="4785" w:type="dxa"/>
            <w:tcBorders>
              <w:tl2br w:val="nil"/>
              <w:tr2bl w:val="nil"/>
            </w:tcBorders>
            <w:vAlign w:val="center"/>
          </w:tcPr>
          <w:p w14:paraId="2211ED71" w14:textId="77777777" w:rsidR="00682526" w:rsidRDefault="00682526" w:rsidP="00DA6E8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cellularity is greatly increased,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multinucleated giant cells, pannus formation and rheumatoid granulomas might occur</w:t>
            </w:r>
          </w:p>
        </w:tc>
      </w:tr>
      <w:tr w:rsidR="00682526" w14:paraId="77BBDF08" w14:textId="77777777" w:rsidTr="00DA6E88">
        <w:trPr>
          <w:trHeight w:val="463"/>
        </w:trPr>
        <w:tc>
          <w:tcPr>
            <w:tcW w:w="2801" w:type="dxa"/>
            <w:vMerge w:val="restart"/>
            <w:tcBorders>
              <w:tl2br w:val="nil"/>
              <w:tr2bl w:val="nil"/>
            </w:tcBorders>
            <w:vAlign w:val="center"/>
          </w:tcPr>
          <w:p w14:paraId="2E6F4881" w14:textId="77777777" w:rsidR="00682526" w:rsidRDefault="00682526" w:rsidP="00DA6E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Inflammatory infiltrate</w:t>
            </w:r>
          </w:p>
        </w:tc>
        <w:tc>
          <w:tcPr>
            <w:tcW w:w="965" w:type="dxa"/>
            <w:tcBorders>
              <w:tl2br w:val="nil"/>
              <w:tr2bl w:val="nil"/>
            </w:tcBorders>
            <w:vAlign w:val="center"/>
          </w:tcPr>
          <w:p w14:paraId="7E3D4192" w14:textId="77777777" w:rsidR="00682526" w:rsidRDefault="00682526" w:rsidP="00DA6E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 points</w:t>
            </w:r>
          </w:p>
        </w:tc>
        <w:tc>
          <w:tcPr>
            <w:tcW w:w="4785" w:type="dxa"/>
            <w:tcBorders>
              <w:tl2br w:val="nil"/>
              <w:tr2bl w:val="nil"/>
            </w:tcBorders>
            <w:vAlign w:val="center"/>
          </w:tcPr>
          <w:p w14:paraId="0F096D89" w14:textId="77777777" w:rsidR="00682526" w:rsidRDefault="00682526" w:rsidP="00DA6E8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 inflammatory infiltrate</w:t>
            </w:r>
          </w:p>
        </w:tc>
      </w:tr>
      <w:tr w:rsidR="00682526" w14:paraId="197AC7EC" w14:textId="77777777" w:rsidTr="00DA6E88">
        <w:trPr>
          <w:trHeight w:val="612"/>
        </w:trPr>
        <w:tc>
          <w:tcPr>
            <w:tcW w:w="2801" w:type="dxa"/>
            <w:vMerge/>
            <w:tcBorders>
              <w:tl2br w:val="nil"/>
              <w:tr2bl w:val="nil"/>
            </w:tcBorders>
            <w:vAlign w:val="center"/>
          </w:tcPr>
          <w:p w14:paraId="7D6833EF" w14:textId="77777777" w:rsidR="00682526" w:rsidRDefault="00682526" w:rsidP="00DA6E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l2br w:val="nil"/>
              <w:tr2bl w:val="nil"/>
            </w:tcBorders>
            <w:vAlign w:val="center"/>
          </w:tcPr>
          <w:p w14:paraId="219D45BF" w14:textId="77777777" w:rsidR="00682526" w:rsidRDefault="00682526" w:rsidP="00DA6E88"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 point</w:t>
            </w:r>
          </w:p>
        </w:tc>
        <w:tc>
          <w:tcPr>
            <w:tcW w:w="4785" w:type="dxa"/>
            <w:tcBorders>
              <w:tl2br w:val="nil"/>
              <w:tr2bl w:val="nil"/>
            </w:tcBorders>
            <w:vAlign w:val="center"/>
          </w:tcPr>
          <w:p w14:paraId="298975D9" w14:textId="77777777" w:rsidR="00682526" w:rsidRDefault="00682526" w:rsidP="00DA6E8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Few mostly perivascular situated lymphocytes or plasma cells</w:t>
            </w:r>
          </w:p>
        </w:tc>
      </w:tr>
      <w:tr w:rsidR="00682526" w14:paraId="13F86E27" w14:textId="77777777" w:rsidTr="00DA6E88">
        <w:trPr>
          <w:trHeight w:val="463"/>
        </w:trPr>
        <w:tc>
          <w:tcPr>
            <w:tcW w:w="2801" w:type="dxa"/>
            <w:vMerge/>
            <w:tcBorders>
              <w:tl2br w:val="nil"/>
              <w:tr2bl w:val="nil"/>
            </w:tcBorders>
            <w:vAlign w:val="center"/>
          </w:tcPr>
          <w:p w14:paraId="16546428" w14:textId="77777777" w:rsidR="00682526" w:rsidRDefault="00682526" w:rsidP="00DA6E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l2br w:val="nil"/>
              <w:tr2bl w:val="nil"/>
            </w:tcBorders>
            <w:vAlign w:val="center"/>
          </w:tcPr>
          <w:p w14:paraId="3E930795" w14:textId="77777777" w:rsidR="00682526" w:rsidRDefault="00682526" w:rsidP="00DA6E88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 points</w:t>
            </w:r>
          </w:p>
        </w:tc>
        <w:tc>
          <w:tcPr>
            <w:tcW w:w="4785" w:type="dxa"/>
            <w:tcBorders>
              <w:tl2br w:val="nil"/>
              <w:tr2bl w:val="nil"/>
            </w:tcBorders>
            <w:vAlign w:val="center"/>
          </w:tcPr>
          <w:p w14:paraId="2996A9AF" w14:textId="77777777" w:rsidR="00682526" w:rsidRDefault="00682526" w:rsidP="00DA6E8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Numerous lymphocytes or plasma cells, sometimes forming follicle-like aggregates</w:t>
            </w:r>
          </w:p>
        </w:tc>
      </w:tr>
      <w:tr w:rsidR="00682526" w14:paraId="0CCE01B0" w14:textId="77777777" w:rsidTr="00DA6E88">
        <w:trPr>
          <w:trHeight w:val="463"/>
        </w:trPr>
        <w:tc>
          <w:tcPr>
            <w:tcW w:w="2801" w:type="dxa"/>
            <w:vMerge/>
            <w:tcBorders>
              <w:tl2br w:val="nil"/>
              <w:tr2bl w:val="nil"/>
            </w:tcBorders>
            <w:vAlign w:val="center"/>
          </w:tcPr>
          <w:p w14:paraId="3CA67DE6" w14:textId="77777777" w:rsidR="00682526" w:rsidRDefault="00682526" w:rsidP="00DA6E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l2br w:val="nil"/>
              <w:tr2bl w:val="nil"/>
            </w:tcBorders>
            <w:vAlign w:val="center"/>
          </w:tcPr>
          <w:p w14:paraId="5A38AF14" w14:textId="77777777" w:rsidR="00682526" w:rsidRDefault="00682526" w:rsidP="00DA6E88"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 xml:space="preserve"> points</w:t>
            </w:r>
          </w:p>
        </w:tc>
        <w:tc>
          <w:tcPr>
            <w:tcW w:w="4785" w:type="dxa"/>
            <w:tcBorders>
              <w:tl2br w:val="nil"/>
              <w:tr2bl w:val="nil"/>
            </w:tcBorders>
            <w:vAlign w:val="center"/>
          </w:tcPr>
          <w:p w14:paraId="4BA179E4" w14:textId="77777777" w:rsidR="00682526" w:rsidRDefault="00682526" w:rsidP="00DA6E8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Dense band-like inflammatory infiltrate or numerous large follicle-like aggregates</w:t>
            </w:r>
          </w:p>
        </w:tc>
      </w:tr>
      <w:tr w:rsidR="00682526" w14:paraId="2E1739A3" w14:textId="77777777" w:rsidTr="00DA6E88">
        <w:trPr>
          <w:trHeight w:val="463"/>
        </w:trPr>
        <w:tc>
          <w:tcPr>
            <w:tcW w:w="2801" w:type="dxa"/>
            <w:tcBorders>
              <w:tl2br w:val="nil"/>
              <w:tr2bl w:val="nil"/>
            </w:tcBorders>
            <w:vAlign w:val="center"/>
          </w:tcPr>
          <w:p w14:paraId="562378F4" w14:textId="77777777" w:rsidR="00682526" w:rsidRDefault="00682526" w:rsidP="00DA6E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Sum 0 or 1</w:t>
            </w:r>
          </w:p>
        </w:tc>
        <w:tc>
          <w:tcPr>
            <w:tcW w:w="5750" w:type="dxa"/>
            <w:gridSpan w:val="2"/>
            <w:tcBorders>
              <w:tl2br w:val="nil"/>
              <w:tr2bl w:val="nil"/>
            </w:tcBorders>
            <w:vAlign w:val="center"/>
          </w:tcPr>
          <w:p w14:paraId="29E41570" w14:textId="77777777" w:rsidR="00682526" w:rsidRDefault="00682526" w:rsidP="00DA6E8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 synovitis</w:t>
            </w:r>
          </w:p>
        </w:tc>
      </w:tr>
      <w:tr w:rsidR="00682526" w14:paraId="324EAA79" w14:textId="77777777" w:rsidTr="00DA6E88">
        <w:trPr>
          <w:trHeight w:val="463"/>
        </w:trPr>
        <w:tc>
          <w:tcPr>
            <w:tcW w:w="2801" w:type="dxa"/>
            <w:tcBorders>
              <w:tl2br w:val="nil"/>
              <w:tr2bl w:val="nil"/>
            </w:tcBorders>
            <w:vAlign w:val="center"/>
          </w:tcPr>
          <w:p w14:paraId="4C0AF4C9" w14:textId="77777777" w:rsidR="00682526" w:rsidRDefault="00682526" w:rsidP="00DA6E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Sum 2–4</w:t>
            </w:r>
          </w:p>
        </w:tc>
        <w:tc>
          <w:tcPr>
            <w:tcW w:w="5750" w:type="dxa"/>
            <w:gridSpan w:val="2"/>
            <w:tcBorders>
              <w:tl2br w:val="nil"/>
              <w:tr2bl w:val="nil"/>
            </w:tcBorders>
            <w:vAlign w:val="center"/>
          </w:tcPr>
          <w:p w14:paraId="5B5DA34D" w14:textId="77777777" w:rsidR="00682526" w:rsidRDefault="00682526" w:rsidP="00DA6E8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Low-grade synovitis</w:t>
            </w:r>
          </w:p>
        </w:tc>
      </w:tr>
      <w:tr w:rsidR="00682526" w14:paraId="45663C0A" w14:textId="77777777" w:rsidTr="00DA6E88">
        <w:trPr>
          <w:trHeight w:val="478"/>
        </w:trPr>
        <w:tc>
          <w:tcPr>
            <w:tcW w:w="2801" w:type="dxa"/>
            <w:tcBorders>
              <w:tl2br w:val="nil"/>
              <w:tr2bl w:val="nil"/>
            </w:tcBorders>
            <w:vAlign w:val="center"/>
          </w:tcPr>
          <w:p w14:paraId="0EEEB435" w14:textId="77777777" w:rsidR="00682526" w:rsidRDefault="00682526" w:rsidP="00DA6E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Sum 5–9</w:t>
            </w:r>
          </w:p>
        </w:tc>
        <w:tc>
          <w:tcPr>
            <w:tcW w:w="5750" w:type="dxa"/>
            <w:gridSpan w:val="2"/>
            <w:tcBorders>
              <w:tl2br w:val="nil"/>
              <w:tr2bl w:val="nil"/>
            </w:tcBorders>
            <w:vAlign w:val="center"/>
          </w:tcPr>
          <w:p w14:paraId="76841D55" w14:textId="77777777" w:rsidR="00682526" w:rsidRDefault="00682526" w:rsidP="00DA6E8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High-grade synovitis</w:t>
            </w:r>
          </w:p>
        </w:tc>
      </w:tr>
    </w:tbl>
    <w:p w14:paraId="7E1A36B4" w14:textId="77777777" w:rsidR="00682526" w:rsidRDefault="00682526" w:rsidP="00682526">
      <w:pPr>
        <w:jc w:val="left"/>
        <w:rPr>
          <w:rFonts w:ascii="Times New Roman" w:hAnsi="Times New Roman" w:cs="Times New Roman"/>
          <w:sz w:val="22"/>
          <w:szCs w:val="22"/>
        </w:rPr>
      </w:pPr>
    </w:p>
    <w:p w14:paraId="4EB186E2" w14:textId="77777777" w:rsidR="00682526" w:rsidRDefault="00682526" w:rsidP="00682526">
      <w:pPr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 w:hint="eastAsia"/>
          <w:b/>
          <w:bCs/>
          <w:sz w:val="22"/>
          <w:szCs w:val="22"/>
        </w:rPr>
        <w:t xml:space="preserve">Supplementary 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Table </w:t>
      </w:r>
      <w:r>
        <w:rPr>
          <w:rFonts w:ascii="Times New Roman" w:hAnsi="Times New Roman" w:cs="Times New Roman" w:hint="eastAsia"/>
          <w:b/>
          <w:bCs/>
          <w:sz w:val="22"/>
          <w:szCs w:val="22"/>
        </w:rPr>
        <w:t xml:space="preserve">3. </w:t>
      </w:r>
      <w:bookmarkStart w:id="1" w:name="_Hlk92996683"/>
      <w:r w:rsidRPr="00BB069D">
        <w:rPr>
          <w:rFonts w:ascii="Times New Roman" w:hAnsi="Times New Roman" w:cs="Times New Roman"/>
          <w:sz w:val="22"/>
          <w:szCs w:val="22"/>
        </w:rPr>
        <w:t xml:space="preserve">The </w:t>
      </w:r>
      <w:r w:rsidRPr="00BD3C93">
        <w:rPr>
          <w:rFonts w:ascii="Times New Roman" w:hAnsi="Times New Roman" w:cs="Times New Roman"/>
          <w:sz w:val="22"/>
          <w:szCs w:val="22"/>
        </w:rPr>
        <w:t xml:space="preserve">OARSI template </w:t>
      </w:r>
      <w:r>
        <w:rPr>
          <w:rFonts w:ascii="Times New Roman" w:hAnsi="Times New Roman" w:cs="Times New Roman"/>
          <w:sz w:val="22"/>
          <w:szCs w:val="22"/>
        </w:rPr>
        <w:t>to</w:t>
      </w:r>
      <w:r w:rsidRPr="00BD3C93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estimate the </w:t>
      </w:r>
      <w:r w:rsidRPr="00BD3C93">
        <w:rPr>
          <w:rFonts w:ascii="Times New Roman" w:hAnsi="Times New Roman" w:cs="Times New Roman"/>
          <w:sz w:val="22"/>
          <w:szCs w:val="22"/>
        </w:rPr>
        <w:t>histopathological grad</w:t>
      </w:r>
      <w:r>
        <w:rPr>
          <w:rFonts w:ascii="Times New Roman" w:hAnsi="Times New Roman" w:cs="Times New Roman"/>
          <w:sz w:val="22"/>
          <w:szCs w:val="22"/>
        </w:rPr>
        <w:t xml:space="preserve">e </w:t>
      </w:r>
      <w:r>
        <w:t>of</w:t>
      </w:r>
      <w:r w:rsidRPr="00BD3C93">
        <w:rPr>
          <w:rFonts w:ascii="Times New Roman" w:hAnsi="Times New Roman" w:cs="Times New Roman"/>
          <w:sz w:val="22"/>
          <w:szCs w:val="22"/>
        </w:rPr>
        <w:t xml:space="preserve"> KOA</w:t>
      </w:r>
      <w:bookmarkEnd w:id="1"/>
      <w:r>
        <w:rPr>
          <w:rFonts w:ascii="Times New Roman" w:hAnsi="Times New Roman" w:cs="Times New Roman"/>
          <w:sz w:val="22"/>
          <w:szCs w:val="22"/>
        </w:rPr>
        <w:t xml:space="preserve"> </w:t>
      </w:r>
    </w:p>
    <w:tbl>
      <w:tblPr>
        <w:tblStyle w:val="a7"/>
        <w:tblpPr w:leftFromText="180" w:rightFromText="180" w:vertAnchor="text" w:horzAnchor="page" w:tblpX="1806" w:tblpY="295"/>
        <w:tblOverlap w:val="never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3"/>
        <w:gridCol w:w="5703"/>
      </w:tblGrid>
      <w:tr w:rsidR="00682526" w14:paraId="50E2145A" w14:textId="77777777" w:rsidTr="00DA6E88">
        <w:trPr>
          <w:trHeight w:val="315"/>
        </w:trPr>
        <w:tc>
          <w:tcPr>
            <w:tcW w:w="2655" w:type="dxa"/>
            <w:tcBorders>
              <w:top w:val="single" w:sz="12" w:space="0" w:color="auto"/>
              <w:bottom w:val="single" w:sz="8" w:space="0" w:color="auto"/>
            </w:tcBorders>
          </w:tcPr>
          <w:p w14:paraId="0B9070BC" w14:textId="77777777" w:rsidR="00682526" w:rsidRDefault="00682526" w:rsidP="00DA6E8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Grade (key feature)</w:t>
            </w:r>
          </w:p>
        </w:tc>
        <w:tc>
          <w:tcPr>
            <w:tcW w:w="5867" w:type="dxa"/>
            <w:tcBorders>
              <w:top w:val="single" w:sz="12" w:space="0" w:color="auto"/>
              <w:bottom w:val="single" w:sz="8" w:space="0" w:color="auto"/>
            </w:tcBorders>
          </w:tcPr>
          <w:p w14:paraId="3F418D9A" w14:textId="77777777" w:rsidR="00682526" w:rsidRDefault="00682526" w:rsidP="00DA6E8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Associated criteria (tissue reaction)</w:t>
            </w:r>
          </w:p>
        </w:tc>
      </w:tr>
      <w:tr w:rsidR="00682526" w14:paraId="268F2E1B" w14:textId="77777777" w:rsidTr="00DA6E88">
        <w:tc>
          <w:tcPr>
            <w:tcW w:w="2655" w:type="dxa"/>
            <w:tcBorders>
              <w:top w:val="single" w:sz="8" w:space="0" w:color="auto"/>
              <w:tl2br w:val="nil"/>
              <w:tr2bl w:val="nil"/>
            </w:tcBorders>
          </w:tcPr>
          <w:p w14:paraId="0C339E82" w14:textId="77777777" w:rsidR="00682526" w:rsidRDefault="00682526" w:rsidP="00DA6E8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Grade 0: surface intact, cartilage morphology intact</w:t>
            </w:r>
          </w:p>
        </w:tc>
        <w:tc>
          <w:tcPr>
            <w:tcW w:w="5867" w:type="dxa"/>
            <w:tcBorders>
              <w:top w:val="single" w:sz="8" w:space="0" w:color="auto"/>
              <w:tl2br w:val="nil"/>
              <w:tr2bl w:val="nil"/>
            </w:tcBorders>
          </w:tcPr>
          <w:p w14:paraId="3354A497" w14:textId="77777777" w:rsidR="00682526" w:rsidRDefault="00682526" w:rsidP="00DA6E8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Matrix: normal architecture </w:t>
            </w:r>
          </w:p>
          <w:p w14:paraId="513AF3A5" w14:textId="77777777" w:rsidR="00682526" w:rsidRDefault="00682526" w:rsidP="00DA6E8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Cells: intact, appropriate orientation</w:t>
            </w:r>
          </w:p>
          <w:p w14:paraId="5DA1E305" w14:textId="77777777" w:rsidR="00682526" w:rsidRDefault="00682526" w:rsidP="00DA6E88">
            <w:pPr>
              <w:jc w:val="left"/>
              <w:rPr>
                <w:sz w:val="22"/>
                <w:szCs w:val="22"/>
              </w:rPr>
            </w:pPr>
          </w:p>
        </w:tc>
      </w:tr>
      <w:tr w:rsidR="00682526" w14:paraId="20E0E56F" w14:textId="77777777" w:rsidTr="00DA6E88">
        <w:tc>
          <w:tcPr>
            <w:tcW w:w="2655" w:type="dxa"/>
            <w:tcBorders>
              <w:tl2br w:val="nil"/>
              <w:tr2bl w:val="nil"/>
            </w:tcBorders>
          </w:tcPr>
          <w:p w14:paraId="5DE87BE0" w14:textId="77777777" w:rsidR="00682526" w:rsidRDefault="00682526" w:rsidP="00DA6E8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Grade 1: surface intact</w:t>
            </w:r>
          </w:p>
          <w:p w14:paraId="3AE537D0" w14:textId="77777777" w:rsidR="00682526" w:rsidRDefault="00682526" w:rsidP="00DA6E88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5867" w:type="dxa"/>
            <w:tcBorders>
              <w:tl2br w:val="nil"/>
              <w:tr2bl w:val="nil"/>
            </w:tcBorders>
          </w:tcPr>
          <w:p w14:paraId="069AEE93" w14:textId="77777777" w:rsidR="00682526" w:rsidRDefault="00682526" w:rsidP="00DA6E8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Matrix: superficial zone intact, </w:t>
            </w:r>
            <w:r w:rsidRPr="002763EF">
              <w:rPr>
                <w:sz w:val="22"/>
                <w:szCs w:val="22"/>
              </w:rPr>
              <w:t>edema</w:t>
            </w:r>
            <w:r>
              <w:rPr>
                <w:sz w:val="22"/>
                <w:szCs w:val="22"/>
              </w:rPr>
              <w:t xml:space="preserve"> and/or superficial fibrillation (abrasion), focal superficial matrix condensation </w:t>
            </w:r>
          </w:p>
          <w:p w14:paraId="00BF1FE0" w14:textId="77777777" w:rsidR="00682526" w:rsidRDefault="00682526" w:rsidP="00DA6E8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Cells: death, proliferation (clusters), hypertrophy, superficial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zone</w:t>
            </w:r>
          </w:p>
          <w:p w14:paraId="3F3676C4" w14:textId="77777777" w:rsidR="00682526" w:rsidRDefault="00682526" w:rsidP="00DA6E88">
            <w:pPr>
              <w:jc w:val="left"/>
              <w:rPr>
                <w:sz w:val="22"/>
                <w:szCs w:val="22"/>
              </w:rPr>
            </w:pPr>
          </w:p>
          <w:p w14:paraId="2777255B" w14:textId="77777777" w:rsidR="00682526" w:rsidRDefault="00682526" w:rsidP="00DA6E8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reaction must be more than superficial fibrillation only</w:t>
            </w:r>
          </w:p>
        </w:tc>
      </w:tr>
      <w:tr w:rsidR="00682526" w14:paraId="379BE67B" w14:textId="77777777" w:rsidTr="00DA6E88">
        <w:tc>
          <w:tcPr>
            <w:tcW w:w="2655" w:type="dxa"/>
            <w:tcBorders>
              <w:tl2br w:val="nil"/>
              <w:tr2bl w:val="nil"/>
            </w:tcBorders>
          </w:tcPr>
          <w:p w14:paraId="6ECE90D6" w14:textId="77777777" w:rsidR="00682526" w:rsidRDefault="00682526" w:rsidP="00DA6E8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Grade 2: surface discontinuity</w:t>
            </w:r>
          </w:p>
          <w:p w14:paraId="059766D2" w14:textId="77777777" w:rsidR="00682526" w:rsidRDefault="00682526" w:rsidP="00DA6E88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5867" w:type="dxa"/>
            <w:tcBorders>
              <w:tl2br w:val="nil"/>
              <w:tr2bl w:val="nil"/>
            </w:tcBorders>
          </w:tcPr>
          <w:p w14:paraId="1C502A2F" w14:textId="77777777" w:rsidR="00682526" w:rsidRDefault="00682526" w:rsidP="00DA6E8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As above </w:t>
            </w:r>
          </w:p>
          <w:p w14:paraId="4A6F00C6" w14:textId="77777777" w:rsidR="00682526" w:rsidRDefault="00682526" w:rsidP="00DA6E88">
            <w:pPr>
              <w:jc w:val="left"/>
              <w:rPr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＋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Matrix discontinuity at superficial zone (deep fibrillation) </w:t>
            </w:r>
          </w:p>
          <w:p w14:paraId="1F7D9282" w14:textId="77777777" w:rsidR="00682526" w:rsidRDefault="00682526" w:rsidP="00DA6E88">
            <w:pPr>
              <w:rPr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±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Cationic stain matrix depletion (Safranin O or Toluidine Blue) upper 1/3 of cartilage </w:t>
            </w:r>
          </w:p>
          <w:p w14:paraId="2F6A5241" w14:textId="77777777" w:rsidR="00682526" w:rsidRDefault="00682526" w:rsidP="00DA6E88">
            <w:pPr>
              <w:jc w:val="left"/>
              <w:rPr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 xml:space="preserve">± </w:t>
            </w:r>
            <w:r>
              <w:rPr>
                <w:sz w:val="22"/>
                <w:szCs w:val="22"/>
              </w:rPr>
              <w:t xml:space="preserve">Focal </w:t>
            </w:r>
            <w:proofErr w:type="spellStart"/>
            <w:r>
              <w:rPr>
                <w:sz w:val="22"/>
                <w:szCs w:val="22"/>
              </w:rPr>
              <w:t>perichondronal</w:t>
            </w:r>
            <w:proofErr w:type="spellEnd"/>
            <w:r>
              <w:rPr>
                <w:sz w:val="22"/>
                <w:szCs w:val="22"/>
              </w:rPr>
              <w:t xml:space="preserve"> increased stain (mid zone) </w:t>
            </w:r>
          </w:p>
          <w:p w14:paraId="1CE256F7" w14:textId="77777777" w:rsidR="00682526" w:rsidRDefault="00682526" w:rsidP="00DA6E88">
            <w:pPr>
              <w:jc w:val="left"/>
              <w:rPr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 xml:space="preserve">± </w:t>
            </w:r>
            <w:r>
              <w:rPr>
                <w:sz w:val="22"/>
                <w:szCs w:val="22"/>
              </w:rPr>
              <w:t xml:space="preserve">Disorientation of </w:t>
            </w:r>
            <w:proofErr w:type="spellStart"/>
            <w:r>
              <w:rPr>
                <w:sz w:val="22"/>
                <w:szCs w:val="22"/>
              </w:rPr>
              <w:t>chondron</w:t>
            </w:r>
            <w:proofErr w:type="spellEnd"/>
            <w:r>
              <w:rPr>
                <w:sz w:val="22"/>
                <w:szCs w:val="22"/>
              </w:rPr>
              <w:t xml:space="preserve"> columns </w:t>
            </w:r>
          </w:p>
          <w:p w14:paraId="322F02EB" w14:textId="77777777" w:rsidR="00682526" w:rsidRDefault="00682526" w:rsidP="00DA6E8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Cells: death, proliferation (clusters), hypertrophy</w:t>
            </w:r>
          </w:p>
          <w:p w14:paraId="508FCC42" w14:textId="77777777" w:rsidR="00682526" w:rsidRDefault="00682526" w:rsidP="00DA6E88">
            <w:pPr>
              <w:jc w:val="left"/>
              <w:rPr>
                <w:sz w:val="22"/>
                <w:szCs w:val="22"/>
              </w:rPr>
            </w:pPr>
          </w:p>
        </w:tc>
      </w:tr>
      <w:tr w:rsidR="00682526" w14:paraId="0AF0874B" w14:textId="77777777" w:rsidTr="00DA6E88">
        <w:tc>
          <w:tcPr>
            <w:tcW w:w="2655" w:type="dxa"/>
            <w:tcBorders>
              <w:tl2br w:val="nil"/>
              <w:tr2bl w:val="nil"/>
            </w:tcBorders>
          </w:tcPr>
          <w:p w14:paraId="72E5C2BD" w14:textId="77777777" w:rsidR="00682526" w:rsidRDefault="00682526" w:rsidP="00DA6E8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Grade 3: vertical </w:t>
            </w:r>
          </w:p>
          <w:p w14:paraId="736CC67E" w14:textId="77777777" w:rsidR="00682526" w:rsidRDefault="00682526" w:rsidP="00DA6E8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fissures (clefts)</w:t>
            </w:r>
          </w:p>
        </w:tc>
        <w:tc>
          <w:tcPr>
            <w:tcW w:w="5867" w:type="dxa"/>
            <w:tcBorders>
              <w:tl2br w:val="nil"/>
              <w:tr2bl w:val="nil"/>
            </w:tcBorders>
          </w:tcPr>
          <w:p w14:paraId="2F07B71A" w14:textId="77777777" w:rsidR="00682526" w:rsidRDefault="00682526" w:rsidP="00DA6E8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As above </w:t>
            </w:r>
          </w:p>
          <w:p w14:paraId="56082681" w14:textId="77777777" w:rsidR="00682526" w:rsidRDefault="00682526" w:rsidP="00DA6E8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Matrix vertical fissures into mid zone, branched fissures </w:t>
            </w:r>
          </w:p>
          <w:p w14:paraId="11B9F656" w14:textId="77777777" w:rsidR="00682526" w:rsidRDefault="00682526" w:rsidP="00DA6E88">
            <w:pPr>
              <w:rPr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±</w:t>
            </w:r>
            <w:r>
              <w:rPr>
                <w:sz w:val="22"/>
                <w:szCs w:val="22"/>
              </w:rPr>
              <w:t xml:space="preserve">Cationic stain depletion (Safranin O or Toluidine Blue) into lower 2/3 of cartilage (deep zone) </w:t>
            </w:r>
          </w:p>
          <w:p w14:paraId="262C020F" w14:textId="77777777" w:rsidR="00682526" w:rsidRDefault="00682526" w:rsidP="00DA6E88">
            <w:pPr>
              <w:rPr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±</w:t>
            </w:r>
            <w:r>
              <w:rPr>
                <w:sz w:val="22"/>
                <w:szCs w:val="22"/>
              </w:rPr>
              <w:t xml:space="preserve">New collagen formation (polarized light microscopy, </w:t>
            </w:r>
            <w:proofErr w:type="spellStart"/>
            <w:r>
              <w:rPr>
                <w:sz w:val="22"/>
                <w:szCs w:val="22"/>
              </w:rPr>
              <w:t>Picro</w:t>
            </w:r>
            <w:proofErr w:type="spellEnd"/>
            <w:r>
              <w:rPr>
                <w:sz w:val="22"/>
                <w:szCs w:val="22"/>
              </w:rPr>
              <w:t xml:space="preserve"> Sirius Red stain) </w:t>
            </w:r>
          </w:p>
          <w:p w14:paraId="0157B180" w14:textId="77777777" w:rsidR="00682526" w:rsidRDefault="00682526" w:rsidP="00DA6E8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Cells: death, regeneration (clusters), hypertrophy, cartilage domains adjacent to fissures</w:t>
            </w:r>
          </w:p>
          <w:p w14:paraId="1C4129E2" w14:textId="77777777" w:rsidR="00682526" w:rsidRDefault="00682526" w:rsidP="00DA6E88">
            <w:pPr>
              <w:jc w:val="left"/>
              <w:rPr>
                <w:sz w:val="22"/>
                <w:szCs w:val="22"/>
              </w:rPr>
            </w:pPr>
          </w:p>
        </w:tc>
      </w:tr>
      <w:tr w:rsidR="00682526" w14:paraId="1508A25B" w14:textId="77777777" w:rsidTr="00DA6E88">
        <w:tc>
          <w:tcPr>
            <w:tcW w:w="2655" w:type="dxa"/>
            <w:tcBorders>
              <w:tl2br w:val="nil"/>
              <w:tr2bl w:val="nil"/>
            </w:tcBorders>
          </w:tcPr>
          <w:p w14:paraId="4882EC19" w14:textId="77777777" w:rsidR="00682526" w:rsidRDefault="00682526" w:rsidP="00DA6E8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Grade 4</w:t>
            </w:r>
            <w:r>
              <w:rPr>
                <w:rFonts w:hint="eastAsia"/>
                <w:sz w:val="22"/>
                <w:szCs w:val="22"/>
              </w:rPr>
              <w:t>: erosion</w:t>
            </w:r>
          </w:p>
        </w:tc>
        <w:tc>
          <w:tcPr>
            <w:tcW w:w="5867" w:type="dxa"/>
            <w:tcBorders>
              <w:tl2br w:val="nil"/>
              <w:tr2bl w:val="nil"/>
            </w:tcBorders>
          </w:tcPr>
          <w:p w14:paraId="61A864D7" w14:textId="77777777" w:rsidR="00682526" w:rsidRDefault="00682526" w:rsidP="00DA6E8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Cartilage matrix loss: delamination of superficial layer, mid-layer cyst formation </w:t>
            </w:r>
          </w:p>
          <w:p w14:paraId="143187E4" w14:textId="77777777" w:rsidR="00682526" w:rsidRDefault="00682526" w:rsidP="00DA6E8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Excavation: matrix loss superficial layer and mid zone</w:t>
            </w:r>
          </w:p>
          <w:p w14:paraId="4B36EC00" w14:textId="77777777" w:rsidR="00682526" w:rsidRDefault="00682526" w:rsidP="00DA6E88">
            <w:pPr>
              <w:jc w:val="left"/>
              <w:rPr>
                <w:sz w:val="22"/>
                <w:szCs w:val="22"/>
              </w:rPr>
            </w:pPr>
          </w:p>
        </w:tc>
      </w:tr>
      <w:tr w:rsidR="00682526" w14:paraId="4E30366C" w14:textId="77777777" w:rsidTr="00DA6E88">
        <w:tc>
          <w:tcPr>
            <w:tcW w:w="2655" w:type="dxa"/>
            <w:tcBorders>
              <w:bottom w:val="nil"/>
            </w:tcBorders>
          </w:tcPr>
          <w:p w14:paraId="0749352F" w14:textId="77777777" w:rsidR="00682526" w:rsidRDefault="00682526" w:rsidP="00DA6E8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Grade 5</w:t>
            </w:r>
            <w:r>
              <w:rPr>
                <w:rFonts w:hint="eastAsia"/>
                <w:sz w:val="22"/>
                <w:szCs w:val="22"/>
              </w:rPr>
              <w:t>: denudation</w:t>
            </w:r>
          </w:p>
        </w:tc>
        <w:tc>
          <w:tcPr>
            <w:tcW w:w="5867" w:type="dxa"/>
            <w:tcBorders>
              <w:bottom w:val="nil"/>
            </w:tcBorders>
          </w:tcPr>
          <w:p w14:paraId="1E8A016D" w14:textId="77777777" w:rsidR="00682526" w:rsidRDefault="00682526" w:rsidP="00DA6E8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Surface: sclerotic bone or reparative tissue</w:t>
            </w:r>
            <w:r>
              <w:rPr>
                <w:rFonts w:hint="eastAsia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including fibrocartilage within the denuded surface. Microfracture with </w:t>
            </w:r>
          </w:p>
          <w:p w14:paraId="2F6572AA" w14:textId="77777777" w:rsidR="00682526" w:rsidRDefault="00682526" w:rsidP="00DA6E8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repair limited to the bone surface</w:t>
            </w:r>
          </w:p>
          <w:p w14:paraId="61ECA2D8" w14:textId="77777777" w:rsidR="00682526" w:rsidRDefault="00682526" w:rsidP="00DA6E88">
            <w:pPr>
              <w:jc w:val="left"/>
              <w:rPr>
                <w:sz w:val="22"/>
                <w:szCs w:val="22"/>
              </w:rPr>
            </w:pPr>
          </w:p>
        </w:tc>
      </w:tr>
      <w:tr w:rsidR="00682526" w14:paraId="21268A0D" w14:textId="77777777" w:rsidTr="00DA6E88">
        <w:tc>
          <w:tcPr>
            <w:tcW w:w="2655" w:type="dxa"/>
            <w:tcBorders>
              <w:top w:val="nil"/>
            </w:tcBorders>
          </w:tcPr>
          <w:p w14:paraId="2AA4B40A" w14:textId="77777777" w:rsidR="00682526" w:rsidRDefault="00682526" w:rsidP="00DA6E8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Grade 6</w:t>
            </w:r>
            <w:r>
              <w:rPr>
                <w:rFonts w:hint="eastAsia"/>
                <w:sz w:val="22"/>
                <w:szCs w:val="22"/>
              </w:rPr>
              <w:t>: deformation</w:t>
            </w:r>
          </w:p>
        </w:tc>
        <w:tc>
          <w:tcPr>
            <w:tcW w:w="5867" w:type="dxa"/>
            <w:tcBorders>
              <w:top w:val="nil"/>
            </w:tcBorders>
          </w:tcPr>
          <w:p w14:paraId="0B9B9F34" w14:textId="77777777" w:rsidR="00682526" w:rsidRDefault="00682526" w:rsidP="00DA6E8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Bone remodeling (more than osteophyte formation only). Includes: microfracture with fibrocartilaginous and osseous </w:t>
            </w:r>
          </w:p>
          <w:p w14:paraId="6C3750E0" w14:textId="77777777" w:rsidR="00682526" w:rsidRDefault="00682526" w:rsidP="00DA6E8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repair extending above the previous surface</w:t>
            </w:r>
          </w:p>
        </w:tc>
      </w:tr>
    </w:tbl>
    <w:p w14:paraId="1184AC48" w14:textId="4505A893" w:rsidR="00682526" w:rsidRDefault="00682526" w:rsidP="00682526">
      <w:pPr>
        <w:rPr>
          <w:rFonts w:ascii="Times New Roman" w:hAnsi="Times New Roman" w:cs="Times New Roman"/>
          <w:sz w:val="22"/>
          <w:szCs w:val="22"/>
        </w:rPr>
      </w:pPr>
    </w:p>
    <w:p w14:paraId="1C29B20A" w14:textId="77777777" w:rsidR="005C7B76" w:rsidRDefault="005C7B76" w:rsidP="005C7B76">
      <w:pPr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Grade </w:t>
      </w:r>
      <w:r>
        <w:rPr>
          <w:rFonts w:ascii="Times New Roman" w:hAnsi="Times New Roman" w:cs="Times New Roman" w:hint="eastAsia"/>
          <w:sz w:val="22"/>
          <w:szCs w:val="22"/>
        </w:rPr>
        <w:t>=</w:t>
      </w:r>
      <w:r>
        <w:rPr>
          <w:rFonts w:ascii="Times New Roman" w:hAnsi="Times New Roman" w:cs="Times New Roman"/>
          <w:sz w:val="22"/>
          <w:szCs w:val="22"/>
        </w:rPr>
        <w:t xml:space="preserve"> depth progression into cartilage.</w:t>
      </w:r>
    </w:p>
    <w:p w14:paraId="617B447B" w14:textId="77777777" w:rsidR="005C7B76" w:rsidRPr="005C7B76" w:rsidRDefault="005C7B76" w:rsidP="00682526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6512C558" w14:textId="77777777" w:rsidR="005C7B76" w:rsidRDefault="005C7B76" w:rsidP="00682526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0520D743" w14:textId="50FF1699" w:rsidR="00682526" w:rsidRDefault="00682526" w:rsidP="00682526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 w:hint="eastAsia"/>
          <w:b/>
          <w:bCs/>
          <w:sz w:val="22"/>
          <w:szCs w:val="22"/>
        </w:rPr>
        <w:t xml:space="preserve">Supplementary </w:t>
      </w:r>
      <w:r>
        <w:rPr>
          <w:rFonts w:ascii="Times New Roman" w:hAnsi="Times New Roman" w:cs="Times New Roman"/>
          <w:b/>
          <w:bCs/>
          <w:sz w:val="22"/>
          <w:szCs w:val="22"/>
        </w:rPr>
        <w:t>Figure 1</w:t>
      </w:r>
      <w:r>
        <w:rPr>
          <w:rFonts w:ascii="Times New Roman" w:hAnsi="Times New Roman" w:cs="Times New Roman" w:hint="eastAsia"/>
          <w:b/>
          <w:bCs/>
          <w:sz w:val="22"/>
          <w:szCs w:val="22"/>
        </w:rPr>
        <w:t>.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187F23">
        <w:rPr>
          <w:rFonts w:ascii="Times New Roman" w:hAnsi="Times New Roman"/>
          <w:sz w:val="22"/>
        </w:rPr>
        <w:t>Annotation of acupoints in supine mice</w:t>
      </w:r>
    </w:p>
    <w:p w14:paraId="514FBB6B" w14:textId="77E3A466" w:rsidR="00682526" w:rsidRPr="00682526" w:rsidRDefault="00682526" w:rsidP="00682526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 w:hint="eastAsia"/>
          <w:noProof/>
          <w:sz w:val="22"/>
          <w:szCs w:val="22"/>
        </w:rPr>
        <w:drawing>
          <wp:inline distT="0" distB="0" distL="0" distR="0" wp14:anchorId="7326D084" wp14:editId="4A1834F2">
            <wp:extent cx="5274310" cy="35318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558C4" w14:textId="20FEBD8F" w:rsidR="00CA1D45" w:rsidRDefault="00CA1D45"/>
    <w:p w14:paraId="67BADB82" w14:textId="77777777" w:rsidR="00FB48CD" w:rsidRDefault="00FB48CD">
      <w:pPr>
        <w:rPr>
          <w:rFonts w:hint="eastAsia"/>
        </w:rPr>
      </w:pPr>
    </w:p>
    <w:p w14:paraId="344457CE" w14:textId="3121757E" w:rsidR="00682526" w:rsidRDefault="00682526" w:rsidP="00682526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 w:hint="eastAsia"/>
          <w:b/>
          <w:bCs/>
          <w:sz w:val="22"/>
          <w:szCs w:val="22"/>
        </w:rPr>
        <w:t xml:space="preserve">Supplementary </w:t>
      </w:r>
      <w:r>
        <w:rPr>
          <w:rFonts w:ascii="Times New Roman" w:hAnsi="Times New Roman" w:cs="Times New Roman"/>
          <w:b/>
          <w:bCs/>
          <w:sz w:val="22"/>
          <w:szCs w:val="22"/>
        </w:rPr>
        <w:t>Figure 2</w:t>
      </w:r>
      <w:r>
        <w:rPr>
          <w:rFonts w:ascii="Times New Roman" w:hAnsi="Times New Roman" w:cs="Times New Roman" w:hint="eastAsia"/>
          <w:b/>
          <w:bCs/>
          <w:sz w:val="22"/>
          <w:szCs w:val="22"/>
        </w:rPr>
        <w:t>.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/>
          <w:sz w:val="22"/>
        </w:rPr>
        <w:t xml:space="preserve">The electronic intelligent </w:t>
      </w:r>
      <w:r>
        <w:rPr>
          <w:rFonts w:ascii="Times New Roman" w:hAnsi="Times New Roman" w:hint="eastAsia"/>
          <w:color w:val="000000"/>
          <w:sz w:val="22"/>
        </w:rPr>
        <w:t>f</w:t>
      </w:r>
      <w:r>
        <w:rPr>
          <w:rFonts w:ascii="Times New Roman" w:hAnsi="Times New Roman"/>
          <w:color w:val="000000"/>
          <w:sz w:val="22"/>
        </w:rPr>
        <w:t xml:space="preserve">ire </w:t>
      </w:r>
      <w:r>
        <w:rPr>
          <w:rFonts w:ascii="Times New Roman" w:hAnsi="Times New Roman"/>
          <w:sz w:val="22"/>
        </w:rPr>
        <w:t>needling acupuncture</w:t>
      </w:r>
    </w:p>
    <w:p w14:paraId="26916E61" w14:textId="5FF41C77" w:rsidR="00682526" w:rsidRDefault="00682526">
      <w:r>
        <w:rPr>
          <w:rFonts w:hint="eastAsia"/>
          <w:noProof/>
        </w:rPr>
        <w:drawing>
          <wp:inline distT="0" distB="0" distL="0" distR="0" wp14:anchorId="42DAAB1C" wp14:editId="7DA51F82">
            <wp:extent cx="5274310" cy="39433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46F13" w14:textId="6B09FD24" w:rsidR="000342A7" w:rsidRDefault="000342A7">
      <w:pPr>
        <w:widowControl/>
        <w:jc w:val="left"/>
      </w:pPr>
      <w:r>
        <w:br w:type="page"/>
      </w:r>
    </w:p>
    <w:p w14:paraId="20BD3382" w14:textId="27FEEE08" w:rsidR="00093279" w:rsidRDefault="00093279" w:rsidP="005C7B76">
      <w:pPr>
        <w:spacing w:line="360" w:lineRule="auto"/>
        <w:rPr>
          <w:rFonts w:ascii="Times New Roman" w:hAnsi="Times New Roman" w:cs="Times New Roman"/>
          <w:b/>
          <w:bCs/>
          <w:sz w:val="22"/>
          <w:szCs w:val="22"/>
        </w:rPr>
      </w:pPr>
      <w:bookmarkStart w:id="2" w:name="_Hlk98702184"/>
      <w:r>
        <w:rPr>
          <w:rFonts w:ascii="Times New Roman" w:hAnsi="Times New Roman" w:cs="Times New Roman" w:hint="eastAsia"/>
          <w:b/>
          <w:bCs/>
          <w:sz w:val="22"/>
          <w:szCs w:val="22"/>
        </w:rPr>
        <w:lastRenderedPageBreak/>
        <w:t xml:space="preserve">Supplementary </w:t>
      </w:r>
      <w:r>
        <w:rPr>
          <w:rFonts w:ascii="Times New Roman" w:hAnsi="Times New Roman" w:cs="Times New Roman"/>
          <w:b/>
          <w:bCs/>
          <w:sz w:val="22"/>
          <w:szCs w:val="22"/>
        </w:rPr>
        <w:t>Figure 3</w:t>
      </w:r>
      <w:bookmarkEnd w:id="2"/>
      <w:r>
        <w:rPr>
          <w:rFonts w:ascii="Times New Roman" w:hAnsi="Times New Roman" w:cs="Times New Roman" w:hint="eastAsia"/>
          <w:b/>
          <w:bCs/>
          <w:sz w:val="22"/>
          <w:szCs w:val="22"/>
        </w:rPr>
        <w:t>.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/>
          <w:sz w:val="22"/>
        </w:rPr>
        <w:t xml:space="preserve">The </w:t>
      </w:r>
      <w:r w:rsidR="00C66D7E" w:rsidRPr="003E769E">
        <w:rPr>
          <w:rFonts w:ascii="Times New Roman" w:hAnsi="Times New Roman" w:cs="Times New Roman"/>
          <w:sz w:val="22"/>
        </w:rPr>
        <w:t>procedure</w:t>
      </w:r>
      <w:r w:rsidR="00C66D7E">
        <w:rPr>
          <w:rFonts w:ascii="Times New Roman" w:hAnsi="Times New Roman"/>
          <w:sz w:val="22"/>
        </w:rPr>
        <w:t xml:space="preserve"> of</w:t>
      </w:r>
      <w:r>
        <w:rPr>
          <w:rFonts w:ascii="Times New Roman" w:hAnsi="Times New Roman"/>
          <w:sz w:val="22"/>
        </w:rPr>
        <w:t xml:space="preserve"> </w:t>
      </w:r>
      <w:r w:rsidRPr="003E769E">
        <w:rPr>
          <w:rFonts w:ascii="Times New Roman" w:hAnsi="Times New Roman" w:cs="Times New Roman"/>
          <w:sz w:val="22"/>
          <w:szCs w:val="22"/>
        </w:rPr>
        <w:t>needling in mice</w:t>
      </w:r>
    </w:p>
    <w:p w14:paraId="65B6613C" w14:textId="66CD9271" w:rsidR="00093279" w:rsidRDefault="00093279">
      <w:r>
        <w:rPr>
          <w:rFonts w:hint="eastAsia"/>
          <w:noProof/>
        </w:rPr>
        <w:drawing>
          <wp:inline distT="0" distB="0" distL="0" distR="0" wp14:anchorId="75ED715C" wp14:editId="3AF6AE07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AA5B2" w14:textId="77777777" w:rsidR="000342A7" w:rsidRDefault="000342A7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4465382C" w14:textId="02680164" w:rsidR="000342A7" w:rsidRDefault="000342A7" w:rsidP="000342A7">
      <w:pPr>
        <w:widowControl/>
        <w:jc w:val="left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br w:type="page"/>
      </w:r>
    </w:p>
    <w:p w14:paraId="7777F701" w14:textId="251609CD" w:rsidR="000342A7" w:rsidRDefault="000342A7" w:rsidP="005C7B76">
      <w:pPr>
        <w:spacing w:line="360" w:lineRule="auto"/>
        <w:rPr>
          <w:rFonts w:ascii="Times New Roman" w:hAnsi="Times New Roman" w:cs="Times New Roman"/>
          <w:b/>
          <w:bCs/>
          <w:sz w:val="22"/>
          <w:szCs w:val="22"/>
        </w:rPr>
      </w:pPr>
      <w:bookmarkStart w:id="3" w:name="_Hlk98709493"/>
      <w:r>
        <w:rPr>
          <w:rFonts w:ascii="Times New Roman" w:hAnsi="Times New Roman" w:cs="Times New Roman" w:hint="eastAsia"/>
          <w:b/>
          <w:bCs/>
          <w:sz w:val="22"/>
          <w:szCs w:val="22"/>
        </w:rPr>
        <w:lastRenderedPageBreak/>
        <w:t xml:space="preserve">Supplementary </w:t>
      </w:r>
      <w:r>
        <w:rPr>
          <w:rFonts w:ascii="Times New Roman" w:hAnsi="Times New Roman" w:cs="Times New Roman"/>
          <w:b/>
          <w:bCs/>
          <w:sz w:val="22"/>
          <w:szCs w:val="22"/>
        </w:rPr>
        <w:t>Figure 4</w:t>
      </w:r>
      <w:bookmarkEnd w:id="3"/>
      <w:r>
        <w:rPr>
          <w:rFonts w:ascii="Times New Roman" w:hAnsi="Times New Roman" w:cs="Times New Roman" w:hint="eastAsia"/>
          <w:b/>
          <w:bCs/>
          <w:sz w:val="22"/>
          <w:szCs w:val="22"/>
        </w:rPr>
        <w:t>.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087404">
        <w:rPr>
          <w:rFonts w:ascii="Times New Roman" w:hAnsi="Times New Roman"/>
          <w:sz w:val="22"/>
        </w:rPr>
        <w:t>H</w:t>
      </w:r>
      <w:r w:rsidR="00087404" w:rsidRPr="00C5165D">
        <w:rPr>
          <w:rFonts w:ascii="Times New Roman" w:hAnsi="Times New Roman"/>
          <w:sz w:val="22"/>
        </w:rPr>
        <w:t>ematoxylin and eosin</w:t>
      </w:r>
      <w:r w:rsidR="00087404">
        <w:rPr>
          <w:rFonts w:ascii="Times New Roman" w:hAnsi="Times New Roman"/>
          <w:sz w:val="22"/>
        </w:rPr>
        <w:t xml:space="preserve"> (HE)</w:t>
      </w:r>
      <w:r w:rsidR="00087404" w:rsidRPr="00087404">
        <w:rPr>
          <w:rFonts w:ascii="Times New Roman" w:hAnsi="Times New Roman"/>
          <w:sz w:val="22"/>
        </w:rPr>
        <w:t xml:space="preserve"> </w:t>
      </w:r>
      <w:r w:rsidR="00087404" w:rsidRPr="00C5165D">
        <w:rPr>
          <w:rFonts w:ascii="Times New Roman" w:hAnsi="Times New Roman"/>
          <w:sz w:val="22"/>
        </w:rPr>
        <w:t>staining</w:t>
      </w:r>
      <w:r w:rsidR="00087404" w:rsidRPr="00087404">
        <w:rPr>
          <w:rFonts w:ascii="Times New Roman" w:hAnsi="Times New Roman"/>
          <w:sz w:val="22"/>
        </w:rPr>
        <w:t xml:space="preserve"> of the whole joint</w:t>
      </w:r>
    </w:p>
    <w:p w14:paraId="10A4666C" w14:textId="14E1F9A3" w:rsidR="005C7B76" w:rsidRDefault="005C7B76" w:rsidP="00087404">
      <w:pPr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031C7439" wp14:editId="3A26B705">
            <wp:extent cx="5227118" cy="112667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568" cy="112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2ADAB" w14:textId="0F8AD13B" w:rsidR="005C7B76" w:rsidRDefault="005C7B76" w:rsidP="005C7B76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754D62E3" w14:textId="7C3700F9" w:rsidR="005C7B76" w:rsidRDefault="005C7B76" w:rsidP="005C7B76">
      <w:pPr>
        <w:spacing w:line="360" w:lineRule="auto"/>
        <w:rPr>
          <w:rFonts w:ascii="Times New Roman" w:hAnsi="Times New Roman" w:cs="Times New Roman"/>
          <w:b/>
          <w:bCs/>
          <w:sz w:val="22"/>
          <w:szCs w:val="22"/>
        </w:rPr>
      </w:pPr>
      <w:bookmarkStart w:id="4" w:name="OLE_LINK3"/>
      <w:r>
        <w:rPr>
          <w:rFonts w:ascii="Times New Roman" w:hAnsi="Times New Roman" w:cs="Times New Roman" w:hint="eastAsia"/>
          <w:b/>
          <w:bCs/>
          <w:sz w:val="22"/>
          <w:szCs w:val="22"/>
        </w:rPr>
        <w:t xml:space="preserve">Supplementary </w:t>
      </w:r>
      <w:r>
        <w:rPr>
          <w:rFonts w:ascii="Times New Roman" w:hAnsi="Times New Roman" w:cs="Times New Roman"/>
          <w:b/>
          <w:bCs/>
          <w:sz w:val="22"/>
          <w:szCs w:val="22"/>
        </w:rPr>
        <w:t>Figure 5</w:t>
      </w:r>
      <w:bookmarkEnd w:id="4"/>
      <w:r>
        <w:rPr>
          <w:rFonts w:ascii="Times New Roman" w:hAnsi="Times New Roman" w:cs="Times New Roman" w:hint="eastAsia"/>
          <w:b/>
          <w:bCs/>
          <w:sz w:val="22"/>
          <w:szCs w:val="22"/>
        </w:rPr>
        <w:t>.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A93E8E" w:rsidRPr="00A93E8E">
        <w:rPr>
          <w:rFonts w:ascii="Times New Roman" w:hAnsi="Times New Roman" w:cs="Times New Roman"/>
          <w:sz w:val="22"/>
          <w:szCs w:val="22"/>
        </w:rPr>
        <w:t>Comparison of serum inflammatory cytokine concentrations</w:t>
      </w:r>
    </w:p>
    <w:p w14:paraId="5B8971B0" w14:textId="4C462B12" w:rsidR="005C7B76" w:rsidRDefault="005C7B76" w:rsidP="00087404">
      <w:pPr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 w:hint="eastAsia"/>
          <w:noProof/>
          <w:sz w:val="22"/>
          <w:szCs w:val="22"/>
        </w:rPr>
        <w:drawing>
          <wp:inline distT="0" distB="0" distL="0" distR="0" wp14:anchorId="3AEF2A1B" wp14:editId="61A47298">
            <wp:extent cx="5328557" cy="1177209"/>
            <wp:effectExtent l="0" t="0" r="571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617" cy="11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88AD5" w14:textId="5EC5E88B" w:rsidR="000342A7" w:rsidRPr="000342A7" w:rsidRDefault="000342A7" w:rsidP="005C7B76">
      <w:pPr>
        <w:spacing w:line="360" w:lineRule="auto"/>
        <w:jc w:val="center"/>
      </w:pPr>
    </w:p>
    <w:sectPr w:rsidR="000342A7" w:rsidRPr="000342A7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8C885" w14:textId="77777777" w:rsidR="001A36A5" w:rsidRDefault="001A36A5" w:rsidP="00682526">
      <w:r>
        <w:separator/>
      </w:r>
    </w:p>
  </w:endnote>
  <w:endnote w:type="continuationSeparator" w:id="0">
    <w:p w14:paraId="067E1030" w14:textId="77777777" w:rsidR="001A36A5" w:rsidRDefault="001A36A5" w:rsidP="006825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82457117"/>
      <w:docPartObj>
        <w:docPartGallery w:val="Page Numbers (Bottom of Page)"/>
        <w:docPartUnique/>
      </w:docPartObj>
    </w:sdtPr>
    <w:sdtEndPr/>
    <w:sdtContent>
      <w:p w14:paraId="52723EFE" w14:textId="5F40CBAA" w:rsidR="00087404" w:rsidRDefault="0008740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00F3FF2" w14:textId="77777777" w:rsidR="00087404" w:rsidRDefault="0008740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06DD2" w14:textId="77777777" w:rsidR="001A36A5" w:rsidRDefault="001A36A5" w:rsidP="00682526">
      <w:r>
        <w:separator/>
      </w:r>
    </w:p>
  </w:footnote>
  <w:footnote w:type="continuationSeparator" w:id="0">
    <w:p w14:paraId="75B5004A" w14:textId="77777777" w:rsidR="001A36A5" w:rsidRDefault="001A36A5" w:rsidP="006825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45"/>
    <w:rsid w:val="000342A7"/>
    <w:rsid w:val="00087404"/>
    <w:rsid w:val="00093279"/>
    <w:rsid w:val="001A36A5"/>
    <w:rsid w:val="002D3220"/>
    <w:rsid w:val="00472133"/>
    <w:rsid w:val="004C7630"/>
    <w:rsid w:val="005C7B76"/>
    <w:rsid w:val="00681B2E"/>
    <w:rsid w:val="00682526"/>
    <w:rsid w:val="0089530B"/>
    <w:rsid w:val="00A93E8E"/>
    <w:rsid w:val="00C66D7E"/>
    <w:rsid w:val="00C705DC"/>
    <w:rsid w:val="00C708EC"/>
    <w:rsid w:val="00CA1D45"/>
    <w:rsid w:val="00D11755"/>
    <w:rsid w:val="00FB48CD"/>
    <w:rsid w:val="00FC5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31EAB2"/>
  <w15:chartTrackingRefBased/>
  <w15:docId w15:val="{C694745C-F0CB-46FB-B15E-5E877D3B8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2526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25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8252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825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82526"/>
    <w:rPr>
      <w:sz w:val="18"/>
      <w:szCs w:val="18"/>
    </w:rPr>
  </w:style>
  <w:style w:type="table" w:styleId="a7">
    <w:name w:val="Table Grid"/>
    <w:basedOn w:val="a1"/>
    <w:qFormat/>
    <w:rsid w:val="00682526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587</Words>
  <Characters>3346</Characters>
  <Application>Microsoft Office Word</Application>
  <DocSecurity>0</DocSecurity>
  <Lines>27</Lines>
  <Paragraphs>7</Paragraphs>
  <ScaleCrop>false</ScaleCrop>
  <Company/>
  <LinksUpToDate>false</LinksUpToDate>
  <CharactersWithSpaces>3926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 jiangyan</dc:creator>
  <cp:keywords/>
  <dc:description/>
  <cp:lastModifiedBy>wei jiangyan</cp:lastModifiedBy>
  <cp:revision>6</cp:revision>
  <dcterms:created xsi:type="dcterms:W3CDTF">2022-03-14T02:15:00Z</dcterms:created>
  <dcterms:modified xsi:type="dcterms:W3CDTF">2022-03-20T21:32:00Z</dcterms:modified>
</cp:coreProperties>
</file>