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85A1" w14:textId="0D115AE2" w:rsidR="00FA1AA9" w:rsidRPr="009166E3" w:rsidRDefault="00FA1AA9" w:rsidP="00FA1AA9">
      <w:pPr>
        <w:pStyle w:val="Heading1"/>
        <w:jc w:val="both"/>
        <w:rPr>
          <w:rFonts w:ascii="Arial" w:hAnsi="Arial" w:cs="Arial"/>
          <w:sz w:val="32"/>
          <w:lang w:val="en-GB"/>
        </w:rPr>
      </w:pPr>
      <w:r w:rsidRPr="009166E3">
        <w:rPr>
          <w:rFonts w:ascii="Arial" w:hAnsi="Arial" w:cs="Arial"/>
          <w:sz w:val="32"/>
          <w:lang w:val="en-GB"/>
        </w:rPr>
        <w:t>Online supplement</w:t>
      </w:r>
    </w:p>
    <w:p w14:paraId="52B7E07D" w14:textId="26A3C326" w:rsidR="00D84D5B" w:rsidRPr="009166E3" w:rsidRDefault="00D84D5B" w:rsidP="004D123F">
      <w:pPr>
        <w:pStyle w:val="BodyText"/>
        <w:spacing w:after="0" w:line="480" w:lineRule="auto"/>
        <w:jc w:val="both"/>
        <w:outlineLvl w:val="1"/>
        <w:rPr>
          <w:rFonts w:ascii="Arial" w:hAnsi="Arial" w:cs="Arial"/>
          <w:b/>
          <w:bCs/>
          <w:i/>
          <w:iCs/>
          <w:sz w:val="28"/>
          <w:szCs w:val="28"/>
        </w:rPr>
      </w:pPr>
      <w:r w:rsidRPr="009166E3">
        <w:rPr>
          <w:rFonts w:ascii="Arial" w:hAnsi="Arial" w:cs="Arial"/>
          <w:b/>
          <w:bCs/>
          <w:i/>
          <w:iCs/>
          <w:sz w:val="28"/>
          <w:szCs w:val="28"/>
        </w:rPr>
        <w:t>Systematic literature review update results</w:t>
      </w:r>
    </w:p>
    <w:p w14:paraId="69630464" w14:textId="2D18B007" w:rsidR="00CA4F24" w:rsidRPr="009166E3" w:rsidRDefault="00CA4F24" w:rsidP="00CA4F24">
      <w:pPr>
        <w:pStyle w:val="BodyText"/>
        <w:spacing w:line="480" w:lineRule="auto"/>
        <w:rPr>
          <w:rFonts w:ascii="Arial" w:hAnsi="Arial" w:cs="Arial"/>
          <w:sz w:val="20"/>
          <w:szCs w:val="20"/>
        </w:rPr>
      </w:pPr>
      <w:r w:rsidRPr="009166E3">
        <w:rPr>
          <w:rFonts w:ascii="Arial" w:hAnsi="Arial" w:cs="Arial"/>
          <w:sz w:val="20"/>
          <w:szCs w:val="20"/>
        </w:rPr>
        <w:t>A total of 227 and 59 articles published March 2017 to May 2020 were included in the clinical effectiveness and economic/</w:t>
      </w:r>
      <w:proofErr w:type="spellStart"/>
      <w:r w:rsidRPr="009166E3">
        <w:rPr>
          <w:rFonts w:ascii="Arial" w:hAnsi="Arial" w:cs="Arial"/>
          <w:sz w:val="20"/>
          <w:szCs w:val="20"/>
        </w:rPr>
        <w:t>HRQoL</w:t>
      </w:r>
      <w:proofErr w:type="spellEnd"/>
      <w:r w:rsidRPr="009166E3">
        <w:rPr>
          <w:rFonts w:ascii="Arial" w:hAnsi="Arial" w:cs="Arial"/>
          <w:sz w:val="20"/>
          <w:szCs w:val="20"/>
        </w:rPr>
        <w:t xml:space="preserve"> SLR updates, respectively. Of the 227 articles identified in the clinical SLR update, studies reported across all four MGAs: the Oncotype DX® test (n=162), MammaPrint (n=24), </w:t>
      </w:r>
      <w:proofErr w:type="spellStart"/>
      <w:r w:rsidRPr="009166E3">
        <w:rPr>
          <w:rFonts w:ascii="Arial" w:hAnsi="Arial" w:cs="Arial"/>
          <w:sz w:val="20"/>
          <w:szCs w:val="20"/>
        </w:rPr>
        <w:t>EndoPredict</w:t>
      </w:r>
      <w:proofErr w:type="spellEnd"/>
      <w:r w:rsidRPr="009166E3">
        <w:rPr>
          <w:rFonts w:ascii="Arial" w:hAnsi="Arial" w:cs="Arial"/>
          <w:sz w:val="20"/>
          <w:szCs w:val="20"/>
        </w:rPr>
        <w:t xml:space="preserve"> (n=29) and </w:t>
      </w:r>
      <w:proofErr w:type="spellStart"/>
      <w:r w:rsidRPr="009166E3">
        <w:rPr>
          <w:rFonts w:ascii="Arial" w:hAnsi="Arial" w:cs="Arial"/>
          <w:sz w:val="20"/>
          <w:szCs w:val="20"/>
        </w:rPr>
        <w:t>Prosigna</w:t>
      </w:r>
      <w:proofErr w:type="spellEnd"/>
      <w:r w:rsidRPr="009166E3">
        <w:rPr>
          <w:rFonts w:ascii="Arial" w:hAnsi="Arial" w:cs="Arial"/>
          <w:sz w:val="20"/>
          <w:szCs w:val="20"/>
        </w:rPr>
        <w:t xml:space="preserve"> (n=27). Articles reported outcomes in patients with 1-3 positive lymph nodes (n=22), lymph node negative patients (n=22) and patients with micro metastases (n=5). Outcomes reported included impact of test on treatment decision (n=80), concordance between tests (n=64) and prognostic validity (n=61). Of the 59 articles identified in the economic SLR update, studies reported across all four MGAs and reported across all of the outcomes </w:t>
      </w:r>
      <w:proofErr w:type="gramStart"/>
      <w:r w:rsidRPr="009166E3">
        <w:rPr>
          <w:rFonts w:ascii="Arial" w:hAnsi="Arial" w:cs="Arial"/>
          <w:sz w:val="20"/>
          <w:szCs w:val="20"/>
        </w:rPr>
        <w:t>specified;</w:t>
      </w:r>
      <w:proofErr w:type="gramEnd"/>
      <w:r w:rsidRPr="009166E3">
        <w:rPr>
          <w:rFonts w:ascii="Arial" w:hAnsi="Arial" w:cs="Arial"/>
          <w:sz w:val="20"/>
          <w:szCs w:val="20"/>
        </w:rPr>
        <w:t xml:space="preserve"> ICER (n=20), </w:t>
      </w:r>
      <w:proofErr w:type="spellStart"/>
      <w:r w:rsidRPr="009166E3">
        <w:rPr>
          <w:rFonts w:ascii="Arial" w:hAnsi="Arial" w:cs="Arial"/>
          <w:sz w:val="20"/>
          <w:szCs w:val="20"/>
        </w:rPr>
        <w:t>HRQoL</w:t>
      </w:r>
      <w:proofErr w:type="spellEnd"/>
      <w:r w:rsidRPr="009166E3">
        <w:rPr>
          <w:rFonts w:ascii="Arial" w:hAnsi="Arial" w:cs="Arial"/>
          <w:sz w:val="20"/>
          <w:szCs w:val="20"/>
        </w:rPr>
        <w:t xml:space="preserve"> (N=15), healthcare costs (n=12), chemotherapy costs (n=9), QALY (n=7) and utilities (n=4). Economic evaluations were performed mostly from a European perspective (n=23 studies), followed by a US (n=9), Canadian (n=6), Brazilian (n=2), Australian (n=1), Japanese (n=1), Korean (n=1) and Palestinian (n=1) healthcare perspective.</w:t>
      </w:r>
    </w:p>
    <w:p w14:paraId="67903E70" w14:textId="0CEC0211" w:rsidR="00AF6BB4" w:rsidRPr="009166E3" w:rsidRDefault="00AF6BB4" w:rsidP="007864B3">
      <w:pPr>
        <w:pStyle w:val="BodyText"/>
        <w:spacing w:after="0" w:line="480" w:lineRule="auto"/>
        <w:jc w:val="both"/>
        <w:outlineLvl w:val="1"/>
        <w:rPr>
          <w:rFonts w:ascii="Arial" w:hAnsi="Arial" w:cs="Arial"/>
          <w:b/>
          <w:bCs/>
          <w:i/>
          <w:iCs/>
          <w:sz w:val="28"/>
          <w:szCs w:val="28"/>
        </w:rPr>
      </w:pPr>
      <w:r w:rsidRPr="009166E3">
        <w:rPr>
          <w:rFonts w:ascii="Arial" w:hAnsi="Arial" w:cs="Arial"/>
          <w:b/>
          <w:bCs/>
          <w:i/>
          <w:iCs/>
          <w:sz w:val="28"/>
          <w:szCs w:val="28"/>
        </w:rPr>
        <w:t>Additional tables</w:t>
      </w:r>
    </w:p>
    <w:p w14:paraId="5517FF7F" w14:textId="2229854E" w:rsidR="00AF6BB4" w:rsidRPr="009166E3" w:rsidRDefault="00AF6BB4" w:rsidP="004D123F">
      <w:pPr>
        <w:pStyle w:val="BodyText"/>
        <w:spacing w:after="0" w:line="360" w:lineRule="auto"/>
        <w:jc w:val="both"/>
        <w:rPr>
          <w:rFonts w:ascii="Arial" w:hAnsi="Arial" w:cs="Arial"/>
          <w:bCs/>
          <w:sz w:val="20"/>
          <w:szCs w:val="20"/>
        </w:rPr>
      </w:pPr>
      <w:r w:rsidRPr="009166E3">
        <w:rPr>
          <w:rFonts w:ascii="Arial" w:hAnsi="Arial" w:cs="Arial"/>
          <w:b/>
          <w:bCs/>
          <w:sz w:val="20"/>
          <w:szCs w:val="20"/>
        </w:rPr>
        <w:t xml:space="preserve">Table S1. </w:t>
      </w:r>
      <w:r w:rsidR="00E0795B" w:rsidRPr="009166E3">
        <w:rPr>
          <w:rFonts w:ascii="Arial" w:hAnsi="Arial" w:cs="Arial"/>
          <w:bCs/>
          <w:sz w:val="20"/>
          <w:szCs w:val="20"/>
        </w:rPr>
        <w:t>Chemotherapy grade 3 or 4 adverse event costs</w:t>
      </w:r>
    </w:p>
    <w:tbl>
      <w:tblPr>
        <w:tblStyle w:val="PlainTable2"/>
        <w:tblW w:w="5000" w:type="pct"/>
        <w:tblLayout w:type="fixed"/>
        <w:tblLook w:val="0420" w:firstRow="1" w:lastRow="0" w:firstColumn="0" w:lastColumn="0" w:noHBand="0" w:noVBand="1"/>
      </w:tblPr>
      <w:tblGrid>
        <w:gridCol w:w="1844"/>
        <w:gridCol w:w="1135"/>
        <w:gridCol w:w="1560"/>
        <w:gridCol w:w="1415"/>
        <w:gridCol w:w="3072"/>
      </w:tblGrid>
      <w:tr w:rsidR="0061440D" w:rsidRPr="009166E3" w14:paraId="7F1333BE" w14:textId="77777777" w:rsidTr="00B3158B">
        <w:trPr>
          <w:cnfStyle w:val="100000000000" w:firstRow="1" w:lastRow="0" w:firstColumn="0" w:lastColumn="0" w:oddVBand="0" w:evenVBand="0" w:oddHBand="0" w:evenHBand="0" w:firstRowFirstColumn="0" w:firstRowLastColumn="0" w:lastRowFirstColumn="0" w:lastRowLastColumn="0"/>
          <w:trHeight w:val="62"/>
        </w:trPr>
        <w:tc>
          <w:tcPr>
            <w:tcW w:w="1021" w:type="pct"/>
          </w:tcPr>
          <w:p w14:paraId="4B66C8FA" w14:textId="77777777" w:rsidR="0061440D" w:rsidRPr="009166E3" w:rsidRDefault="0061440D" w:rsidP="00B3158B">
            <w:pPr>
              <w:spacing w:line="276" w:lineRule="auto"/>
              <w:ind w:left="-141" w:right="11"/>
              <w:jc w:val="center"/>
              <w:rPr>
                <w:rFonts w:ascii="Arial" w:eastAsia="Times New Roman" w:hAnsi="Arial" w:cs="Arial"/>
                <w:bCs w:val="0"/>
                <w:sz w:val="18"/>
                <w:szCs w:val="18"/>
                <w:lang w:eastAsia="en-GB"/>
              </w:rPr>
            </w:pPr>
            <w:r w:rsidRPr="009166E3">
              <w:rPr>
                <w:rFonts w:ascii="Arial" w:eastAsia="Times New Roman" w:hAnsi="Arial" w:cs="Arial"/>
                <w:bCs w:val="0"/>
                <w:sz w:val="18"/>
                <w:szCs w:val="18"/>
                <w:lang w:eastAsia="en-GB"/>
              </w:rPr>
              <w:t>Adverse event</w:t>
            </w:r>
          </w:p>
        </w:tc>
        <w:tc>
          <w:tcPr>
            <w:tcW w:w="629" w:type="pct"/>
          </w:tcPr>
          <w:p w14:paraId="413902A0" w14:textId="77777777" w:rsidR="0061440D" w:rsidRPr="009166E3" w:rsidRDefault="0061440D" w:rsidP="00B3158B">
            <w:pPr>
              <w:spacing w:line="276" w:lineRule="auto"/>
              <w:ind w:right="180"/>
              <w:jc w:val="right"/>
              <w:rPr>
                <w:rFonts w:ascii="Arial" w:eastAsia="Times New Roman" w:hAnsi="Arial" w:cs="Arial"/>
                <w:bCs w:val="0"/>
                <w:sz w:val="18"/>
                <w:szCs w:val="18"/>
                <w:lang w:eastAsia="en-GB"/>
              </w:rPr>
            </w:pPr>
            <w:r w:rsidRPr="009166E3">
              <w:rPr>
                <w:rFonts w:ascii="Arial" w:eastAsia="Times New Roman" w:hAnsi="Arial" w:cs="Arial"/>
                <w:bCs w:val="0"/>
                <w:sz w:val="18"/>
                <w:szCs w:val="18"/>
                <w:lang w:eastAsia="en-GB"/>
              </w:rPr>
              <w:t xml:space="preserve">% </w:t>
            </w:r>
            <w:proofErr w:type="gramStart"/>
            <w:r w:rsidRPr="009166E3">
              <w:rPr>
                <w:rFonts w:ascii="Arial" w:eastAsia="Times New Roman" w:hAnsi="Arial" w:cs="Arial"/>
                <w:bCs w:val="0"/>
                <w:sz w:val="18"/>
                <w:szCs w:val="18"/>
                <w:lang w:eastAsia="en-GB"/>
              </w:rPr>
              <w:t>in</w:t>
            </w:r>
            <w:proofErr w:type="gramEnd"/>
            <w:r w:rsidRPr="009166E3">
              <w:rPr>
                <w:rFonts w:ascii="Arial" w:eastAsia="Times New Roman" w:hAnsi="Arial" w:cs="Arial"/>
                <w:bCs w:val="0"/>
                <w:sz w:val="18"/>
                <w:szCs w:val="18"/>
                <w:lang w:eastAsia="en-GB"/>
              </w:rPr>
              <w:t xml:space="preserve"> FEC</w:t>
            </w:r>
          </w:p>
        </w:tc>
        <w:tc>
          <w:tcPr>
            <w:tcW w:w="864" w:type="pct"/>
          </w:tcPr>
          <w:p w14:paraId="43268BDE" w14:textId="77777777" w:rsidR="0061440D" w:rsidRPr="009166E3" w:rsidRDefault="0061440D" w:rsidP="00B3158B">
            <w:pPr>
              <w:spacing w:line="276" w:lineRule="auto"/>
              <w:ind w:right="180"/>
              <w:jc w:val="right"/>
              <w:rPr>
                <w:rFonts w:ascii="Arial" w:eastAsia="Times New Roman" w:hAnsi="Arial" w:cs="Arial"/>
                <w:bCs w:val="0"/>
                <w:sz w:val="18"/>
                <w:szCs w:val="18"/>
                <w:lang w:eastAsia="en-GB"/>
              </w:rPr>
            </w:pPr>
            <w:r w:rsidRPr="009166E3">
              <w:rPr>
                <w:rFonts w:ascii="Arial" w:eastAsia="Times New Roman" w:hAnsi="Arial" w:cs="Arial"/>
                <w:bCs w:val="0"/>
                <w:sz w:val="18"/>
                <w:szCs w:val="18"/>
                <w:lang w:eastAsia="en-GB"/>
              </w:rPr>
              <w:t xml:space="preserve">% </w:t>
            </w:r>
            <w:proofErr w:type="gramStart"/>
            <w:r w:rsidRPr="009166E3">
              <w:rPr>
                <w:rFonts w:ascii="Arial" w:eastAsia="Times New Roman" w:hAnsi="Arial" w:cs="Arial"/>
                <w:bCs w:val="0"/>
                <w:sz w:val="18"/>
                <w:szCs w:val="18"/>
                <w:lang w:eastAsia="en-GB"/>
              </w:rPr>
              <w:t>with</w:t>
            </w:r>
            <w:proofErr w:type="gramEnd"/>
            <w:r w:rsidRPr="009166E3">
              <w:rPr>
                <w:rFonts w:ascii="Arial" w:eastAsia="Times New Roman" w:hAnsi="Arial" w:cs="Arial"/>
                <w:bCs w:val="0"/>
                <w:sz w:val="18"/>
                <w:szCs w:val="18"/>
                <w:lang w:eastAsia="en-GB"/>
              </w:rPr>
              <w:t xml:space="preserve"> FEC-D</w:t>
            </w:r>
          </w:p>
        </w:tc>
        <w:tc>
          <w:tcPr>
            <w:tcW w:w="784" w:type="pct"/>
          </w:tcPr>
          <w:p w14:paraId="38D09206" w14:textId="77777777" w:rsidR="0061440D" w:rsidRPr="009166E3" w:rsidRDefault="0061440D" w:rsidP="00B3158B">
            <w:pPr>
              <w:spacing w:line="276" w:lineRule="auto"/>
              <w:ind w:right="180"/>
              <w:jc w:val="right"/>
              <w:rPr>
                <w:rFonts w:ascii="Arial" w:eastAsia="Times New Roman" w:hAnsi="Arial" w:cs="Arial"/>
                <w:bCs w:val="0"/>
                <w:sz w:val="18"/>
                <w:szCs w:val="18"/>
                <w:lang w:eastAsia="en-GB"/>
              </w:rPr>
            </w:pPr>
            <w:r w:rsidRPr="009166E3">
              <w:rPr>
                <w:rFonts w:ascii="Arial" w:eastAsia="Times New Roman" w:hAnsi="Arial" w:cs="Arial"/>
                <w:bCs w:val="0"/>
                <w:sz w:val="18"/>
                <w:szCs w:val="18"/>
                <w:lang w:eastAsia="en-GB"/>
              </w:rPr>
              <w:t>Unit cost</w:t>
            </w:r>
          </w:p>
        </w:tc>
        <w:tc>
          <w:tcPr>
            <w:tcW w:w="1702" w:type="pct"/>
          </w:tcPr>
          <w:p w14:paraId="347EC9DF" w14:textId="438B6DE3" w:rsidR="0061440D" w:rsidRPr="009166E3" w:rsidRDefault="0061440D" w:rsidP="00B3158B">
            <w:pPr>
              <w:spacing w:line="276" w:lineRule="auto"/>
              <w:ind w:right="180"/>
              <w:jc w:val="right"/>
              <w:rPr>
                <w:rFonts w:ascii="Arial" w:eastAsia="Times New Roman" w:hAnsi="Arial" w:cs="Arial"/>
                <w:bCs w:val="0"/>
                <w:sz w:val="18"/>
                <w:szCs w:val="18"/>
                <w:vertAlign w:val="superscript"/>
                <w:lang w:eastAsia="en-GB"/>
              </w:rPr>
            </w:pPr>
            <w:r w:rsidRPr="009166E3">
              <w:rPr>
                <w:rFonts w:ascii="Arial" w:eastAsia="Times New Roman" w:hAnsi="Arial" w:cs="Arial"/>
                <w:bCs w:val="0"/>
                <w:sz w:val="18"/>
                <w:szCs w:val="18"/>
                <w:lang w:eastAsia="en-GB"/>
              </w:rPr>
              <w:t xml:space="preserve">Cost </w:t>
            </w:r>
            <w:proofErr w:type="spellStart"/>
            <w:r w:rsidR="000002E3" w:rsidRPr="009166E3">
              <w:rPr>
                <w:rFonts w:ascii="Arial" w:eastAsia="Times New Roman" w:hAnsi="Arial" w:cs="Arial"/>
                <w:bCs w:val="0"/>
                <w:sz w:val="18"/>
                <w:szCs w:val="18"/>
                <w:lang w:eastAsia="en-GB"/>
              </w:rPr>
              <w:t>source</w:t>
            </w:r>
            <w:r w:rsidR="000002E3">
              <w:rPr>
                <w:rFonts w:ascii="Arial" w:eastAsia="Times New Roman" w:hAnsi="Arial" w:cs="Arial"/>
                <w:bCs w:val="0"/>
                <w:sz w:val="18"/>
                <w:szCs w:val="18"/>
                <w:vertAlign w:val="superscript"/>
                <w:lang w:eastAsia="en-GB"/>
              </w:rPr>
              <w:t>a</w:t>
            </w:r>
            <w:proofErr w:type="spellEnd"/>
          </w:p>
        </w:tc>
      </w:tr>
      <w:tr w:rsidR="0061440D" w:rsidRPr="009166E3" w14:paraId="08AFC858"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1EB50805"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Alopecia</w:t>
            </w:r>
          </w:p>
        </w:tc>
        <w:tc>
          <w:tcPr>
            <w:tcW w:w="629" w:type="pct"/>
          </w:tcPr>
          <w:p w14:paraId="2201755F"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9.0</w:t>
            </w:r>
          </w:p>
        </w:tc>
        <w:tc>
          <w:tcPr>
            <w:tcW w:w="864" w:type="pct"/>
          </w:tcPr>
          <w:p w14:paraId="2D0070EA"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10.2</w:t>
            </w:r>
          </w:p>
        </w:tc>
        <w:tc>
          <w:tcPr>
            <w:tcW w:w="784" w:type="pct"/>
          </w:tcPr>
          <w:p w14:paraId="04F88BB7"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£197.70</w:t>
            </w:r>
          </w:p>
        </w:tc>
        <w:tc>
          <w:tcPr>
            <w:tcW w:w="1702" w:type="pct"/>
          </w:tcPr>
          <w:p w14:paraId="4E14A2A1" w14:textId="3AFEFD44" w:rsidR="0061440D" w:rsidRPr="009166E3" w:rsidRDefault="0061440D" w:rsidP="00B3158B">
            <w:pPr>
              <w:spacing w:line="276" w:lineRule="auto"/>
              <w:ind w:right="180"/>
              <w:rPr>
                <w:rFonts w:ascii="Arial" w:eastAsia="Times New Roman" w:hAnsi="Arial" w:cs="Arial"/>
                <w:bCs/>
                <w:sz w:val="18"/>
                <w:szCs w:val="18"/>
                <w:vertAlign w:val="superscript"/>
                <w:lang w:eastAsia="en-GB"/>
              </w:rPr>
            </w:pPr>
            <w:r w:rsidRPr="009166E3">
              <w:rPr>
                <w:rFonts w:ascii="Arial" w:eastAsia="Times New Roman" w:hAnsi="Arial" w:cs="Arial"/>
                <w:bCs/>
                <w:sz w:val="18"/>
                <w:szCs w:val="18"/>
                <w:lang w:eastAsia="en-GB"/>
              </w:rPr>
              <w:t xml:space="preserve">Outpatient </w:t>
            </w:r>
            <w:proofErr w:type="spellStart"/>
            <w:r w:rsidR="000002E3" w:rsidRPr="009166E3">
              <w:rPr>
                <w:rFonts w:ascii="Arial" w:eastAsia="Times New Roman" w:hAnsi="Arial" w:cs="Arial"/>
                <w:bCs/>
                <w:sz w:val="18"/>
                <w:szCs w:val="18"/>
                <w:lang w:eastAsia="en-GB"/>
              </w:rPr>
              <w:t>visit</w:t>
            </w:r>
            <w:r w:rsidR="000002E3">
              <w:rPr>
                <w:rFonts w:ascii="Arial" w:eastAsia="Times New Roman" w:hAnsi="Arial" w:cs="Arial"/>
                <w:bCs/>
                <w:sz w:val="18"/>
                <w:szCs w:val="18"/>
                <w:vertAlign w:val="superscript"/>
                <w:lang w:eastAsia="en-GB"/>
              </w:rPr>
              <w:t>b</w:t>
            </w:r>
            <w:proofErr w:type="spellEnd"/>
          </w:p>
        </w:tc>
      </w:tr>
      <w:tr w:rsidR="0061440D" w:rsidRPr="009166E3" w14:paraId="342EEBBD" w14:textId="77777777" w:rsidTr="00B3158B">
        <w:trPr>
          <w:trHeight w:val="62"/>
        </w:trPr>
        <w:tc>
          <w:tcPr>
            <w:tcW w:w="1021" w:type="pct"/>
          </w:tcPr>
          <w:p w14:paraId="5AA580E1"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Anaemia</w:t>
            </w:r>
          </w:p>
        </w:tc>
        <w:tc>
          <w:tcPr>
            <w:tcW w:w="629" w:type="pct"/>
          </w:tcPr>
          <w:p w14:paraId="1A4E1853"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0.5</w:t>
            </w:r>
          </w:p>
        </w:tc>
        <w:tc>
          <w:tcPr>
            <w:tcW w:w="864" w:type="pct"/>
          </w:tcPr>
          <w:p w14:paraId="4107E0CC"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0.6</w:t>
            </w:r>
          </w:p>
        </w:tc>
        <w:tc>
          <w:tcPr>
            <w:tcW w:w="784" w:type="pct"/>
          </w:tcPr>
          <w:p w14:paraId="6647D83C"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£1,402.63</w:t>
            </w:r>
          </w:p>
        </w:tc>
        <w:tc>
          <w:tcPr>
            <w:tcW w:w="1702" w:type="pct"/>
          </w:tcPr>
          <w:p w14:paraId="6D3F65BD"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HRG SA04G-L</w:t>
            </w:r>
          </w:p>
        </w:tc>
      </w:tr>
      <w:tr w:rsidR="0061440D" w:rsidRPr="009166E3" w14:paraId="111E024D"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071670AE"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Diarrhoea</w:t>
            </w:r>
          </w:p>
        </w:tc>
        <w:tc>
          <w:tcPr>
            <w:tcW w:w="629" w:type="pct"/>
          </w:tcPr>
          <w:p w14:paraId="02ED6D79"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2.0</w:t>
            </w:r>
          </w:p>
        </w:tc>
        <w:tc>
          <w:tcPr>
            <w:tcW w:w="864" w:type="pct"/>
          </w:tcPr>
          <w:p w14:paraId="698D7F84"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3.7</w:t>
            </w:r>
          </w:p>
        </w:tc>
        <w:tc>
          <w:tcPr>
            <w:tcW w:w="784" w:type="pct"/>
          </w:tcPr>
          <w:p w14:paraId="7461CC82"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£1,340.27</w:t>
            </w:r>
          </w:p>
        </w:tc>
        <w:tc>
          <w:tcPr>
            <w:tcW w:w="1702" w:type="pct"/>
          </w:tcPr>
          <w:p w14:paraId="66EF9B19"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HRG FD10J-M</w:t>
            </w:r>
          </w:p>
        </w:tc>
      </w:tr>
      <w:tr w:rsidR="0061440D" w:rsidRPr="009166E3" w14:paraId="6E52A4A9" w14:textId="77777777" w:rsidTr="00B3158B">
        <w:trPr>
          <w:trHeight w:val="62"/>
        </w:trPr>
        <w:tc>
          <w:tcPr>
            <w:tcW w:w="1021" w:type="pct"/>
          </w:tcPr>
          <w:p w14:paraId="474AECE2" w14:textId="77777777" w:rsidR="0061440D" w:rsidRPr="009166E3" w:rsidRDefault="0061440D"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Edema</w:t>
            </w:r>
            <w:proofErr w:type="spellEnd"/>
          </w:p>
        </w:tc>
        <w:tc>
          <w:tcPr>
            <w:tcW w:w="629" w:type="pct"/>
          </w:tcPr>
          <w:p w14:paraId="206E7AB0"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1.0</w:t>
            </w:r>
          </w:p>
        </w:tc>
        <w:tc>
          <w:tcPr>
            <w:tcW w:w="864" w:type="pct"/>
          </w:tcPr>
          <w:p w14:paraId="49656A95"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0.8</w:t>
            </w:r>
          </w:p>
        </w:tc>
        <w:tc>
          <w:tcPr>
            <w:tcW w:w="784" w:type="pct"/>
          </w:tcPr>
          <w:p w14:paraId="52B6BC41"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£197.70</w:t>
            </w:r>
          </w:p>
        </w:tc>
        <w:tc>
          <w:tcPr>
            <w:tcW w:w="1702" w:type="pct"/>
          </w:tcPr>
          <w:p w14:paraId="4760F98E"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Outpatient visit</w:t>
            </w:r>
          </w:p>
        </w:tc>
      </w:tr>
      <w:tr w:rsidR="0061440D" w:rsidRPr="009166E3" w14:paraId="6B703670"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7383CCB2"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Febrile neutropenia</w:t>
            </w:r>
          </w:p>
        </w:tc>
        <w:tc>
          <w:tcPr>
            <w:tcW w:w="629" w:type="pct"/>
          </w:tcPr>
          <w:p w14:paraId="2250B8AF"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2.0</w:t>
            </w:r>
          </w:p>
        </w:tc>
        <w:tc>
          <w:tcPr>
            <w:tcW w:w="864" w:type="pct"/>
          </w:tcPr>
          <w:p w14:paraId="0DC9DA55"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7.1</w:t>
            </w:r>
          </w:p>
        </w:tc>
        <w:tc>
          <w:tcPr>
            <w:tcW w:w="784" w:type="pct"/>
          </w:tcPr>
          <w:p w14:paraId="13C9B0AB"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£2,617.33</w:t>
            </w:r>
          </w:p>
        </w:tc>
        <w:tc>
          <w:tcPr>
            <w:tcW w:w="1702" w:type="pct"/>
          </w:tcPr>
          <w:p w14:paraId="3B8B5608"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HRG SA35A-E, non-elective long stay</w:t>
            </w:r>
          </w:p>
        </w:tc>
      </w:tr>
      <w:tr w:rsidR="0061440D" w:rsidRPr="009166E3" w14:paraId="2B69F269" w14:textId="77777777" w:rsidTr="00B3158B">
        <w:trPr>
          <w:trHeight w:val="62"/>
        </w:trPr>
        <w:tc>
          <w:tcPr>
            <w:tcW w:w="1021" w:type="pct"/>
          </w:tcPr>
          <w:p w14:paraId="4AE5561B"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Infection</w:t>
            </w:r>
          </w:p>
        </w:tc>
        <w:tc>
          <w:tcPr>
            <w:tcW w:w="629" w:type="pct"/>
          </w:tcPr>
          <w:p w14:paraId="5B25278B"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7.0</w:t>
            </w:r>
          </w:p>
        </w:tc>
        <w:tc>
          <w:tcPr>
            <w:tcW w:w="864" w:type="pct"/>
          </w:tcPr>
          <w:p w14:paraId="3B6AE241"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14.2</w:t>
            </w:r>
          </w:p>
        </w:tc>
        <w:tc>
          <w:tcPr>
            <w:tcW w:w="784" w:type="pct"/>
          </w:tcPr>
          <w:p w14:paraId="0E769A87"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£1,285.95</w:t>
            </w:r>
          </w:p>
        </w:tc>
        <w:tc>
          <w:tcPr>
            <w:tcW w:w="1702" w:type="pct"/>
          </w:tcPr>
          <w:p w14:paraId="7712E862"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HRG DZ22K-Q</w:t>
            </w:r>
          </w:p>
        </w:tc>
      </w:tr>
      <w:tr w:rsidR="0061440D" w:rsidRPr="009166E3" w14:paraId="1319D327"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1A8574E6"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Lethargy</w:t>
            </w:r>
          </w:p>
        </w:tc>
        <w:tc>
          <w:tcPr>
            <w:tcW w:w="629" w:type="pct"/>
          </w:tcPr>
          <w:p w14:paraId="0CE24B5D"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13.0</w:t>
            </w:r>
          </w:p>
        </w:tc>
        <w:tc>
          <w:tcPr>
            <w:tcW w:w="864" w:type="pct"/>
          </w:tcPr>
          <w:p w14:paraId="6071DDEA"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22.1</w:t>
            </w:r>
          </w:p>
        </w:tc>
        <w:tc>
          <w:tcPr>
            <w:tcW w:w="784" w:type="pct"/>
          </w:tcPr>
          <w:p w14:paraId="0B5B3D84"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£197.70</w:t>
            </w:r>
          </w:p>
        </w:tc>
        <w:tc>
          <w:tcPr>
            <w:tcW w:w="1702" w:type="pct"/>
          </w:tcPr>
          <w:p w14:paraId="4653ACD2"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Outpatient visit</w:t>
            </w:r>
          </w:p>
        </w:tc>
      </w:tr>
      <w:tr w:rsidR="0061440D" w:rsidRPr="009166E3" w14:paraId="1A6643D2" w14:textId="77777777" w:rsidTr="00B3158B">
        <w:trPr>
          <w:trHeight w:val="62"/>
        </w:trPr>
        <w:tc>
          <w:tcPr>
            <w:tcW w:w="1021" w:type="pct"/>
          </w:tcPr>
          <w:p w14:paraId="60C630FE"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Leukopenia</w:t>
            </w:r>
          </w:p>
        </w:tc>
        <w:tc>
          <w:tcPr>
            <w:tcW w:w="629" w:type="pct"/>
          </w:tcPr>
          <w:p w14:paraId="2E527876"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18.0</w:t>
            </w:r>
          </w:p>
        </w:tc>
        <w:tc>
          <w:tcPr>
            <w:tcW w:w="864" w:type="pct"/>
          </w:tcPr>
          <w:p w14:paraId="2CE407D5"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24.6</w:t>
            </w:r>
          </w:p>
        </w:tc>
        <w:tc>
          <w:tcPr>
            <w:tcW w:w="784" w:type="pct"/>
          </w:tcPr>
          <w:p w14:paraId="430D3C5D"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£611.46</w:t>
            </w:r>
          </w:p>
        </w:tc>
        <w:tc>
          <w:tcPr>
            <w:tcW w:w="1702" w:type="pct"/>
          </w:tcPr>
          <w:p w14:paraId="6DD18849" w14:textId="3524DFB8" w:rsidR="0061440D" w:rsidRPr="009166E3" w:rsidRDefault="0061440D" w:rsidP="00B3158B">
            <w:pPr>
              <w:spacing w:line="276" w:lineRule="auto"/>
              <w:ind w:right="180"/>
              <w:rPr>
                <w:rFonts w:ascii="Arial" w:eastAsia="Times New Roman" w:hAnsi="Arial" w:cs="Arial"/>
                <w:bCs/>
                <w:sz w:val="18"/>
                <w:szCs w:val="18"/>
                <w:vertAlign w:val="superscript"/>
                <w:lang w:eastAsia="en-GB"/>
              </w:rPr>
            </w:pPr>
            <w:r w:rsidRPr="009166E3">
              <w:rPr>
                <w:rFonts w:ascii="Arial" w:eastAsia="Times New Roman" w:hAnsi="Arial" w:cs="Arial"/>
                <w:bCs/>
                <w:sz w:val="18"/>
                <w:szCs w:val="18"/>
                <w:lang w:eastAsia="en-GB"/>
              </w:rPr>
              <w:t xml:space="preserve">Outpatient and inpatient </w:t>
            </w:r>
            <w:proofErr w:type="spellStart"/>
            <w:r w:rsidR="000002E3" w:rsidRPr="009166E3">
              <w:rPr>
                <w:rFonts w:ascii="Arial" w:eastAsia="Times New Roman" w:hAnsi="Arial" w:cs="Arial"/>
                <w:bCs/>
                <w:sz w:val="18"/>
                <w:szCs w:val="18"/>
                <w:lang w:eastAsia="en-GB"/>
              </w:rPr>
              <w:t>cost</w:t>
            </w:r>
            <w:r w:rsidR="000002E3">
              <w:rPr>
                <w:rFonts w:ascii="Arial" w:eastAsia="Times New Roman" w:hAnsi="Arial" w:cs="Arial"/>
                <w:bCs/>
                <w:sz w:val="18"/>
                <w:szCs w:val="18"/>
                <w:vertAlign w:val="superscript"/>
                <w:lang w:eastAsia="en-GB"/>
              </w:rPr>
              <w:t>c</w:t>
            </w:r>
            <w:proofErr w:type="spellEnd"/>
          </w:p>
        </w:tc>
      </w:tr>
      <w:tr w:rsidR="0061440D" w:rsidRPr="009166E3" w14:paraId="4867974B"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604486F6"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Musculoskeletal</w:t>
            </w:r>
          </w:p>
        </w:tc>
        <w:tc>
          <w:tcPr>
            <w:tcW w:w="629" w:type="pct"/>
          </w:tcPr>
          <w:p w14:paraId="3FFA63A2"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1.0</w:t>
            </w:r>
          </w:p>
        </w:tc>
        <w:tc>
          <w:tcPr>
            <w:tcW w:w="864" w:type="pct"/>
          </w:tcPr>
          <w:p w14:paraId="03CD16A5"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7.0</w:t>
            </w:r>
          </w:p>
        </w:tc>
        <w:tc>
          <w:tcPr>
            <w:tcW w:w="784" w:type="pct"/>
          </w:tcPr>
          <w:p w14:paraId="6DEA74C8"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£197.70</w:t>
            </w:r>
          </w:p>
        </w:tc>
        <w:tc>
          <w:tcPr>
            <w:tcW w:w="1702" w:type="pct"/>
          </w:tcPr>
          <w:p w14:paraId="568F0960"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Outpatient visit</w:t>
            </w:r>
          </w:p>
        </w:tc>
      </w:tr>
      <w:tr w:rsidR="0061440D" w:rsidRPr="009166E3" w14:paraId="06BE8F9B" w14:textId="77777777" w:rsidTr="00B3158B">
        <w:trPr>
          <w:trHeight w:val="62"/>
        </w:trPr>
        <w:tc>
          <w:tcPr>
            <w:tcW w:w="1021" w:type="pct"/>
          </w:tcPr>
          <w:p w14:paraId="4923F5E8"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Myalgia/arthralgia</w:t>
            </w:r>
          </w:p>
        </w:tc>
        <w:tc>
          <w:tcPr>
            <w:tcW w:w="629" w:type="pct"/>
          </w:tcPr>
          <w:p w14:paraId="039DA113"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0.1</w:t>
            </w:r>
          </w:p>
        </w:tc>
        <w:tc>
          <w:tcPr>
            <w:tcW w:w="864" w:type="pct"/>
          </w:tcPr>
          <w:p w14:paraId="5138F692"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5.0</w:t>
            </w:r>
          </w:p>
        </w:tc>
        <w:tc>
          <w:tcPr>
            <w:tcW w:w="784" w:type="pct"/>
          </w:tcPr>
          <w:p w14:paraId="11582060"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£197.70</w:t>
            </w:r>
          </w:p>
        </w:tc>
        <w:tc>
          <w:tcPr>
            <w:tcW w:w="1702" w:type="pct"/>
          </w:tcPr>
          <w:p w14:paraId="7CDEB479"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Outpatient visit</w:t>
            </w:r>
          </w:p>
        </w:tc>
      </w:tr>
      <w:tr w:rsidR="0061440D" w:rsidRPr="009166E3" w14:paraId="4B9FB282"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5797D458"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Nail/skin disorder</w:t>
            </w:r>
          </w:p>
        </w:tc>
        <w:tc>
          <w:tcPr>
            <w:tcW w:w="629" w:type="pct"/>
          </w:tcPr>
          <w:p w14:paraId="76BA2628"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1.0</w:t>
            </w:r>
          </w:p>
        </w:tc>
        <w:tc>
          <w:tcPr>
            <w:tcW w:w="864" w:type="pct"/>
          </w:tcPr>
          <w:p w14:paraId="5E56C5D7"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3.3</w:t>
            </w:r>
          </w:p>
        </w:tc>
        <w:tc>
          <w:tcPr>
            <w:tcW w:w="784" w:type="pct"/>
          </w:tcPr>
          <w:p w14:paraId="41F0A5F1"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£197.70</w:t>
            </w:r>
          </w:p>
        </w:tc>
        <w:tc>
          <w:tcPr>
            <w:tcW w:w="1702" w:type="pct"/>
          </w:tcPr>
          <w:p w14:paraId="481AEA6A"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Outpatient visit</w:t>
            </w:r>
          </w:p>
        </w:tc>
      </w:tr>
      <w:tr w:rsidR="0061440D" w:rsidRPr="009166E3" w14:paraId="32835689" w14:textId="77777777" w:rsidTr="00B3158B">
        <w:trPr>
          <w:trHeight w:val="62"/>
        </w:trPr>
        <w:tc>
          <w:tcPr>
            <w:tcW w:w="1021" w:type="pct"/>
          </w:tcPr>
          <w:p w14:paraId="48900270"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Nausea/vomiting</w:t>
            </w:r>
          </w:p>
        </w:tc>
        <w:tc>
          <w:tcPr>
            <w:tcW w:w="629" w:type="pct"/>
          </w:tcPr>
          <w:p w14:paraId="57BA5B07"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10.0</w:t>
            </w:r>
          </w:p>
        </w:tc>
        <w:tc>
          <w:tcPr>
            <w:tcW w:w="864" w:type="pct"/>
          </w:tcPr>
          <w:p w14:paraId="2342FB4E"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9.7</w:t>
            </w:r>
          </w:p>
        </w:tc>
        <w:tc>
          <w:tcPr>
            <w:tcW w:w="784" w:type="pct"/>
          </w:tcPr>
          <w:p w14:paraId="5BAF980E"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£1,450.61</w:t>
            </w:r>
          </w:p>
        </w:tc>
        <w:tc>
          <w:tcPr>
            <w:tcW w:w="1702" w:type="pct"/>
          </w:tcPr>
          <w:p w14:paraId="7A693E2E"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HRG FD11K</w:t>
            </w:r>
          </w:p>
        </w:tc>
      </w:tr>
      <w:tr w:rsidR="0061440D" w:rsidRPr="009166E3" w14:paraId="6E0B6966"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739B87EE"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Neuropathy</w:t>
            </w:r>
          </w:p>
        </w:tc>
        <w:tc>
          <w:tcPr>
            <w:tcW w:w="629" w:type="pct"/>
          </w:tcPr>
          <w:p w14:paraId="30BA9E36"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0.3</w:t>
            </w:r>
          </w:p>
        </w:tc>
        <w:tc>
          <w:tcPr>
            <w:tcW w:w="864" w:type="pct"/>
          </w:tcPr>
          <w:p w14:paraId="02545510"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4.8</w:t>
            </w:r>
          </w:p>
        </w:tc>
        <w:tc>
          <w:tcPr>
            <w:tcW w:w="784" w:type="pct"/>
          </w:tcPr>
          <w:p w14:paraId="784FF950"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£1,647.64</w:t>
            </w:r>
          </w:p>
        </w:tc>
        <w:tc>
          <w:tcPr>
            <w:tcW w:w="1702" w:type="pct"/>
          </w:tcPr>
          <w:p w14:paraId="2F1C5C3D"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HRG AA26C-H</w:t>
            </w:r>
          </w:p>
        </w:tc>
      </w:tr>
      <w:tr w:rsidR="0061440D" w:rsidRPr="009166E3" w14:paraId="77AC0FBF" w14:textId="77777777" w:rsidTr="00B3158B">
        <w:trPr>
          <w:trHeight w:val="62"/>
        </w:trPr>
        <w:tc>
          <w:tcPr>
            <w:tcW w:w="1021" w:type="pct"/>
          </w:tcPr>
          <w:p w14:paraId="46D754B5"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Neutropenia</w:t>
            </w:r>
          </w:p>
        </w:tc>
        <w:tc>
          <w:tcPr>
            <w:tcW w:w="629" w:type="pct"/>
          </w:tcPr>
          <w:p w14:paraId="4DD977E6"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40.0</w:t>
            </w:r>
          </w:p>
        </w:tc>
        <w:tc>
          <w:tcPr>
            <w:tcW w:w="864" w:type="pct"/>
          </w:tcPr>
          <w:p w14:paraId="2AD98BB9"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45.5</w:t>
            </w:r>
          </w:p>
        </w:tc>
        <w:tc>
          <w:tcPr>
            <w:tcW w:w="784" w:type="pct"/>
          </w:tcPr>
          <w:p w14:paraId="76D1F186"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£473.05</w:t>
            </w:r>
          </w:p>
        </w:tc>
        <w:tc>
          <w:tcPr>
            <w:tcW w:w="1702" w:type="pct"/>
          </w:tcPr>
          <w:p w14:paraId="6F2BA028"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Outpatient and inpatient cost</w:t>
            </w:r>
          </w:p>
        </w:tc>
      </w:tr>
      <w:tr w:rsidR="0061440D" w:rsidRPr="009166E3" w14:paraId="2317C3FE"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1EE4FDE9"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Pain</w:t>
            </w:r>
          </w:p>
        </w:tc>
        <w:tc>
          <w:tcPr>
            <w:tcW w:w="629" w:type="pct"/>
          </w:tcPr>
          <w:p w14:paraId="51EDA04C"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0.1</w:t>
            </w:r>
          </w:p>
        </w:tc>
        <w:tc>
          <w:tcPr>
            <w:tcW w:w="864" w:type="pct"/>
          </w:tcPr>
          <w:p w14:paraId="242B567B"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2.8</w:t>
            </w:r>
          </w:p>
        </w:tc>
        <w:tc>
          <w:tcPr>
            <w:tcW w:w="784" w:type="pct"/>
          </w:tcPr>
          <w:p w14:paraId="2DA1827A"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£197.70</w:t>
            </w:r>
          </w:p>
        </w:tc>
        <w:tc>
          <w:tcPr>
            <w:tcW w:w="1702" w:type="pct"/>
          </w:tcPr>
          <w:p w14:paraId="28175B56"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Outpatient visit</w:t>
            </w:r>
          </w:p>
        </w:tc>
      </w:tr>
      <w:tr w:rsidR="0061440D" w:rsidRPr="009166E3" w14:paraId="451EF59D" w14:textId="77777777" w:rsidTr="00B3158B">
        <w:trPr>
          <w:trHeight w:val="62"/>
        </w:trPr>
        <w:tc>
          <w:tcPr>
            <w:tcW w:w="1021" w:type="pct"/>
          </w:tcPr>
          <w:p w14:paraId="61C6A144"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Stomatitis</w:t>
            </w:r>
          </w:p>
        </w:tc>
        <w:tc>
          <w:tcPr>
            <w:tcW w:w="629" w:type="pct"/>
          </w:tcPr>
          <w:p w14:paraId="1C259E2C"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2.0</w:t>
            </w:r>
          </w:p>
        </w:tc>
        <w:tc>
          <w:tcPr>
            <w:tcW w:w="864" w:type="pct"/>
          </w:tcPr>
          <w:p w14:paraId="6A31CA1C"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7.6</w:t>
            </w:r>
          </w:p>
        </w:tc>
        <w:tc>
          <w:tcPr>
            <w:tcW w:w="784" w:type="pct"/>
          </w:tcPr>
          <w:p w14:paraId="132382FE"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£2,014.64</w:t>
            </w:r>
          </w:p>
        </w:tc>
        <w:tc>
          <w:tcPr>
            <w:tcW w:w="1702" w:type="pct"/>
          </w:tcPr>
          <w:p w14:paraId="5465168D"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HRG CB01F</w:t>
            </w:r>
          </w:p>
        </w:tc>
      </w:tr>
      <w:tr w:rsidR="0061440D" w:rsidRPr="009166E3" w14:paraId="1DCBD3B5"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4FC1726F"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Thrombocytopenia</w:t>
            </w:r>
          </w:p>
        </w:tc>
        <w:tc>
          <w:tcPr>
            <w:tcW w:w="629" w:type="pct"/>
          </w:tcPr>
          <w:p w14:paraId="4B4FE377"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0.9</w:t>
            </w:r>
          </w:p>
        </w:tc>
        <w:tc>
          <w:tcPr>
            <w:tcW w:w="864" w:type="pct"/>
          </w:tcPr>
          <w:p w14:paraId="52D62F96"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0.6</w:t>
            </w:r>
          </w:p>
        </w:tc>
        <w:tc>
          <w:tcPr>
            <w:tcW w:w="784" w:type="pct"/>
          </w:tcPr>
          <w:p w14:paraId="7DEC61C8"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£1,818.52</w:t>
            </w:r>
          </w:p>
        </w:tc>
        <w:tc>
          <w:tcPr>
            <w:tcW w:w="1702" w:type="pct"/>
          </w:tcPr>
          <w:p w14:paraId="7070431E" w14:textId="77777777"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HRG SA12G-K</w:t>
            </w:r>
          </w:p>
        </w:tc>
      </w:tr>
      <w:tr w:rsidR="0061440D" w:rsidRPr="009166E3" w14:paraId="0C004EC0" w14:textId="77777777" w:rsidTr="00B3158B">
        <w:trPr>
          <w:trHeight w:val="62"/>
        </w:trPr>
        <w:tc>
          <w:tcPr>
            <w:tcW w:w="1021" w:type="pct"/>
            <w:tcBorders>
              <w:bottom w:val="single" w:sz="4" w:space="0" w:color="7F7F7F" w:themeColor="text1" w:themeTint="80"/>
            </w:tcBorders>
          </w:tcPr>
          <w:p w14:paraId="2F857955"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Fatal toxicity</w:t>
            </w:r>
          </w:p>
        </w:tc>
        <w:tc>
          <w:tcPr>
            <w:tcW w:w="629" w:type="pct"/>
            <w:tcBorders>
              <w:bottom w:val="single" w:sz="4" w:space="0" w:color="7F7F7F" w:themeColor="text1" w:themeTint="80"/>
            </w:tcBorders>
          </w:tcPr>
          <w:p w14:paraId="2E8C7CA9"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0.0</w:t>
            </w:r>
          </w:p>
        </w:tc>
        <w:tc>
          <w:tcPr>
            <w:tcW w:w="864" w:type="pct"/>
            <w:tcBorders>
              <w:bottom w:val="single" w:sz="4" w:space="0" w:color="7F7F7F" w:themeColor="text1" w:themeTint="80"/>
            </w:tcBorders>
          </w:tcPr>
          <w:p w14:paraId="5E971D82"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0.3</w:t>
            </w:r>
          </w:p>
        </w:tc>
        <w:tc>
          <w:tcPr>
            <w:tcW w:w="784" w:type="pct"/>
            <w:tcBorders>
              <w:bottom w:val="single" w:sz="4" w:space="0" w:color="7F7F7F" w:themeColor="text1" w:themeTint="80"/>
            </w:tcBorders>
          </w:tcPr>
          <w:p w14:paraId="6653F451"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£23,764.82</w:t>
            </w:r>
          </w:p>
        </w:tc>
        <w:tc>
          <w:tcPr>
            <w:tcW w:w="1702" w:type="pct"/>
            <w:tcBorders>
              <w:bottom w:val="single" w:sz="4" w:space="0" w:color="7F7F7F" w:themeColor="text1" w:themeTint="80"/>
            </w:tcBorders>
          </w:tcPr>
          <w:p w14:paraId="3DD0BD70" w14:textId="3ED98BF5" w:rsidR="0061440D" w:rsidRPr="009166E3" w:rsidRDefault="0061440D" w:rsidP="00B3158B">
            <w:pPr>
              <w:spacing w:line="276" w:lineRule="auto"/>
              <w:ind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 xml:space="preserve">Hinde et al. </w:t>
            </w:r>
            <w:r w:rsidRPr="009166E3">
              <w:rPr>
                <w:rFonts w:ascii="Arial" w:eastAsia="Times New Roman" w:hAnsi="Arial" w:cs="Arial"/>
                <w:bCs/>
                <w:sz w:val="18"/>
                <w:szCs w:val="18"/>
                <w:lang w:eastAsia="en-GB"/>
              </w:rPr>
              <w:fldChar w:fldCharType="begin" w:fldLock="1"/>
            </w:r>
            <w:r w:rsidR="001759D7" w:rsidRPr="009166E3">
              <w:rPr>
                <w:rFonts w:ascii="Arial" w:eastAsia="Times New Roman" w:hAnsi="Arial" w:cs="Arial"/>
                <w:bCs/>
                <w:sz w:val="18"/>
                <w:szCs w:val="18"/>
                <w:lang w:eastAsia="en-GB"/>
              </w:rPr>
              <w:instrText>ADDIN CSL_CITATION {"citationItems":[{"id":"ITEM-1","itemData":{"DOI":"10.1016/j.hlpt.2018.12.001","ISSN":"22118845","abstract":"Background: Adjuvant chemotherapy in breast cancer patients post resection has been estimated to reduce mortality rates by up to 30%. However, the heterogeneous nature of the disease and patients implies that not all patients should receive the treatment. Many existing prognostic tools, may not definitively estimate the most effective treatment strategy, resulting in an indeterminate risk classification. In such cases gene expression profiling tests can aid the treatment decision. Methods: This study evaluated the cost-effectiveness of EndoPredict in patients with indeterminate risk classification. A mathematical model was constructed to determine how the change in treatment decisions impacted the long term health of the population, and the future cost implications to the NHS. Results: EndoPredict was found to lead to 36.9% of patients having a change in treatment decision. As a result its use was found to result in an increase in population health but also in total costs, resulting in an incremental cost-effectiveness ratio of £26,836 per quality adjusted life year. This was subject to significant parametric and structural uncertainty. Conclusion: While EndoPredict was found to be more expensive overall, its ability to affect a more optimal allocation of chemotherapy, resulted in long term health gains, however, they were insufficient to justify the high cost of EndoPredict.","author":[{"dropping-particle":"","family":"Hinde","given":"Sebastian","non-dropping-particle":"","parse-names":false,"suffix":""},{"dropping-particle":"","family":"Theriou","given":"Chloi","non-dropping-particle":"","parse-names":false,"suffix":""},{"dropping-particle":"","family":"May","given":"Shirley","non-dropping-particle":"","parse-names":false,"suffix":""},{"dropping-particle":"","family":"Matthews","given":"Lucy","non-dropping-particle":"","parse-names":false,"suffix":""},{"dropping-particle":"","family":"Arbon","given":"Amy","non-dropping-particle":"","parse-names":false,"suffix":""},{"dropping-particle":"","family":"Fallowfield","given":"Lesley","non-dropping-particle":"","parse-names":false,"suffix":""},{"dropping-particle":"","family":"Bloomfield","given":"David","non-dropping-particle":"","parse-names":false,"suffix":""}],"container-title":"Health Policy and Technology","id":"ITEM-1","issue":"1","issued":{"date-parts":[["2019","3","1"]]},"page":"75-83","publisher":"Elsevier B.V.","title":"The cost-effectiveness of EndoPredict to inform adjuvant chemotherapy decisions in early breast cancer","type":"article-journal","volume":"8"},"uris":["http://www.mendeley.com/documents/?uuid=083b6803-4c3f-31b3-9da6-0464db209fd0"]}],"mendeley":{"formattedCitation":"&lt;sup&gt;1&lt;/sup&gt;","plainTextFormattedCitation":"1","previouslyFormattedCitation":"&lt;sup&gt;56&lt;/sup&gt;"},"properties":{"noteIndex":0},"schema":"https://github.com/citation-style-language/schema/raw/master/csl-citation.json"}</w:instrText>
            </w:r>
            <w:r w:rsidRPr="009166E3">
              <w:rPr>
                <w:rFonts w:ascii="Arial" w:eastAsia="Times New Roman" w:hAnsi="Arial" w:cs="Arial"/>
                <w:bCs/>
                <w:sz w:val="18"/>
                <w:szCs w:val="18"/>
                <w:lang w:eastAsia="en-GB"/>
              </w:rPr>
              <w:fldChar w:fldCharType="separate"/>
            </w:r>
            <w:r w:rsidR="001759D7" w:rsidRPr="009166E3">
              <w:rPr>
                <w:rFonts w:ascii="Arial" w:eastAsia="Times New Roman" w:hAnsi="Arial" w:cs="Arial"/>
                <w:bCs/>
                <w:noProof/>
                <w:sz w:val="18"/>
                <w:szCs w:val="18"/>
                <w:vertAlign w:val="superscript"/>
                <w:lang w:eastAsia="en-GB"/>
              </w:rPr>
              <w:t>1</w:t>
            </w:r>
            <w:r w:rsidRPr="009166E3">
              <w:rPr>
                <w:rFonts w:ascii="Arial" w:eastAsia="Times New Roman" w:hAnsi="Arial" w:cs="Arial"/>
                <w:bCs/>
                <w:sz w:val="18"/>
                <w:szCs w:val="18"/>
                <w:lang w:eastAsia="en-GB"/>
              </w:rPr>
              <w:fldChar w:fldCharType="end"/>
            </w:r>
          </w:p>
        </w:tc>
      </w:tr>
      <w:tr w:rsidR="0061440D" w:rsidRPr="009166E3" w14:paraId="514B3B60"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1021" w:type="pct"/>
          </w:tcPr>
          <w:p w14:paraId="02D9E628" w14:textId="77777777" w:rsidR="0061440D" w:rsidRPr="009166E3" w:rsidRDefault="0061440D"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Weighted average</w:t>
            </w:r>
          </w:p>
        </w:tc>
        <w:tc>
          <w:tcPr>
            <w:tcW w:w="629" w:type="pct"/>
          </w:tcPr>
          <w:p w14:paraId="7C5F4E2A"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£731.95</w:t>
            </w:r>
          </w:p>
        </w:tc>
        <w:tc>
          <w:tcPr>
            <w:tcW w:w="864" w:type="pct"/>
          </w:tcPr>
          <w:p w14:paraId="6F46A5F5" w14:textId="77777777" w:rsidR="0061440D" w:rsidRPr="009166E3" w:rsidRDefault="0061440D"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£1,344.20</w:t>
            </w:r>
          </w:p>
        </w:tc>
        <w:tc>
          <w:tcPr>
            <w:tcW w:w="784" w:type="pct"/>
          </w:tcPr>
          <w:p w14:paraId="04598CC9" w14:textId="4B662A67" w:rsidR="0061440D" w:rsidRPr="009166E3" w:rsidRDefault="0061440D" w:rsidP="00B3158B">
            <w:pPr>
              <w:spacing w:line="276" w:lineRule="auto"/>
              <w:ind w:right="180"/>
              <w:jc w:val="right"/>
              <w:rPr>
                <w:rFonts w:ascii="Arial" w:eastAsia="Times New Roman" w:hAnsi="Arial" w:cs="Arial"/>
                <w:bCs/>
                <w:sz w:val="18"/>
                <w:szCs w:val="18"/>
                <w:vertAlign w:val="superscript"/>
                <w:lang w:eastAsia="en-GB"/>
              </w:rPr>
            </w:pPr>
            <w:r w:rsidRPr="009166E3">
              <w:rPr>
                <w:rFonts w:ascii="Arial" w:eastAsia="Times New Roman" w:hAnsi="Arial" w:cs="Arial"/>
                <w:bCs/>
                <w:sz w:val="18"/>
                <w:szCs w:val="18"/>
                <w:lang w:eastAsia="en-GB"/>
              </w:rPr>
              <w:t>£1,045.</w:t>
            </w:r>
            <w:r w:rsidR="00EF2CA8" w:rsidRPr="009166E3">
              <w:rPr>
                <w:rFonts w:ascii="Arial" w:eastAsia="Times New Roman" w:hAnsi="Arial" w:cs="Arial"/>
                <w:bCs/>
                <w:sz w:val="18"/>
                <w:szCs w:val="18"/>
                <w:lang w:eastAsia="en-GB"/>
              </w:rPr>
              <w:t>73</w:t>
            </w:r>
            <w:r w:rsidR="00EF2CA8">
              <w:rPr>
                <w:rFonts w:ascii="Arial" w:eastAsia="Times New Roman" w:hAnsi="Arial" w:cs="Arial"/>
                <w:bCs/>
                <w:sz w:val="18"/>
                <w:szCs w:val="18"/>
                <w:vertAlign w:val="superscript"/>
                <w:lang w:eastAsia="en-GB"/>
              </w:rPr>
              <w:t>d</w:t>
            </w:r>
          </w:p>
        </w:tc>
        <w:tc>
          <w:tcPr>
            <w:tcW w:w="1702" w:type="pct"/>
          </w:tcPr>
          <w:p w14:paraId="7A7ABA55" w14:textId="77777777" w:rsidR="0061440D" w:rsidRPr="009166E3" w:rsidRDefault="0061440D" w:rsidP="00B3158B">
            <w:pPr>
              <w:spacing w:line="276" w:lineRule="auto"/>
              <w:ind w:right="180"/>
              <w:rPr>
                <w:rFonts w:ascii="Arial" w:eastAsia="Times New Roman" w:hAnsi="Arial" w:cs="Arial"/>
                <w:bCs/>
                <w:sz w:val="18"/>
                <w:szCs w:val="18"/>
                <w:lang w:eastAsia="en-GB"/>
              </w:rPr>
            </w:pPr>
          </w:p>
        </w:tc>
      </w:tr>
      <w:tr w:rsidR="0061440D" w:rsidRPr="009166E3" w14:paraId="225EDB0E" w14:textId="77777777" w:rsidTr="00B3158B">
        <w:trPr>
          <w:trHeight w:val="62"/>
        </w:trPr>
        <w:tc>
          <w:tcPr>
            <w:tcW w:w="5000" w:type="pct"/>
            <w:gridSpan w:val="5"/>
            <w:tcBorders>
              <w:bottom w:val="nil"/>
            </w:tcBorders>
          </w:tcPr>
          <w:p w14:paraId="4E31AC50" w14:textId="1DEAAEF6" w:rsidR="0061440D" w:rsidRPr="009166E3" w:rsidRDefault="000002E3" w:rsidP="00B3158B">
            <w:pPr>
              <w:spacing w:line="276" w:lineRule="auto"/>
              <w:ind w:right="180"/>
              <w:rPr>
                <w:rFonts w:ascii="Arial" w:eastAsia="Times New Roman" w:hAnsi="Arial" w:cs="Arial"/>
                <w:bCs/>
                <w:sz w:val="16"/>
                <w:szCs w:val="16"/>
                <w:lang w:eastAsia="en-GB"/>
              </w:rPr>
            </w:pPr>
            <w:r>
              <w:rPr>
                <w:rFonts w:ascii="Arial" w:eastAsia="Times New Roman" w:hAnsi="Arial" w:cs="Arial"/>
                <w:bCs/>
                <w:sz w:val="16"/>
                <w:szCs w:val="16"/>
                <w:vertAlign w:val="superscript"/>
                <w:lang w:eastAsia="en-GB"/>
              </w:rPr>
              <w:t>a</w:t>
            </w:r>
            <w:r w:rsidRPr="009166E3">
              <w:rPr>
                <w:rFonts w:ascii="Arial" w:eastAsia="Times New Roman" w:hAnsi="Arial" w:cs="Arial"/>
                <w:bCs/>
                <w:sz w:val="16"/>
                <w:szCs w:val="16"/>
                <w:lang w:eastAsia="en-GB"/>
              </w:rPr>
              <w:t xml:space="preserve"> </w:t>
            </w:r>
            <w:r w:rsidR="0061440D" w:rsidRPr="009166E3">
              <w:rPr>
                <w:rFonts w:ascii="Arial" w:eastAsia="Times New Roman" w:hAnsi="Arial" w:cs="Arial"/>
                <w:bCs/>
                <w:sz w:val="16"/>
                <w:szCs w:val="16"/>
                <w:lang w:eastAsia="en-GB"/>
              </w:rPr>
              <w:t>NHS Reference costs 2019-20</w:t>
            </w:r>
            <w:r w:rsidR="0061440D" w:rsidRPr="009166E3">
              <w:rPr>
                <w:rFonts w:ascii="Arial" w:eastAsia="Times New Roman" w:hAnsi="Arial" w:cs="Arial"/>
                <w:bCs/>
                <w:sz w:val="16"/>
                <w:szCs w:val="16"/>
                <w:lang w:eastAsia="en-GB"/>
              </w:rPr>
              <w:fldChar w:fldCharType="begin" w:fldLock="1"/>
            </w:r>
            <w:r w:rsidR="001759D7" w:rsidRPr="009166E3">
              <w:rPr>
                <w:rFonts w:ascii="Arial" w:eastAsia="Times New Roman" w:hAnsi="Arial" w:cs="Arial"/>
                <w:bCs/>
                <w:sz w:val="16"/>
                <w:szCs w:val="16"/>
                <w:lang w:eastAsia="en-GB"/>
              </w:rPr>
              <w:instrText>ADDIN CSL_CITATION {"citationItems":[{"id":"ITEM-1","itemData":{"URL":"https://improvement.nhs.uk/resources/national-cost-collection/","accessed":{"date-parts":[["2020","4","28"]]},"author":[{"dropping-particle":"","family":"NHS Improvement","given":"","non-dropping-particle":"","parse-names":false,"suffix":""}],"id":"ITEM-1","issued":{"date-parts":[["2021"]]},"title":"National schedule of NHS costs 2019/20","type":"webpage"},"uris":["http://www.mendeley.com/documents/?uuid=827994b7-612a-4448-b3ba-c428ea4dd8ed"]}],"mendeley":{"formattedCitation":"&lt;sup&gt;2&lt;/sup&gt;","plainTextFormattedCitation":"2","previouslyFormattedCitation":"&lt;sup&gt;57&lt;/sup&gt;"},"properties":{"noteIndex":0},"schema":"https://github.com/citation-style-language/schema/raw/master/csl-citation.json"}</w:instrText>
            </w:r>
            <w:r w:rsidR="0061440D" w:rsidRPr="009166E3">
              <w:rPr>
                <w:rFonts w:ascii="Arial" w:eastAsia="Times New Roman" w:hAnsi="Arial" w:cs="Arial"/>
                <w:bCs/>
                <w:sz w:val="16"/>
                <w:szCs w:val="16"/>
                <w:lang w:eastAsia="en-GB"/>
              </w:rPr>
              <w:fldChar w:fldCharType="separate"/>
            </w:r>
            <w:r w:rsidR="001759D7" w:rsidRPr="009166E3">
              <w:rPr>
                <w:rFonts w:ascii="Arial" w:eastAsia="Times New Roman" w:hAnsi="Arial" w:cs="Arial"/>
                <w:bCs/>
                <w:noProof/>
                <w:sz w:val="16"/>
                <w:szCs w:val="16"/>
                <w:vertAlign w:val="superscript"/>
                <w:lang w:eastAsia="en-GB"/>
              </w:rPr>
              <w:t>2</w:t>
            </w:r>
            <w:r w:rsidR="0061440D" w:rsidRPr="009166E3">
              <w:rPr>
                <w:rFonts w:ascii="Arial" w:eastAsia="Times New Roman" w:hAnsi="Arial" w:cs="Arial"/>
                <w:bCs/>
                <w:sz w:val="16"/>
                <w:szCs w:val="16"/>
                <w:lang w:eastAsia="en-GB"/>
              </w:rPr>
              <w:fldChar w:fldCharType="end"/>
            </w:r>
            <w:r w:rsidR="0061440D" w:rsidRPr="009166E3">
              <w:rPr>
                <w:rFonts w:ascii="Arial" w:eastAsia="Times New Roman" w:hAnsi="Arial" w:cs="Arial"/>
                <w:bCs/>
                <w:sz w:val="16"/>
                <w:szCs w:val="16"/>
                <w:lang w:eastAsia="en-GB"/>
              </w:rPr>
              <w:t xml:space="preserve"> by default</w:t>
            </w:r>
          </w:p>
          <w:p w14:paraId="62AC5C1E" w14:textId="6AC84CCF" w:rsidR="0061440D" w:rsidRPr="009166E3" w:rsidRDefault="000002E3" w:rsidP="00B3158B">
            <w:pPr>
              <w:spacing w:line="276" w:lineRule="auto"/>
              <w:ind w:right="180"/>
              <w:rPr>
                <w:rFonts w:ascii="Arial" w:eastAsia="Times New Roman" w:hAnsi="Arial" w:cs="Arial"/>
                <w:bCs/>
                <w:sz w:val="16"/>
                <w:szCs w:val="16"/>
                <w:lang w:eastAsia="en-GB"/>
              </w:rPr>
            </w:pPr>
            <w:r>
              <w:rPr>
                <w:rFonts w:ascii="Arial" w:eastAsia="Times New Roman" w:hAnsi="Arial" w:cs="Arial"/>
                <w:bCs/>
                <w:sz w:val="16"/>
                <w:szCs w:val="16"/>
                <w:vertAlign w:val="superscript"/>
                <w:lang w:eastAsia="en-GB"/>
              </w:rPr>
              <w:t>b</w:t>
            </w:r>
            <w:r w:rsidRPr="009166E3">
              <w:rPr>
                <w:rFonts w:ascii="Arial" w:eastAsia="Times New Roman" w:hAnsi="Arial" w:cs="Arial"/>
                <w:bCs/>
                <w:sz w:val="16"/>
                <w:szCs w:val="16"/>
                <w:lang w:eastAsia="en-GB"/>
              </w:rPr>
              <w:t xml:space="preserve"> </w:t>
            </w:r>
            <w:r w:rsidR="0061440D" w:rsidRPr="009166E3">
              <w:rPr>
                <w:rFonts w:ascii="Arial" w:eastAsia="Times New Roman" w:hAnsi="Arial" w:cs="Arial"/>
                <w:bCs/>
                <w:sz w:val="16"/>
                <w:szCs w:val="16"/>
                <w:lang w:eastAsia="en-GB"/>
              </w:rPr>
              <w:t>Consultant-led outpatient, medical oncology</w:t>
            </w:r>
          </w:p>
          <w:p w14:paraId="0956C9B0" w14:textId="6BE1D910" w:rsidR="0061440D" w:rsidRPr="009166E3" w:rsidRDefault="000002E3" w:rsidP="00B3158B">
            <w:pPr>
              <w:spacing w:line="276" w:lineRule="auto"/>
              <w:ind w:right="180"/>
              <w:rPr>
                <w:rFonts w:ascii="Arial" w:eastAsia="Times New Roman" w:hAnsi="Arial" w:cs="Arial"/>
                <w:bCs/>
                <w:sz w:val="16"/>
                <w:szCs w:val="16"/>
                <w:lang w:eastAsia="en-GB"/>
              </w:rPr>
            </w:pPr>
            <w:r>
              <w:rPr>
                <w:rFonts w:ascii="Arial" w:eastAsia="Times New Roman" w:hAnsi="Arial" w:cs="Arial"/>
                <w:bCs/>
                <w:sz w:val="16"/>
                <w:szCs w:val="16"/>
                <w:vertAlign w:val="superscript"/>
                <w:lang w:eastAsia="en-GB"/>
              </w:rPr>
              <w:lastRenderedPageBreak/>
              <w:t>c</w:t>
            </w:r>
            <w:r w:rsidRPr="009166E3">
              <w:rPr>
                <w:rFonts w:ascii="Arial" w:eastAsia="Times New Roman" w:hAnsi="Arial" w:cs="Arial"/>
                <w:bCs/>
                <w:sz w:val="16"/>
                <w:szCs w:val="16"/>
                <w:lang w:eastAsia="en-GB"/>
              </w:rPr>
              <w:t xml:space="preserve"> </w:t>
            </w:r>
            <w:r w:rsidR="0061440D" w:rsidRPr="009166E3">
              <w:rPr>
                <w:rFonts w:ascii="Arial" w:eastAsia="Times New Roman" w:hAnsi="Arial" w:cs="Arial"/>
                <w:bCs/>
                <w:sz w:val="16"/>
                <w:szCs w:val="16"/>
                <w:lang w:eastAsia="en-GB"/>
              </w:rPr>
              <w:t>Assumed to be managed in inpatient setting in 11.5% of cases and in outpatient for the remaining cases (based on Copley-Merriman et al. Medicine (Baltimore) 2018;97(31</w:t>
            </w:r>
            <w:proofErr w:type="gramStart"/>
            <w:r w:rsidR="0061440D" w:rsidRPr="009166E3">
              <w:rPr>
                <w:rFonts w:ascii="Arial" w:eastAsia="Times New Roman" w:hAnsi="Arial" w:cs="Arial"/>
                <w:bCs/>
                <w:sz w:val="16"/>
                <w:szCs w:val="16"/>
                <w:lang w:eastAsia="en-GB"/>
              </w:rPr>
              <w:t>):e</w:t>
            </w:r>
            <w:proofErr w:type="gramEnd"/>
            <w:r w:rsidR="0061440D" w:rsidRPr="009166E3">
              <w:rPr>
                <w:rFonts w:ascii="Arial" w:eastAsia="Times New Roman" w:hAnsi="Arial" w:cs="Arial"/>
                <w:bCs/>
                <w:sz w:val="16"/>
                <w:szCs w:val="16"/>
                <w:lang w:eastAsia="en-GB"/>
              </w:rPr>
              <w:t>11736; outpatient cost: NHS Reference Costs 2018-19: consultant-led outpatient, medical oncology; inpatient cost: based on Lux et al. Breast 2018;37:89-98; converted to GBP based on exchange rate GBP 1 = EUR 1.10; uplifted to 2020 prices using HCHS index</w:t>
            </w:r>
          </w:p>
          <w:p w14:paraId="0ACB0950" w14:textId="0E861A7B" w:rsidR="00B37821" w:rsidRDefault="00EF2CA8" w:rsidP="00B3158B">
            <w:pPr>
              <w:spacing w:line="276" w:lineRule="auto"/>
              <w:ind w:right="180"/>
              <w:rPr>
                <w:rFonts w:ascii="Arial" w:eastAsia="Times New Roman" w:hAnsi="Arial" w:cs="Arial"/>
                <w:bCs/>
                <w:sz w:val="16"/>
                <w:szCs w:val="16"/>
                <w:lang w:eastAsia="en-GB"/>
              </w:rPr>
            </w:pPr>
            <w:r>
              <w:rPr>
                <w:rFonts w:ascii="Arial" w:eastAsia="Times New Roman" w:hAnsi="Arial" w:cs="Arial"/>
                <w:bCs/>
                <w:sz w:val="16"/>
                <w:szCs w:val="16"/>
                <w:vertAlign w:val="superscript"/>
                <w:lang w:eastAsia="en-GB"/>
              </w:rPr>
              <w:t>d</w:t>
            </w:r>
            <w:r w:rsidRPr="009166E3">
              <w:rPr>
                <w:rFonts w:ascii="Arial" w:eastAsia="Times New Roman" w:hAnsi="Arial" w:cs="Arial"/>
                <w:bCs/>
                <w:sz w:val="16"/>
                <w:szCs w:val="16"/>
                <w:lang w:eastAsia="en-GB"/>
              </w:rPr>
              <w:t xml:space="preserve"> </w:t>
            </w:r>
            <w:r w:rsidR="0061440D" w:rsidRPr="009166E3">
              <w:rPr>
                <w:rFonts w:ascii="Arial" w:eastAsia="Times New Roman" w:hAnsi="Arial" w:cs="Arial"/>
                <w:bCs/>
                <w:sz w:val="16"/>
                <w:szCs w:val="16"/>
                <w:lang w:eastAsia="en-GB"/>
              </w:rPr>
              <w:t>Weighted average calculated based on distribution of chemotherapy regimens in early BC</w:t>
            </w:r>
          </w:p>
          <w:p w14:paraId="61840FCB" w14:textId="7D753E84" w:rsidR="008C3D43" w:rsidRPr="00AE096D" w:rsidRDefault="00AE096D" w:rsidP="00B3158B">
            <w:pPr>
              <w:spacing w:line="276" w:lineRule="auto"/>
              <w:ind w:right="180"/>
              <w:rPr>
                <w:rFonts w:ascii="Arial" w:eastAsia="Times New Roman" w:hAnsi="Arial" w:cs="Arial"/>
                <w:bCs/>
                <w:sz w:val="16"/>
                <w:szCs w:val="16"/>
                <w:lang w:eastAsia="en-GB"/>
              </w:rPr>
            </w:pPr>
            <w:r>
              <w:rPr>
                <w:rFonts w:ascii="Arial" w:eastAsia="Times New Roman" w:hAnsi="Arial" w:cs="Arial"/>
                <w:bCs/>
                <w:sz w:val="16"/>
                <w:szCs w:val="16"/>
                <w:lang w:eastAsia="en-GB"/>
              </w:rPr>
              <w:t>D: docetaxel 100 mg/</w:t>
            </w:r>
            <w:r w:rsidRPr="00AE096D">
              <w:rPr>
                <w:rFonts w:ascii="Arial" w:eastAsia="Times New Roman" w:hAnsi="Arial" w:cs="Arial"/>
                <w:bCs/>
                <w:sz w:val="16"/>
                <w:szCs w:val="16"/>
                <w:lang w:eastAsia="en-GB"/>
              </w:rPr>
              <w:t>m</w:t>
            </w:r>
            <w:r w:rsidRPr="003C1203">
              <w:rPr>
                <w:rFonts w:ascii="Arial" w:eastAsia="Times New Roman" w:hAnsi="Arial" w:cs="Arial"/>
                <w:bCs/>
                <w:sz w:val="16"/>
                <w:szCs w:val="16"/>
                <w:lang w:eastAsia="en-GB"/>
              </w:rPr>
              <w:t>2</w:t>
            </w:r>
            <w:r>
              <w:rPr>
                <w:rFonts w:ascii="Arial" w:eastAsia="Times New Roman" w:hAnsi="Arial" w:cs="Arial"/>
                <w:bCs/>
                <w:sz w:val="16"/>
                <w:szCs w:val="16"/>
                <w:lang w:eastAsia="en-GB"/>
              </w:rPr>
              <w:t xml:space="preserve">; </w:t>
            </w:r>
            <w:r w:rsidR="008C3D43" w:rsidRPr="00AE096D">
              <w:rPr>
                <w:rFonts w:ascii="Arial" w:eastAsia="Times New Roman" w:hAnsi="Arial" w:cs="Arial"/>
                <w:bCs/>
                <w:sz w:val="16"/>
                <w:szCs w:val="16"/>
                <w:lang w:eastAsia="en-GB"/>
              </w:rPr>
              <w:t>FEC</w:t>
            </w:r>
            <w:r w:rsidR="008C3D43">
              <w:rPr>
                <w:rFonts w:ascii="Arial" w:eastAsia="Times New Roman" w:hAnsi="Arial" w:cs="Arial"/>
                <w:bCs/>
                <w:sz w:val="16"/>
                <w:szCs w:val="16"/>
                <w:lang w:eastAsia="en-GB"/>
              </w:rPr>
              <w:t xml:space="preserve">: </w:t>
            </w:r>
            <w:r w:rsidR="007A214F">
              <w:rPr>
                <w:rFonts w:ascii="Arial" w:eastAsia="Times New Roman" w:hAnsi="Arial" w:cs="Arial"/>
                <w:bCs/>
                <w:sz w:val="16"/>
                <w:szCs w:val="16"/>
                <w:lang w:eastAsia="en-GB"/>
              </w:rPr>
              <w:t>fluo</w:t>
            </w:r>
            <w:r w:rsidR="00AC7AEC">
              <w:rPr>
                <w:rFonts w:ascii="Arial" w:eastAsia="Times New Roman" w:hAnsi="Arial" w:cs="Arial"/>
                <w:bCs/>
                <w:sz w:val="16"/>
                <w:szCs w:val="16"/>
                <w:lang w:eastAsia="en-GB"/>
              </w:rPr>
              <w:t>rouracil 500 mg/m</w:t>
            </w:r>
            <w:r w:rsidR="00AC7AEC">
              <w:rPr>
                <w:rFonts w:ascii="Arial" w:eastAsia="Times New Roman" w:hAnsi="Arial" w:cs="Arial"/>
                <w:bCs/>
                <w:sz w:val="16"/>
                <w:szCs w:val="16"/>
                <w:vertAlign w:val="superscript"/>
                <w:lang w:eastAsia="en-GB"/>
              </w:rPr>
              <w:t>2</w:t>
            </w:r>
            <w:r w:rsidR="00AC7AEC">
              <w:rPr>
                <w:rFonts w:ascii="Arial" w:eastAsia="Times New Roman" w:hAnsi="Arial" w:cs="Arial"/>
                <w:bCs/>
                <w:sz w:val="16"/>
                <w:szCs w:val="16"/>
                <w:lang w:eastAsia="en-GB"/>
              </w:rPr>
              <w:t xml:space="preserve">, </w:t>
            </w:r>
            <w:proofErr w:type="spellStart"/>
            <w:r w:rsidR="00AC7AEC">
              <w:rPr>
                <w:rFonts w:ascii="Arial" w:eastAsia="Times New Roman" w:hAnsi="Arial" w:cs="Arial"/>
                <w:bCs/>
                <w:sz w:val="16"/>
                <w:szCs w:val="16"/>
                <w:lang w:eastAsia="en-GB"/>
              </w:rPr>
              <w:t>epirubicin</w:t>
            </w:r>
            <w:proofErr w:type="spellEnd"/>
            <w:r w:rsidR="00AC7AEC">
              <w:rPr>
                <w:rFonts w:ascii="Arial" w:eastAsia="Times New Roman" w:hAnsi="Arial" w:cs="Arial"/>
                <w:bCs/>
                <w:sz w:val="16"/>
                <w:szCs w:val="16"/>
                <w:lang w:eastAsia="en-GB"/>
              </w:rPr>
              <w:t xml:space="preserve"> 100 mg/m</w:t>
            </w:r>
            <w:r w:rsidR="00AC7AEC">
              <w:rPr>
                <w:rFonts w:ascii="Arial" w:eastAsia="Times New Roman" w:hAnsi="Arial" w:cs="Arial"/>
                <w:bCs/>
                <w:sz w:val="16"/>
                <w:szCs w:val="16"/>
                <w:vertAlign w:val="superscript"/>
                <w:lang w:eastAsia="en-GB"/>
              </w:rPr>
              <w:t>2</w:t>
            </w:r>
            <w:r>
              <w:rPr>
                <w:rFonts w:ascii="Arial" w:eastAsia="Times New Roman" w:hAnsi="Arial" w:cs="Arial"/>
                <w:bCs/>
                <w:sz w:val="16"/>
                <w:szCs w:val="16"/>
                <w:lang w:eastAsia="en-GB"/>
              </w:rPr>
              <w:t>, cyclophosphamide 500 mg/m</w:t>
            </w:r>
            <w:r>
              <w:rPr>
                <w:rFonts w:ascii="Arial" w:eastAsia="Times New Roman" w:hAnsi="Arial" w:cs="Arial"/>
                <w:bCs/>
                <w:sz w:val="16"/>
                <w:szCs w:val="16"/>
                <w:vertAlign w:val="superscript"/>
                <w:lang w:eastAsia="en-GB"/>
              </w:rPr>
              <w:t>2</w:t>
            </w:r>
            <w:r>
              <w:rPr>
                <w:rFonts w:ascii="Arial" w:eastAsia="Times New Roman" w:hAnsi="Arial" w:cs="Arial"/>
                <w:bCs/>
                <w:sz w:val="16"/>
                <w:szCs w:val="16"/>
                <w:lang w:eastAsia="en-GB"/>
              </w:rPr>
              <w:t xml:space="preserve">; </w:t>
            </w:r>
            <w:r w:rsidR="004B0A01">
              <w:rPr>
                <w:rFonts w:ascii="Arial" w:eastAsia="Times New Roman" w:hAnsi="Arial" w:cs="Arial"/>
                <w:bCs/>
                <w:sz w:val="16"/>
                <w:szCs w:val="16"/>
                <w:lang w:eastAsia="en-GB"/>
              </w:rPr>
              <w:t>HRG: healthcare resource group</w:t>
            </w:r>
          </w:p>
        </w:tc>
      </w:tr>
    </w:tbl>
    <w:p w14:paraId="22075130" w14:textId="77777777" w:rsidR="0061440D" w:rsidRDefault="0061440D" w:rsidP="0061440D">
      <w:pPr>
        <w:pStyle w:val="BodyText"/>
        <w:spacing w:after="160" w:line="480" w:lineRule="auto"/>
        <w:jc w:val="both"/>
        <w:rPr>
          <w:rFonts w:ascii="Arial" w:hAnsi="Arial" w:cs="Arial"/>
          <w:b/>
          <w:bCs/>
        </w:rPr>
      </w:pPr>
    </w:p>
    <w:p w14:paraId="6333554D" w14:textId="777701A0" w:rsidR="0049695E" w:rsidRPr="009166E3" w:rsidRDefault="0049695E" w:rsidP="0049695E">
      <w:pPr>
        <w:pStyle w:val="BodyText"/>
        <w:spacing w:after="0" w:line="360" w:lineRule="auto"/>
        <w:jc w:val="both"/>
        <w:rPr>
          <w:rFonts w:ascii="Arial" w:hAnsi="Arial" w:cs="Arial"/>
          <w:bCs/>
        </w:rPr>
      </w:pPr>
      <w:r w:rsidRPr="009166E3">
        <w:rPr>
          <w:rFonts w:ascii="Arial" w:hAnsi="Arial" w:cs="Arial"/>
          <w:b/>
          <w:bCs/>
        </w:rPr>
        <w:t>Table S</w:t>
      </w:r>
      <w:r>
        <w:rPr>
          <w:rFonts w:ascii="Arial" w:hAnsi="Arial" w:cs="Arial"/>
          <w:b/>
          <w:bCs/>
        </w:rPr>
        <w:t>2</w:t>
      </w:r>
      <w:r w:rsidRPr="009166E3">
        <w:rPr>
          <w:rFonts w:ascii="Arial" w:hAnsi="Arial" w:cs="Arial"/>
          <w:b/>
          <w:bCs/>
        </w:rPr>
        <w:t xml:space="preserve">. </w:t>
      </w:r>
      <w:r w:rsidRPr="009166E3">
        <w:rPr>
          <w:rFonts w:ascii="Arial" w:hAnsi="Arial" w:cs="Arial"/>
          <w:bCs/>
        </w:rPr>
        <w:t>UK life tables, 2016-18</w:t>
      </w:r>
    </w:p>
    <w:tbl>
      <w:tblPr>
        <w:tblW w:w="3828" w:type="dxa"/>
        <w:tblBorders>
          <w:top w:val="single" w:sz="4" w:space="0" w:color="auto"/>
          <w:left w:val="single" w:sz="4" w:space="0" w:color="auto"/>
          <w:right w:val="single" w:sz="4" w:space="0" w:color="auto"/>
          <w:insideH w:val="single" w:sz="4" w:space="0" w:color="auto"/>
        </w:tblBorders>
        <w:tblLook w:val="04A0" w:firstRow="1" w:lastRow="0" w:firstColumn="1" w:lastColumn="0" w:noHBand="0" w:noVBand="1"/>
      </w:tblPr>
      <w:tblGrid>
        <w:gridCol w:w="1418"/>
        <w:gridCol w:w="2410"/>
      </w:tblGrid>
      <w:tr w:rsidR="0049695E" w:rsidRPr="009166E3" w14:paraId="508F647C" w14:textId="77777777" w:rsidTr="00A46F82">
        <w:trPr>
          <w:trHeight w:val="283"/>
        </w:trPr>
        <w:tc>
          <w:tcPr>
            <w:tcW w:w="1418" w:type="dxa"/>
            <w:tcBorders>
              <w:bottom w:val="single" w:sz="4" w:space="0" w:color="auto"/>
            </w:tcBorders>
            <w:shd w:val="clear" w:color="auto" w:fill="auto"/>
            <w:noWrap/>
            <w:vAlign w:val="center"/>
            <w:hideMark/>
          </w:tcPr>
          <w:p w14:paraId="435C55C8" w14:textId="77777777" w:rsidR="0049695E" w:rsidRPr="009166E3" w:rsidRDefault="0049695E" w:rsidP="00A46F82">
            <w:pPr>
              <w:jc w:val="center"/>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Age</w:t>
            </w:r>
          </w:p>
        </w:tc>
        <w:tc>
          <w:tcPr>
            <w:tcW w:w="2410" w:type="dxa"/>
            <w:tcBorders>
              <w:bottom w:val="single" w:sz="4" w:space="0" w:color="auto"/>
            </w:tcBorders>
            <w:shd w:val="clear" w:color="auto" w:fill="auto"/>
            <w:noWrap/>
            <w:vAlign w:val="center"/>
            <w:hideMark/>
          </w:tcPr>
          <w:p w14:paraId="4853C3E8" w14:textId="77777777" w:rsidR="0049695E" w:rsidRPr="009166E3" w:rsidRDefault="0049695E" w:rsidP="00A46F82">
            <w:pPr>
              <w:jc w:val="center"/>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Annual rate</w:t>
            </w:r>
          </w:p>
        </w:tc>
      </w:tr>
      <w:tr w:rsidR="0049695E" w:rsidRPr="009166E3" w14:paraId="1CDA3032"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80ED4A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18</w:t>
            </w:r>
          </w:p>
        </w:tc>
        <w:tc>
          <w:tcPr>
            <w:tcW w:w="2410" w:type="dxa"/>
            <w:tcBorders>
              <w:left w:val="single" w:sz="4" w:space="0" w:color="auto"/>
              <w:bottom w:val="single" w:sz="4" w:space="0" w:color="auto"/>
            </w:tcBorders>
            <w:shd w:val="clear" w:color="auto" w:fill="auto"/>
            <w:noWrap/>
            <w:vAlign w:val="bottom"/>
            <w:hideMark/>
          </w:tcPr>
          <w:p w14:paraId="5C00917C"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0.000218</w:t>
            </w:r>
          </w:p>
        </w:tc>
      </w:tr>
      <w:tr w:rsidR="0049695E" w:rsidRPr="009166E3" w14:paraId="6A1B05FB"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7977A21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19</w:t>
            </w:r>
          </w:p>
        </w:tc>
        <w:tc>
          <w:tcPr>
            <w:tcW w:w="2410" w:type="dxa"/>
            <w:tcBorders>
              <w:left w:val="single" w:sz="4" w:space="0" w:color="auto"/>
              <w:bottom w:val="single" w:sz="4" w:space="0" w:color="auto"/>
            </w:tcBorders>
            <w:shd w:val="clear" w:color="auto" w:fill="auto"/>
            <w:noWrap/>
            <w:vAlign w:val="bottom"/>
            <w:hideMark/>
          </w:tcPr>
          <w:p w14:paraId="7D92217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0.000196</w:t>
            </w:r>
          </w:p>
        </w:tc>
      </w:tr>
      <w:tr w:rsidR="0049695E" w:rsidRPr="009166E3" w14:paraId="4DF50529"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9C16519"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20</w:t>
            </w:r>
          </w:p>
        </w:tc>
        <w:tc>
          <w:tcPr>
            <w:tcW w:w="2410" w:type="dxa"/>
            <w:tcBorders>
              <w:left w:val="single" w:sz="4" w:space="0" w:color="auto"/>
              <w:bottom w:val="single" w:sz="4" w:space="0" w:color="auto"/>
            </w:tcBorders>
            <w:shd w:val="clear" w:color="auto" w:fill="auto"/>
            <w:noWrap/>
            <w:vAlign w:val="bottom"/>
            <w:hideMark/>
          </w:tcPr>
          <w:p w14:paraId="7B502DAB"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0.000197</w:t>
            </w:r>
          </w:p>
        </w:tc>
      </w:tr>
      <w:tr w:rsidR="0049695E" w:rsidRPr="009166E3" w14:paraId="1987DC27"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BD3E277"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21</w:t>
            </w:r>
          </w:p>
        </w:tc>
        <w:tc>
          <w:tcPr>
            <w:tcW w:w="2410" w:type="dxa"/>
            <w:tcBorders>
              <w:left w:val="single" w:sz="4" w:space="0" w:color="auto"/>
              <w:bottom w:val="single" w:sz="4" w:space="0" w:color="auto"/>
            </w:tcBorders>
            <w:shd w:val="clear" w:color="auto" w:fill="auto"/>
            <w:noWrap/>
            <w:vAlign w:val="bottom"/>
            <w:hideMark/>
          </w:tcPr>
          <w:p w14:paraId="1AA3D0A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0.000224</w:t>
            </w:r>
          </w:p>
        </w:tc>
      </w:tr>
      <w:tr w:rsidR="0049695E" w:rsidRPr="009166E3" w14:paraId="3EA6ACA9"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0C157CF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22</w:t>
            </w:r>
          </w:p>
        </w:tc>
        <w:tc>
          <w:tcPr>
            <w:tcW w:w="2410" w:type="dxa"/>
            <w:tcBorders>
              <w:left w:val="single" w:sz="4" w:space="0" w:color="auto"/>
              <w:bottom w:val="single" w:sz="4" w:space="0" w:color="auto"/>
            </w:tcBorders>
            <w:shd w:val="clear" w:color="auto" w:fill="auto"/>
            <w:noWrap/>
            <w:vAlign w:val="bottom"/>
            <w:hideMark/>
          </w:tcPr>
          <w:p w14:paraId="2F67DD6F"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0.000219</w:t>
            </w:r>
          </w:p>
        </w:tc>
      </w:tr>
      <w:tr w:rsidR="0049695E" w:rsidRPr="009166E3" w14:paraId="1C9B731E"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B3AB839"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23</w:t>
            </w:r>
          </w:p>
        </w:tc>
        <w:tc>
          <w:tcPr>
            <w:tcW w:w="2410" w:type="dxa"/>
            <w:tcBorders>
              <w:left w:val="single" w:sz="4" w:space="0" w:color="auto"/>
              <w:bottom w:val="single" w:sz="4" w:space="0" w:color="auto"/>
            </w:tcBorders>
            <w:shd w:val="clear" w:color="auto" w:fill="auto"/>
            <w:noWrap/>
            <w:vAlign w:val="bottom"/>
            <w:hideMark/>
          </w:tcPr>
          <w:p w14:paraId="36BA1A9B"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0.000220</w:t>
            </w:r>
          </w:p>
        </w:tc>
      </w:tr>
      <w:tr w:rsidR="0049695E" w:rsidRPr="009166E3" w14:paraId="799EF6D6"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29C125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24</w:t>
            </w:r>
          </w:p>
        </w:tc>
        <w:tc>
          <w:tcPr>
            <w:tcW w:w="2410" w:type="dxa"/>
            <w:tcBorders>
              <w:left w:val="single" w:sz="4" w:space="0" w:color="auto"/>
              <w:bottom w:val="single" w:sz="4" w:space="0" w:color="auto"/>
            </w:tcBorders>
            <w:shd w:val="clear" w:color="auto" w:fill="auto"/>
            <w:noWrap/>
            <w:vAlign w:val="bottom"/>
            <w:hideMark/>
          </w:tcPr>
          <w:p w14:paraId="0877DE7C"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0.000226</w:t>
            </w:r>
          </w:p>
        </w:tc>
      </w:tr>
      <w:tr w:rsidR="0049695E" w:rsidRPr="009166E3" w14:paraId="2F2C3A99"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2706DFF"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25</w:t>
            </w:r>
          </w:p>
        </w:tc>
        <w:tc>
          <w:tcPr>
            <w:tcW w:w="2410" w:type="dxa"/>
            <w:tcBorders>
              <w:left w:val="single" w:sz="4" w:space="0" w:color="auto"/>
              <w:bottom w:val="single" w:sz="4" w:space="0" w:color="auto"/>
            </w:tcBorders>
            <w:shd w:val="clear" w:color="auto" w:fill="auto"/>
            <w:noWrap/>
            <w:vAlign w:val="bottom"/>
            <w:hideMark/>
          </w:tcPr>
          <w:p w14:paraId="0E38AC07"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0.000260</w:t>
            </w:r>
          </w:p>
        </w:tc>
      </w:tr>
      <w:tr w:rsidR="0049695E" w:rsidRPr="009166E3" w14:paraId="46635BD8"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ED0BFF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26</w:t>
            </w:r>
          </w:p>
        </w:tc>
        <w:tc>
          <w:tcPr>
            <w:tcW w:w="2410" w:type="dxa"/>
            <w:tcBorders>
              <w:left w:val="single" w:sz="4" w:space="0" w:color="auto"/>
              <w:bottom w:val="single" w:sz="4" w:space="0" w:color="auto"/>
            </w:tcBorders>
            <w:shd w:val="clear" w:color="auto" w:fill="auto"/>
            <w:noWrap/>
            <w:vAlign w:val="bottom"/>
            <w:hideMark/>
          </w:tcPr>
          <w:p w14:paraId="396081E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0.000252</w:t>
            </w:r>
          </w:p>
        </w:tc>
      </w:tr>
      <w:tr w:rsidR="0049695E" w:rsidRPr="009166E3" w14:paraId="3FF7B1E0"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CC755C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27</w:t>
            </w:r>
          </w:p>
        </w:tc>
        <w:tc>
          <w:tcPr>
            <w:tcW w:w="2410" w:type="dxa"/>
            <w:tcBorders>
              <w:left w:val="single" w:sz="4" w:space="0" w:color="auto"/>
              <w:bottom w:val="single" w:sz="4" w:space="0" w:color="auto"/>
            </w:tcBorders>
            <w:shd w:val="clear" w:color="auto" w:fill="auto"/>
            <w:noWrap/>
            <w:vAlign w:val="bottom"/>
            <w:hideMark/>
          </w:tcPr>
          <w:p w14:paraId="36323A69"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0.000286</w:t>
            </w:r>
          </w:p>
        </w:tc>
      </w:tr>
      <w:tr w:rsidR="0049695E" w:rsidRPr="009166E3" w14:paraId="094DBE4A"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C6FAF2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28</w:t>
            </w:r>
          </w:p>
        </w:tc>
        <w:tc>
          <w:tcPr>
            <w:tcW w:w="2410" w:type="dxa"/>
            <w:tcBorders>
              <w:left w:val="single" w:sz="4" w:space="0" w:color="auto"/>
              <w:bottom w:val="single" w:sz="4" w:space="0" w:color="auto"/>
            </w:tcBorders>
            <w:shd w:val="clear" w:color="auto" w:fill="auto"/>
            <w:noWrap/>
            <w:vAlign w:val="bottom"/>
            <w:hideMark/>
          </w:tcPr>
          <w:p w14:paraId="039F174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0.000330</w:t>
            </w:r>
          </w:p>
        </w:tc>
      </w:tr>
      <w:tr w:rsidR="0049695E" w:rsidRPr="009166E3" w14:paraId="301E443F"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0689E42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29</w:t>
            </w:r>
          </w:p>
        </w:tc>
        <w:tc>
          <w:tcPr>
            <w:tcW w:w="2410" w:type="dxa"/>
            <w:tcBorders>
              <w:left w:val="single" w:sz="4" w:space="0" w:color="auto"/>
              <w:bottom w:val="single" w:sz="4" w:space="0" w:color="auto"/>
            </w:tcBorders>
            <w:shd w:val="clear" w:color="auto" w:fill="auto"/>
            <w:noWrap/>
            <w:vAlign w:val="bottom"/>
            <w:hideMark/>
          </w:tcPr>
          <w:p w14:paraId="730208F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0.000314</w:t>
            </w:r>
          </w:p>
        </w:tc>
      </w:tr>
      <w:tr w:rsidR="0049695E" w:rsidRPr="009166E3" w14:paraId="3238D35E"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42CE30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30</w:t>
            </w:r>
          </w:p>
        </w:tc>
        <w:tc>
          <w:tcPr>
            <w:tcW w:w="2410" w:type="dxa"/>
            <w:tcBorders>
              <w:left w:val="single" w:sz="4" w:space="0" w:color="auto"/>
              <w:bottom w:val="single" w:sz="4" w:space="0" w:color="auto"/>
            </w:tcBorders>
            <w:shd w:val="clear" w:color="auto" w:fill="auto"/>
            <w:noWrap/>
            <w:vAlign w:val="bottom"/>
            <w:hideMark/>
          </w:tcPr>
          <w:p w14:paraId="190D671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0.000374</w:t>
            </w:r>
          </w:p>
        </w:tc>
      </w:tr>
      <w:tr w:rsidR="0049695E" w:rsidRPr="009166E3" w14:paraId="4EB3ABD1"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9119A3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31</w:t>
            </w:r>
          </w:p>
        </w:tc>
        <w:tc>
          <w:tcPr>
            <w:tcW w:w="2410" w:type="dxa"/>
            <w:tcBorders>
              <w:left w:val="single" w:sz="4" w:space="0" w:color="auto"/>
              <w:bottom w:val="single" w:sz="4" w:space="0" w:color="auto"/>
            </w:tcBorders>
            <w:shd w:val="clear" w:color="auto" w:fill="auto"/>
            <w:noWrap/>
            <w:vAlign w:val="bottom"/>
            <w:hideMark/>
          </w:tcPr>
          <w:p w14:paraId="4355D40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0.000394</w:t>
            </w:r>
          </w:p>
        </w:tc>
      </w:tr>
      <w:tr w:rsidR="0049695E" w:rsidRPr="009166E3" w14:paraId="73A9C634"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DD34F4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32</w:t>
            </w:r>
          </w:p>
        </w:tc>
        <w:tc>
          <w:tcPr>
            <w:tcW w:w="2410" w:type="dxa"/>
            <w:tcBorders>
              <w:left w:val="single" w:sz="4" w:space="0" w:color="auto"/>
              <w:bottom w:val="single" w:sz="4" w:space="0" w:color="auto"/>
            </w:tcBorders>
            <w:shd w:val="clear" w:color="auto" w:fill="auto"/>
            <w:noWrap/>
            <w:vAlign w:val="bottom"/>
            <w:hideMark/>
          </w:tcPr>
          <w:p w14:paraId="0E948B1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0.000482</w:t>
            </w:r>
          </w:p>
        </w:tc>
      </w:tr>
      <w:tr w:rsidR="0049695E" w:rsidRPr="009166E3" w14:paraId="720FCAD7"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3259D9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33</w:t>
            </w:r>
          </w:p>
        </w:tc>
        <w:tc>
          <w:tcPr>
            <w:tcW w:w="2410" w:type="dxa"/>
            <w:tcBorders>
              <w:left w:val="single" w:sz="4" w:space="0" w:color="auto"/>
              <w:bottom w:val="single" w:sz="4" w:space="0" w:color="auto"/>
            </w:tcBorders>
            <w:shd w:val="clear" w:color="auto" w:fill="auto"/>
            <w:noWrap/>
            <w:vAlign w:val="bottom"/>
            <w:hideMark/>
          </w:tcPr>
          <w:p w14:paraId="651BAED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0.000500</w:t>
            </w:r>
          </w:p>
        </w:tc>
      </w:tr>
      <w:tr w:rsidR="0049695E" w:rsidRPr="009166E3" w14:paraId="26EEE56F"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2E59EA7"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34</w:t>
            </w:r>
          </w:p>
        </w:tc>
        <w:tc>
          <w:tcPr>
            <w:tcW w:w="2410" w:type="dxa"/>
            <w:tcBorders>
              <w:left w:val="single" w:sz="4" w:space="0" w:color="auto"/>
              <w:bottom w:val="single" w:sz="4" w:space="0" w:color="auto"/>
            </w:tcBorders>
            <w:shd w:val="clear" w:color="auto" w:fill="auto"/>
            <w:noWrap/>
            <w:vAlign w:val="bottom"/>
            <w:hideMark/>
          </w:tcPr>
          <w:p w14:paraId="1E0452F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0.000545</w:t>
            </w:r>
          </w:p>
        </w:tc>
      </w:tr>
      <w:tr w:rsidR="0049695E" w:rsidRPr="009166E3" w14:paraId="67BBD415"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35E48CCC"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35</w:t>
            </w:r>
          </w:p>
        </w:tc>
        <w:tc>
          <w:tcPr>
            <w:tcW w:w="2410" w:type="dxa"/>
            <w:tcBorders>
              <w:left w:val="single" w:sz="4" w:space="0" w:color="auto"/>
              <w:bottom w:val="single" w:sz="4" w:space="0" w:color="auto"/>
            </w:tcBorders>
            <w:shd w:val="clear" w:color="auto" w:fill="auto"/>
            <w:noWrap/>
            <w:vAlign w:val="bottom"/>
            <w:hideMark/>
          </w:tcPr>
          <w:p w14:paraId="1BFA2DC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0.000586</w:t>
            </w:r>
          </w:p>
        </w:tc>
      </w:tr>
      <w:tr w:rsidR="0049695E" w:rsidRPr="009166E3" w14:paraId="6136354E"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BC415D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36</w:t>
            </w:r>
          </w:p>
        </w:tc>
        <w:tc>
          <w:tcPr>
            <w:tcW w:w="2410" w:type="dxa"/>
            <w:tcBorders>
              <w:left w:val="single" w:sz="4" w:space="0" w:color="auto"/>
              <w:bottom w:val="single" w:sz="4" w:space="0" w:color="auto"/>
            </w:tcBorders>
            <w:shd w:val="clear" w:color="auto" w:fill="auto"/>
            <w:noWrap/>
            <w:vAlign w:val="bottom"/>
            <w:hideMark/>
          </w:tcPr>
          <w:p w14:paraId="1C86249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0.000655</w:t>
            </w:r>
          </w:p>
        </w:tc>
      </w:tr>
      <w:tr w:rsidR="0049695E" w:rsidRPr="009166E3" w14:paraId="71CD532C"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77A7CE9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37</w:t>
            </w:r>
          </w:p>
        </w:tc>
        <w:tc>
          <w:tcPr>
            <w:tcW w:w="2410" w:type="dxa"/>
            <w:tcBorders>
              <w:left w:val="single" w:sz="4" w:space="0" w:color="auto"/>
              <w:bottom w:val="single" w:sz="4" w:space="0" w:color="auto"/>
            </w:tcBorders>
            <w:shd w:val="clear" w:color="auto" w:fill="auto"/>
            <w:noWrap/>
            <w:vAlign w:val="bottom"/>
            <w:hideMark/>
          </w:tcPr>
          <w:p w14:paraId="7BAE891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0.000738</w:t>
            </w:r>
          </w:p>
        </w:tc>
      </w:tr>
      <w:tr w:rsidR="0049695E" w:rsidRPr="009166E3" w14:paraId="53276932"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CFCC4E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38</w:t>
            </w:r>
          </w:p>
        </w:tc>
        <w:tc>
          <w:tcPr>
            <w:tcW w:w="2410" w:type="dxa"/>
            <w:tcBorders>
              <w:left w:val="single" w:sz="4" w:space="0" w:color="auto"/>
              <w:bottom w:val="single" w:sz="4" w:space="0" w:color="auto"/>
            </w:tcBorders>
            <w:shd w:val="clear" w:color="auto" w:fill="auto"/>
            <w:noWrap/>
            <w:vAlign w:val="bottom"/>
            <w:hideMark/>
          </w:tcPr>
          <w:p w14:paraId="3819DC5B"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0.000720</w:t>
            </w:r>
          </w:p>
        </w:tc>
      </w:tr>
      <w:tr w:rsidR="0049695E" w:rsidRPr="009166E3" w14:paraId="0AA938E8"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9FB90B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39</w:t>
            </w:r>
          </w:p>
        </w:tc>
        <w:tc>
          <w:tcPr>
            <w:tcW w:w="2410" w:type="dxa"/>
            <w:tcBorders>
              <w:left w:val="single" w:sz="4" w:space="0" w:color="auto"/>
              <w:bottom w:val="single" w:sz="4" w:space="0" w:color="auto"/>
            </w:tcBorders>
            <w:shd w:val="clear" w:color="auto" w:fill="auto"/>
            <w:noWrap/>
            <w:vAlign w:val="bottom"/>
            <w:hideMark/>
          </w:tcPr>
          <w:p w14:paraId="32EB5F0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0.000846</w:t>
            </w:r>
          </w:p>
        </w:tc>
      </w:tr>
      <w:tr w:rsidR="0049695E" w:rsidRPr="009166E3" w14:paraId="03B82754"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8F8D9F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40</w:t>
            </w:r>
          </w:p>
        </w:tc>
        <w:tc>
          <w:tcPr>
            <w:tcW w:w="2410" w:type="dxa"/>
            <w:tcBorders>
              <w:left w:val="single" w:sz="4" w:space="0" w:color="auto"/>
              <w:bottom w:val="single" w:sz="4" w:space="0" w:color="auto"/>
            </w:tcBorders>
            <w:shd w:val="clear" w:color="auto" w:fill="auto"/>
            <w:noWrap/>
            <w:vAlign w:val="bottom"/>
            <w:hideMark/>
          </w:tcPr>
          <w:p w14:paraId="1DCE059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0.000883</w:t>
            </w:r>
          </w:p>
        </w:tc>
      </w:tr>
      <w:tr w:rsidR="0049695E" w:rsidRPr="009166E3" w14:paraId="22764EE2"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AC975F7"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41</w:t>
            </w:r>
          </w:p>
        </w:tc>
        <w:tc>
          <w:tcPr>
            <w:tcW w:w="2410" w:type="dxa"/>
            <w:tcBorders>
              <w:left w:val="single" w:sz="4" w:space="0" w:color="auto"/>
              <w:bottom w:val="single" w:sz="4" w:space="0" w:color="auto"/>
            </w:tcBorders>
            <w:shd w:val="clear" w:color="auto" w:fill="auto"/>
            <w:noWrap/>
            <w:vAlign w:val="bottom"/>
            <w:hideMark/>
          </w:tcPr>
          <w:p w14:paraId="2DBF644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0.000993</w:t>
            </w:r>
          </w:p>
        </w:tc>
      </w:tr>
      <w:tr w:rsidR="0049695E" w:rsidRPr="009166E3" w14:paraId="3B9D31F0"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FBD073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42</w:t>
            </w:r>
          </w:p>
        </w:tc>
        <w:tc>
          <w:tcPr>
            <w:tcW w:w="2410" w:type="dxa"/>
            <w:tcBorders>
              <w:left w:val="single" w:sz="4" w:space="0" w:color="auto"/>
              <w:bottom w:val="single" w:sz="4" w:space="0" w:color="auto"/>
            </w:tcBorders>
            <w:shd w:val="clear" w:color="auto" w:fill="auto"/>
            <w:noWrap/>
            <w:vAlign w:val="bottom"/>
            <w:hideMark/>
          </w:tcPr>
          <w:p w14:paraId="01C9F3D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0.001052</w:t>
            </w:r>
          </w:p>
        </w:tc>
      </w:tr>
      <w:tr w:rsidR="0049695E" w:rsidRPr="009166E3" w14:paraId="1FEBCBD6"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891971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43</w:t>
            </w:r>
          </w:p>
        </w:tc>
        <w:tc>
          <w:tcPr>
            <w:tcW w:w="2410" w:type="dxa"/>
            <w:tcBorders>
              <w:left w:val="single" w:sz="4" w:space="0" w:color="auto"/>
              <w:bottom w:val="single" w:sz="4" w:space="0" w:color="auto"/>
            </w:tcBorders>
            <w:shd w:val="clear" w:color="auto" w:fill="auto"/>
            <w:noWrap/>
            <w:vAlign w:val="bottom"/>
            <w:hideMark/>
          </w:tcPr>
          <w:p w14:paraId="245D073F"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0.001183</w:t>
            </w:r>
          </w:p>
        </w:tc>
      </w:tr>
      <w:tr w:rsidR="0049695E" w:rsidRPr="009166E3" w14:paraId="61B65D77"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33F7A35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44</w:t>
            </w:r>
          </w:p>
        </w:tc>
        <w:tc>
          <w:tcPr>
            <w:tcW w:w="2410" w:type="dxa"/>
            <w:tcBorders>
              <w:left w:val="single" w:sz="4" w:space="0" w:color="auto"/>
              <w:bottom w:val="single" w:sz="4" w:space="0" w:color="auto"/>
            </w:tcBorders>
            <w:shd w:val="clear" w:color="auto" w:fill="auto"/>
            <w:noWrap/>
            <w:vAlign w:val="bottom"/>
            <w:hideMark/>
          </w:tcPr>
          <w:p w14:paraId="3E411459"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0.001329</w:t>
            </w:r>
          </w:p>
        </w:tc>
      </w:tr>
      <w:tr w:rsidR="0049695E" w:rsidRPr="009166E3" w14:paraId="3270F306"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C2C94D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45</w:t>
            </w:r>
          </w:p>
        </w:tc>
        <w:tc>
          <w:tcPr>
            <w:tcW w:w="2410" w:type="dxa"/>
            <w:tcBorders>
              <w:left w:val="single" w:sz="4" w:space="0" w:color="auto"/>
              <w:bottom w:val="single" w:sz="4" w:space="0" w:color="auto"/>
            </w:tcBorders>
            <w:shd w:val="clear" w:color="auto" w:fill="auto"/>
            <w:noWrap/>
            <w:vAlign w:val="bottom"/>
            <w:hideMark/>
          </w:tcPr>
          <w:p w14:paraId="4556EA8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0.001437</w:t>
            </w:r>
          </w:p>
        </w:tc>
      </w:tr>
      <w:tr w:rsidR="0049695E" w:rsidRPr="009166E3" w14:paraId="3254B1BE"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3227F1D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lastRenderedPageBreak/>
              <w:t>46</w:t>
            </w:r>
          </w:p>
        </w:tc>
        <w:tc>
          <w:tcPr>
            <w:tcW w:w="2410" w:type="dxa"/>
            <w:tcBorders>
              <w:left w:val="single" w:sz="4" w:space="0" w:color="auto"/>
              <w:bottom w:val="single" w:sz="4" w:space="0" w:color="auto"/>
            </w:tcBorders>
            <w:shd w:val="clear" w:color="auto" w:fill="auto"/>
            <w:noWrap/>
            <w:vAlign w:val="bottom"/>
            <w:hideMark/>
          </w:tcPr>
          <w:p w14:paraId="4174A11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0.001541</w:t>
            </w:r>
          </w:p>
        </w:tc>
      </w:tr>
      <w:tr w:rsidR="0049695E" w:rsidRPr="009166E3" w14:paraId="32EC2A1D"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76339D5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47</w:t>
            </w:r>
          </w:p>
        </w:tc>
        <w:tc>
          <w:tcPr>
            <w:tcW w:w="2410" w:type="dxa"/>
            <w:tcBorders>
              <w:left w:val="single" w:sz="4" w:space="0" w:color="auto"/>
              <w:bottom w:val="single" w:sz="4" w:space="0" w:color="auto"/>
            </w:tcBorders>
            <w:shd w:val="clear" w:color="auto" w:fill="auto"/>
            <w:noWrap/>
            <w:vAlign w:val="bottom"/>
            <w:hideMark/>
          </w:tcPr>
          <w:p w14:paraId="3526F75B"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0.001701</w:t>
            </w:r>
          </w:p>
        </w:tc>
      </w:tr>
      <w:tr w:rsidR="0049695E" w:rsidRPr="009166E3" w14:paraId="5C2E5DC8"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9185C0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48</w:t>
            </w:r>
          </w:p>
        </w:tc>
        <w:tc>
          <w:tcPr>
            <w:tcW w:w="2410" w:type="dxa"/>
            <w:tcBorders>
              <w:left w:val="single" w:sz="4" w:space="0" w:color="auto"/>
              <w:bottom w:val="single" w:sz="4" w:space="0" w:color="auto"/>
            </w:tcBorders>
            <w:shd w:val="clear" w:color="auto" w:fill="auto"/>
            <w:noWrap/>
            <w:vAlign w:val="bottom"/>
            <w:hideMark/>
          </w:tcPr>
          <w:p w14:paraId="268F229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0.001825</w:t>
            </w:r>
          </w:p>
        </w:tc>
      </w:tr>
      <w:tr w:rsidR="0049695E" w:rsidRPr="009166E3" w14:paraId="6DE3416F"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79D0AF9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49</w:t>
            </w:r>
          </w:p>
        </w:tc>
        <w:tc>
          <w:tcPr>
            <w:tcW w:w="2410" w:type="dxa"/>
            <w:tcBorders>
              <w:left w:val="single" w:sz="4" w:space="0" w:color="auto"/>
              <w:bottom w:val="single" w:sz="4" w:space="0" w:color="auto"/>
            </w:tcBorders>
            <w:shd w:val="clear" w:color="auto" w:fill="auto"/>
            <w:noWrap/>
            <w:vAlign w:val="bottom"/>
            <w:hideMark/>
          </w:tcPr>
          <w:p w14:paraId="55EC862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0.001937</w:t>
            </w:r>
          </w:p>
        </w:tc>
      </w:tr>
      <w:tr w:rsidR="0049695E" w:rsidRPr="009166E3" w14:paraId="16AB98A8"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252332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50</w:t>
            </w:r>
          </w:p>
        </w:tc>
        <w:tc>
          <w:tcPr>
            <w:tcW w:w="2410" w:type="dxa"/>
            <w:tcBorders>
              <w:left w:val="single" w:sz="4" w:space="0" w:color="auto"/>
              <w:bottom w:val="single" w:sz="4" w:space="0" w:color="auto"/>
            </w:tcBorders>
            <w:shd w:val="clear" w:color="auto" w:fill="auto"/>
            <w:noWrap/>
            <w:vAlign w:val="bottom"/>
            <w:hideMark/>
          </w:tcPr>
          <w:p w14:paraId="6681A53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0.002138</w:t>
            </w:r>
          </w:p>
        </w:tc>
      </w:tr>
      <w:tr w:rsidR="0049695E" w:rsidRPr="009166E3" w14:paraId="0242782A"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00C139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51</w:t>
            </w:r>
          </w:p>
        </w:tc>
        <w:tc>
          <w:tcPr>
            <w:tcW w:w="2410" w:type="dxa"/>
            <w:tcBorders>
              <w:left w:val="single" w:sz="4" w:space="0" w:color="auto"/>
              <w:bottom w:val="single" w:sz="4" w:space="0" w:color="auto"/>
            </w:tcBorders>
            <w:shd w:val="clear" w:color="auto" w:fill="auto"/>
            <w:noWrap/>
            <w:vAlign w:val="bottom"/>
            <w:hideMark/>
          </w:tcPr>
          <w:p w14:paraId="7A574D6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0.002366</w:t>
            </w:r>
          </w:p>
        </w:tc>
      </w:tr>
      <w:tr w:rsidR="0049695E" w:rsidRPr="009166E3" w14:paraId="48D35E6D"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B0898D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52</w:t>
            </w:r>
          </w:p>
        </w:tc>
        <w:tc>
          <w:tcPr>
            <w:tcW w:w="2410" w:type="dxa"/>
            <w:tcBorders>
              <w:left w:val="single" w:sz="4" w:space="0" w:color="auto"/>
              <w:bottom w:val="single" w:sz="4" w:space="0" w:color="auto"/>
            </w:tcBorders>
            <w:shd w:val="clear" w:color="auto" w:fill="auto"/>
            <w:noWrap/>
            <w:vAlign w:val="bottom"/>
            <w:hideMark/>
          </w:tcPr>
          <w:p w14:paraId="23DBF85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0.002584</w:t>
            </w:r>
          </w:p>
        </w:tc>
      </w:tr>
      <w:tr w:rsidR="0049695E" w:rsidRPr="009166E3" w14:paraId="327D10D5"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FDA4B3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53</w:t>
            </w:r>
          </w:p>
        </w:tc>
        <w:tc>
          <w:tcPr>
            <w:tcW w:w="2410" w:type="dxa"/>
            <w:tcBorders>
              <w:left w:val="single" w:sz="4" w:space="0" w:color="auto"/>
              <w:bottom w:val="single" w:sz="4" w:space="0" w:color="auto"/>
            </w:tcBorders>
            <w:shd w:val="clear" w:color="auto" w:fill="auto"/>
            <w:noWrap/>
            <w:vAlign w:val="bottom"/>
            <w:hideMark/>
          </w:tcPr>
          <w:p w14:paraId="24858CF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0.002759</w:t>
            </w:r>
          </w:p>
        </w:tc>
      </w:tr>
      <w:tr w:rsidR="0049695E" w:rsidRPr="009166E3" w14:paraId="53A062D3"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02FB8AF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54</w:t>
            </w:r>
          </w:p>
        </w:tc>
        <w:tc>
          <w:tcPr>
            <w:tcW w:w="2410" w:type="dxa"/>
            <w:tcBorders>
              <w:left w:val="single" w:sz="4" w:space="0" w:color="auto"/>
              <w:bottom w:val="single" w:sz="4" w:space="0" w:color="auto"/>
            </w:tcBorders>
            <w:shd w:val="clear" w:color="auto" w:fill="auto"/>
            <w:noWrap/>
            <w:vAlign w:val="bottom"/>
            <w:hideMark/>
          </w:tcPr>
          <w:p w14:paraId="070E88B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0.002956</w:t>
            </w:r>
          </w:p>
        </w:tc>
      </w:tr>
      <w:tr w:rsidR="0049695E" w:rsidRPr="009166E3" w14:paraId="77D786E9"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AFC10E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55</w:t>
            </w:r>
          </w:p>
        </w:tc>
        <w:tc>
          <w:tcPr>
            <w:tcW w:w="2410" w:type="dxa"/>
            <w:tcBorders>
              <w:left w:val="single" w:sz="4" w:space="0" w:color="auto"/>
              <w:bottom w:val="single" w:sz="4" w:space="0" w:color="auto"/>
            </w:tcBorders>
            <w:shd w:val="clear" w:color="auto" w:fill="auto"/>
            <w:noWrap/>
            <w:vAlign w:val="bottom"/>
            <w:hideMark/>
          </w:tcPr>
          <w:p w14:paraId="4321842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0.003270</w:t>
            </w:r>
          </w:p>
        </w:tc>
      </w:tr>
      <w:tr w:rsidR="0049695E" w:rsidRPr="009166E3" w14:paraId="3A07E55D"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25F821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56</w:t>
            </w:r>
          </w:p>
        </w:tc>
        <w:tc>
          <w:tcPr>
            <w:tcW w:w="2410" w:type="dxa"/>
            <w:tcBorders>
              <w:left w:val="single" w:sz="4" w:space="0" w:color="auto"/>
              <w:bottom w:val="single" w:sz="4" w:space="0" w:color="auto"/>
            </w:tcBorders>
            <w:shd w:val="clear" w:color="auto" w:fill="auto"/>
            <w:noWrap/>
            <w:vAlign w:val="bottom"/>
            <w:hideMark/>
          </w:tcPr>
          <w:p w14:paraId="450DB5E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0.003627</w:t>
            </w:r>
          </w:p>
        </w:tc>
      </w:tr>
      <w:tr w:rsidR="0049695E" w:rsidRPr="009166E3" w14:paraId="6DCB35B5"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BF6EC1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57</w:t>
            </w:r>
          </w:p>
        </w:tc>
        <w:tc>
          <w:tcPr>
            <w:tcW w:w="2410" w:type="dxa"/>
            <w:tcBorders>
              <w:left w:val="single" w:sz="4" w:space="0" w:color="auto"/>
              <w:bottom w:val="single" w:sz="4" w:space="0" w:color="auto"/>
            </w:tcBorders>
            <w:shd w:val="clear" w:color="auto" w:fill="auto"/>
            <w:noWrap/>
            <w:vAlign w:val="bottom"/>
            <w:hideMark/>
          </w:tcPr>
          <w:p w14:paraId="2ACBF6E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0.003903</w:t>
            </w:r>
          </w:p>
        </w:tc>
      </w:tr>
      <w:tr w:rsidR="0049695E" w:rsidRPr="009166E3" w14:paraId="7C568705"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7D8596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58</w:t>
            </w:r>
          </w:p>
        </w:tc>
        <w:tc>
          <w:tcPr>
            <w:tcW w:w="2410" w:type="dxa"/>
            <w:tcBorders>
              <w:left w:val="single" w:sz="4" w:space="0" w:color="auto"/>
              <w:bottom w:val="single" w:sz="4" w:space="0" w:color="auto"/>
            </w:tcBorders>
            <w:shd w:val="clear" w:color="auto" w:fill="auto"/>
            <w:noWrap/>
            <w:vAlign w:val="bottom"/>
            <w:hideMark/>
          </w:tcPr>
          <w:p w14:paraId="31EA15E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0.004334</w:t>
            </w:r>
          </w:p>
        </w:tc>
      </w:tr>
      <w:tr w:rsidR="0049695E" w:rsidRPr="009166E3" w14:paraId="4053CCE1"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E86B7B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59</w:t>
            </w:r>
          </w:p>
        </w:tc>
        <w:tc>
          <w:tcPr>
            <w:tcW w:w="2410" w:type="dxa"/>
            <w:tcBorders>
              <w:left w:val="single" w:sz="4" w:space="0" w:color="auto"/>
              <w:bottom w:val="single" w:sz="4" w:space="0" w:color="auto"/>
            </w:tcBorders>
            <w:shd w:val="clear" w:color="auto" w:fill="auto"/>
            <w:noWrap/>
            <w:vAlign w:val="bottom"/>
            <w:hideMark/>
          </w:tcPr>
          <w:p w14:paraId="3141B1E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0.004741</w:t>
            </w:r>
          </w:p>
        </w:tc>
      </w:tr>
      <w:tr w:rsidR="0049695E" w:rsidRPr="009166E3" w14:paraId="6F34FE23"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9E7B04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60</w:t>
            </w:r>
          </w:p>
        </w:tc>
        <w:tc>
          <w:tcPr>
            <w:tcW w:w="2410" w:type="dxa"/>
            <w:tcBorders>
              <w:left w:val="single" w:sz="4" w:space="0" w:color="auto"/>
              <w:bottom w:val="single" w:sz="4" w:space="0" w:color="auto"/>
            </w:tcBorders>
            <w:shd w:val="clear" w:color="auto" w:fill="auto"/>
            <w:noWrap/>
            <w:vAlign w:val="bottom"/>
            <w:hideMark/>
          </w:tcPr>
          <w:p w14:paraId="786253C7"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0.005117</w:t>
            </w:r>
          </w:p>
        </w:tc>
      </w:tr>
      <w:tr w:rsidR="0049695E" w:rsidRPr="009166E3" w14:paraId="3793096A"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F0686D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61</w:t>
            </w:r>
          </w:p>
        </w:tc>
        <w:tc>
          <w:tcPr>
            <w:tcW w:w="2410" w:type="dxa"/>
            <w:tcBorders>
              <w:left w:val="single" w:sz="4" w:space="0" w:color="auto"/>
              <w:bottom w:val="single" w:sz="4" w:space="0" w:color="auto"/>
            </w:tcBorders>
            <w:shd w:val="clear" w:color="auto" w:fill="auto"/>
            <w:noWrap/>
            <w:vAlign w:val="bottom"/>
            <w:hideMark/>
          </w:tcPr>
          <w:p w14:paraId="1870B9C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0.005615</w:t>
            </w:r>
          </w:p>
        </w:tc>
      </w:tr>
      <w:tr w:rsidR="0049695E" w:rsidRPr="009166E3" w14:paraId="03BF3981"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EDCFB5B"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62</w:t>
            </w:r>
          </w:p>
        </w:tc>
        <w:tc>
          <w:tcPr>
            <w:tcW w:w="2410" w:type="dxa"/>
            <w:tcBorders>
              <w:left w:val="single" w:sz="4" w:space="0" w:color="auto"/>
              <w:bottom w:val="single" w:sz="4" w:space="0" w:color="auto"/>
            </w:tcBorders>
            <w:shd w:val="clear" w:color="auto" w:fill="auto"/>
            <w:noWrap/>
            <w:vAlign w:val="bottom"/>
            <w:hideMark/>
          </w:tcPr>
          <w:p w14:paraId="1EA38F5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0.006323</w:t>
            </w:r>
          </w:p>
        </w:tc>
      </w:tr>
      <w:tr w:rsidR="0049695E" w:rsidRPr="009166E3" w14:paraId="207CA7E3"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A0DBA1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63</w:t>
            </w:r>
          </w:p>
        </w:tc>
        <w:tc>
          <w:tcPr>
            <w:tcW w:w="2410" w:type="dxa"/>
            <w:tcBorders>
              <w:left w:val="single" w:sz="4" w:space="0" w:color="auto"/>
              <w:bottom w:val="single" w:sz="4" w:space="0" w:color="auto"/>
            </w:tcBorders>
            <w:shd w:val="clear" w:color="auto" w:fill="auto"/>
            <w:noWrap/>
            <w:vAlign w:val="bottom"/>
            <w:hideMark/>
          </w:tcPr>
          <w:p w14:paraId="5BA9E9D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0.006856</w:t>
            </w:r>
          </w:p>
        </w:tc>
      </w:tr>
      <w:tr w:rsidR="0049695E" w:rsidRPr="009166E3" w14:paraId="7214E591"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9416D9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64</w:t>
            </w:r>
          </w:p>
        </w:tc>
        <w:tc>
          <w:tcPr>
            <w:tcW w:w="2410" w:type="dxa"/>
            <w:tcBorders>
              <w:left w:val="single" w:sz="4" w:space="0" w:color="auto"/>
              <w:bottom w:val="single" w:sz="4" w:space="0" w:color="auto"/>
            </w:tcBorders>
            <w:shd w:val="clear" w:color="auto" w:fill="auto"/>
            <w:noWrap/>
            <w:vAlign w:val="bottom"/>
            <w:hideMark/>
          </w:tcPr>
          <w:p w14:paraId="0E15B6D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0.007373</w:t>
            </w:r>
          </w:p>
        </w:tc>
      </w:tr>
      <w:tr w:rsidR="0049695E" w:rsidRPr="009166E3" w14:paraId="6D1A6692"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6B7EF1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65</w:t>
            </w:r>
          </w:p>
        </w:tc>
        <w:tc>
          <w:tcPr>
            <w:tcW w:w="2410" w:type="dxa"/>
            <w:tcBorders>
              <w:left w:val="single" w:sz="4" w:space="0" w:color="auto"/>
              <w:bottom w:val="single" w:sz="4" w:space="0" w:color="auto"/>
            </w:tcBorders>
            <w:shd w:val="clear" w:color="auto" w:fill="auto"/>
            <w:noWrap/>
            <w:vAlign w:val="bottom"/>
            <w:hideMark/>
          </w:tcPr>
          <w:p w14:paraId="795C82FF"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0.008027</w:t>
            </w:r>
          </w:p>
        </w:tc>
      </w:tr>
      <w:tr w:rsidR="0049695E" w:rsidRPr="009166E3" w14:paraId="4DC72FAC"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8DDEBA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66</w:t>
            </w:r>
          </w:p>
        </w:tc>
        <w:tc>
          <w:tcPr>
            <w:tcW w:w="2410" w:type="dxa"/>
            <w:tcBorders>
              <w:left w:val="single" w:sz="4" w:space="0" w:color="auto"/>
              <w:bottom w:val="single" w:sz="4" w:space="0" w:color="auto"/>
            </w:tcBorders>
            <w:shd w:val="clear" w:color="auto" w:fill="auto"/>
            <w:noWrap/>
            <w:vAlign w:val="bottom"/>
            <w:hideMark/>
          </w:tcPr>
          <w:p w14:paraId="64A5F57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0.008899</w:t>
            </w:r>
          </w:p>
        </w:tc>
      </w:tr>
      <w:tr w:rsidR="0049695E" w:rsidRPr="009166E3" w14:paraId="7C1C4542"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D7CB7F7"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67</w:t>
            </w:r>
          </w:p>
        </w:tc>
        <w:tc>
          <w:tcPr>
            <w:tcW w:w="2410" w:type="dxa"/>
            <w:tcBorders>
              <w:left w:val="single" w:sz="4" w:space="0" w:color="auto"/>
              <w:bottom w:val="single" w:sz="4" w:space="0" w:color="auto"/>
            </w:tcBorders>
            <w:shd w:val="clear" w:color="auto" w:fill="auto"/>
            <w:noWrap/>
            <w:vAlign w:val="bottom"/>
            <w:hideMark/>
          </w:tcPr>
          <w:p w14:paraId="64AA80C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0.009568</w:t>
            </w:r>
          </w:p>
        </w:tc>
      </w:tr>
      <w:tr w:rsidR="0049695E" w:rsidRPr="009166E3" w14:paraId="4BB2E0C9"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39A00C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68</w:t>
            </w:r>
          </w:p>
        </w:tc>
        <w:tc>
          <w:tcPr>
            <w:tcW w:w="2410" w:type="dxa"/>
            <w:tcBorders>
              <w:left w:val="single" w:sz="4" w:space="0" w:color="auto"/>
              <w:bottom w:val="single" w:sz="4" w:space="0" w:color="auto"/>
            </w:tcBorders>
            <w:shd w:val="clear" w:color="auto" w:fill="auto"/>
            <w:noWrap/>
            <w:vAlign w:val="bottom"/>
            <w:hideMark/>
          </w:tcPr>
          <w:p w14:paraId="261D437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0.010433</w:t>
            </w:r>
          </w:p>
        </w:tc>
      </w:tr>
      <w:tr w:rsidR="0049695E" w:rsidRPr="009166E3" w14:paraId="5961E9D3"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86658B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69</w:t>
            </w:r>
          </w:p>
        </w:tc>
        <w:tc>
          <w:tcPr>
            <w:tcW w:w="2410" w:type="dxa"/>
            <w:tcBorders>
              <w:left w:val="single" w:sz="4" w:space="0" w:color="auto"/>
              <w:bottom w:val="single" w:sz="4" w:space="0" w:color="auto"/>
            </w:tcBorders>
            <w:shd w:val="clear" w:color="auto" w:fill="auto"/>
            <w:noWrap/>
            <w:vAlign w:val="bottom"/>
            <w:hideMark/>
          </w:tcPr>
          <w:p w14:paraId="796601D9"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0.011426</w:t>
            </w:r>
          </w:p>
        </w:tc>
      </w:tr>
      <w:tr w:rsidR="0049695E" w:rsidRPr="009166E3" w14:paraId="0C5FACC2"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C54379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70</w:t>
            </w:r>
          </w:p>
        </w:tc>
        <w:tc>
          <w:tcPr>
            <w:tcW w:w="2410" w:type="dxa"/>
            <w:tcBorders>
              <w:left w:val="single" w:sz="4" w:space="0" w:color="auto"/>
              <w:bottom w:val="single" w:sz="4" w:space="0" w:color="auto"/>
            </w:tcBorders>
            <w:shd w:val="clear" w:color="auto" w:fill="auto"/>
            <w:noWrap/>
            <w:vAlign w:val="bottom"/>
            <w:hideMark/>
          </w:tcPr>
          <w:p w14:paraId="65E48F7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0.012681</w:t>
            </w:r>
          </w:p>
        </w:tc>
      </w:tr>
      <w:tr w:rsidR="0049695E" w:rsidRPr="009166E3" w14:paraId="518ABE18"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D7345A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71</w:t>
            </w:r>
          </w:p>
        </w:tc>
        <w:tc>
          <w:tcPr>
            <w:tcW w:w="2410" w:type="dxa"/>
            <w:tcBorders>
              <w:left w:val="single" w:sz="4" w:space="0" w:color="auto"/>
              <w:bottom w:val="single" w:sz="4" w:space="0" w:color="auto"/>
            </w:tcBorders>
            <w:shd w:val="clear" w:color="auto" w:fill="auto"/>
            <w:noWrap/>
            <w:vAlign w:val="bottom"/>
            <w:hideMark/>
          </w:tcPr>
          <w:p w14:paraId="5A42D8F9"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0.013877</w:t>
            </w:r>
          </w:p>
        </w:tc>
      </w:tr>
      <w:tr w:rsidR="0049695E" w:rsidRPr="009166E3" w14:paraId="58EA024F"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2AB7F4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72</w:t>
            </w:r>
          </w:p>
        </w:tc>
        <w:tc>
          <w:tcPr>
            <w:tcW w:w="2410" w:type="dxa"/>
            <w:tcBorders>
              <w:left w:val="single" w:sz="4" w:space="0" w:color="auto"/>
              <w:bottom w:val="single" w:sz="4" w:space="0" w:color="auto"/>
            </w:tcBorders>
            <w:shd w:val="clear" w:color="auto" w:fill="auto"/>
            <w:noWrap/>
            <w:vAlign w:val="bottom"/>
            <w:hideMark/>
          </w:tcPr>
          <w:p w14:paraId="183F8BFC"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0.016044</w:t>
            </w:r>
          </w:p>
        </w:tc>
      </w:tr>
      <w:tr w:rsidR="0049695E" w:rsidRPr="009166E3" w14:paraId="06C91AFA"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46780A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73</w:t>
            </w:r>
          </w:p>
        </w:tc>
        <w:tc>
          <w:tcPr>
            <w:tcW w:w="2410" w:type="dxa"/>
            <w:tcBorders>
              <w:left w:val="single" w:sz="4" w:space="0" w:color="auto"/>
              <w:bottom w:val="single" w:sz="4" w:space="0" w:color="auto"/>
            </w:tcBorders>
            <w:shd w:val="clear" w:color="auto" w:fill="auto"/>
            <w:noWrap/>
            <w:vAlign w:val="bottom"/>
            <w:hideMark/>
          </w:tcPr>
          <w:p w14:paraId="31BEFBA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0.017700</w:t>
            </w:r>
          </w:p>
        </w:tc>
      </w:tr>
      <w:tr w:rsidR="0049695E" w:rsidRPr="009166E3" w14:paraId="64FA084F"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C1C8C1C"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74</w:t>
            </w:r>
          </w:p>
        </w:tc>
        <w:tc>
          <w:tcPr>
            <w:tcW w:w="2410" w:type="dxa"/>
            <w:tcBorders>
              <w:left w:val="single" w:sz="4" w:space="0" w:color="auto"/>
              <w:bottom w:val="single" w:sz="4" w:space="0" w:color="auto"/>
            </w:tcBorders>
            <w:shd w:val="clear" w:color="auto" w:fill="auto"/>
            <w:noWrap/>
            <w:vAlign w:val="bottom"/>
            <w:hideMark/>
          </w:tcPr>
          <w:p w14:paraId="1E37FD3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0.019486</w:t>
            </w:r>
          </w:p>
        </w:tc>
      </w:tr>
      <w:tr w:rsidR="0049695E" w:rsidRPr="009166E3" w14:paraId="6E98A3FA"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71DBD07"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75</w:t>
            </w:r>
          </w:p>
        </w:tc>
        <w:tc>
          <w:tcPr>
            <w:tcW w:w="2410" w:type="dxa"/>
            <w:tcBorders>
              <w:left w:val="single" w:sz="4" w:space="0" w:color="auto"/>
              <w:bottom w:val="single" w:sz="4" w:space="0" w:color="auto"/>
            </w:tcBorders>
            <w:shd w:val="clear" w:color="auto" w:fill="auto"/>
            <w:noWrap/>
            <w:vAlign w:val="bottom"/>
            <w:hideMark/>
          </w:tcPr>
          <w:p w14:paraId="7AE998D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0.022255</w:t>
            </w:r>
          </w:p>
        </w:tc>
      </w:tr>
      <w:tr w:rsidR="0049695E" w:rsidRPr="009166E3" w14:paraId="021FAC26"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70D7990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76</w:t>
            </w:r>
          </w:p>
        </w:tc>
        <w:tc>
          <w:tcPr>
            <w:tcW w:w="2410" w:type="dxa"/>
            <w:tcBorders>
              <w:left w:val="single" w:sz="4" w:space="0" w:color="auto"/>
              <w:bottom w:val="single" w:sz="4" w:space="0" w:color="auto"/>
            </w:tcBorders>
            <w:shd w:val="clear" w:color="auto" w:fill="auto"/>
            <w:noWrap/>
            <w:vAlign w:val="bottom"/>
            <w:hideMark/>
          </w:tcPr>
          <w:p w14:paraId="1A17122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0.025369</w:t>
            </w:r>
          </w:p>
        </w:tc>
      </w:tr>
      <w:tr w:rsidR="0049695E" w:rsidRPr="009166E3" w14:paraId="60FC8954"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41BE2B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77</w:t>
            </w:r>
          </w:p>
        </w:tc>
        <w:tc>
          <w:tcPr>
            <w:tcW w:w="2410" w:type="dxa"/>
            <w:tcBorders>
              <w:left w:val="single" w:sz="4" w:space="0" w:color="auto"/>
              <w:bottom w:val="single" w:sz="4" w:space="0" w:color="auto"/>
            </w:tcBorders>
            <w:shd w:val="clear" w:color="auto" w:fill="auto"/>
            <w:noWrap/>
            <w:vAlign w:val="bottom"/>
            <w:hideMark/>
          </w:tcPr>
          <w:p w14:paraId="0CD4F66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0.028178</w:t>
            </w:r>
          </w:p>
        </w:tc>
      </w:tr>
      <w:tr w:rsidR="0049695E" w:rsidRPr="009166E3" w14:paraId="2FA78A22"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32D4E2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78</w:t>
            </w:r>
          </w:p>
        </w:tc>
        <w:tc>
          <w:tcPr>
            <w:tcW w:w="2410" w:type="dxa"/>
            <w:tcBorders>
              <w:left w:val="single" w:sz="4" w:space="0" w:color="auto"/>
              <w:bottom w:val="single" w:sz="4" w:space="0" w:color="auto"/>
            </w:tcBorders>
            <w:shd w:val="clear" w:color="auto" w:fill="auto"/>
            <w:noWrap/>
            <w:vAlign w:val="bottom"/>
            <w:hideMark/>
          </w:tcPr>
          <w:p w14:paraId="0C1C2AE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0.031865</w:t>
            </w:r>
          </w:p>
        </w:tc>
      </w:tr>
      <w:tr w:rsidR="0049695E" w:rsidRPr="009166E3" w14:paraId="0C77B049"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96B117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79</w:t>
            </w:r>
          </w:p>
        </w:tc>
        <w:tc>
          <w:tcPr>
            <w:tcW w:w="2410" w:type="dxa"/>
            <w:tcBorders>
              <w:left w:val="single" w:sz="4" w:space="0" w:color="auto"/>
              <w:bottom w:val="single" w:sz="4" w:space="0" w:color="auto"/>
            </w:tcBorders>
            <w:shd w:val="clear" w:color="auto" w:fill="auto"/>
            <w:noWrap/>
            <w:vAlign w:val="bottom"/>
            <w:hideMark/>
          </w:tcPr>
          <w:p w14:paraId="2B8AF22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0.035010</w:t>
            </w:r>
          </w:p>
        </w:tc>
      </w:tr>
      <w:tr w:rsidR="0049695E" w:rsidRPr="009166E3" w14:paraId="743E39BC"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6B2A14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80</w:t>
            </w:r>
          </w:p>
        </w:tc>
        <w:tc>
          <w:tcPr>
            <w:tcW w:w="2410" w:type="dxa"/>
            <w:tcBorders>
              <w:left w:val="single" w:sz="4" w:space="0" w:color="auto"/>
              <w:bottom w:val="single" w:sz="4" w:space="0" w:color="auto"/>
            </w:tcBorders>
            <w:shd w:val="clear" w:color="auto" w:fill="auto"/>
            <w:noWrap/>
            <w:vAlign w:val="bottom"/>
            <w:hideMark/>
          </w:tcPr>
          <w:p w14:paraId="6DE1386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0.039695</w:t>
            </w:r>
          </w:p>
        </w:tc>
      </w:tr>
      <w:tr w:rsidR="0049695E" w:rsidRPr="009166E3" w14:paraId="56F4322B"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239CBA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lastRenderedPageBreak/>
              <w:t>81</w:t>
            </w:r>
          </w:p>
        </w:tc>
        <w:tc>
          <w:tcPr>
            <w:tcW w:w="2410" w:type="dxa"/>
            <w:tcBorders>
              <w:left w:val="single" w:sz="4" w:space="0" w:color="auto"/>
              <w:bottom w:val="single" w:sz="4" w:space="0" w:color="auto"/>
            </w:tcBorders>
            <w:shd w:val="clear" w:color="auto" w:fill="auto"/>
            <w:noWrap/>
            <w:vAlign w:val="bottom"/>
            <w:hideMark/>
          </w:tcPr>
          <w:p w14:paraId="4E45630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0.044925</w:t>
            </w:r>
          </w:p>
        </w:tc>
      </w:tr>
      <w:tr w:rsidR="0049695E" w:rsidRPr="009166E3" w14:paraId="75883F31"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713591C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82</w:t>
            </w:r>
          </w:p>
        </w:tc>
        <w:tc>
          <w:tcPr>
            <w:tcW w:w="2410" w:type="dxa"/>
            <w:tcBorders>
              <w:left w:val="single" w:sz="4" w:space="0" w:color="auto"/>
              <w:bottom w:val="single" w:sz="4" w:space="0" w:color="auto"/>
            </w:tcBorders>
            <w:shd w:val="clear" w:color="auto" w:fill="auto"/>
            <w:noWrap/>
            <w:vAlign w:val="bottom"/>
            <w:hideMark/>
          </w:tcPr>
          <w:p w14:paraId="2F2690A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0.051057</w:t>
            </w:r>
          </w:p>
        </w:tc>
      </w:tr>
      <w:tr w:rsidR="0049695E" w:rsidRPr="009166E3" w14:paraId="2154E5A0"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06ED238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83</w:t>
            </w:r>
          </w:p>
        </w:tc>
        <w:tc>
          <w:tcPr>
            <w:tcW w:w="2410" w:type="dxa"/>
            <w:tcBorders>
              <w:left w:val="single" w:sz="4" w:space="0" w:color="auto"/>
              <w:bottom w:val="single" w:sz="4" w:space="0" w:color="auto"/>
            </w:tcBorders>
            <w:shd w:val="clear" w:color="auto" w:fill="auto"/>
            <w:noWrap/>
            <w:vAlign w:val="bottom"/>
            <w:hideMark/>
          </w:tcPr>
          <w:p w14:paraId="5279AFA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0.059202</w:t>
            </w:r>
          </w:p>
        </w:tc>
      </w:tr>
      <w:tr w:rsidR="0049695E" w:rsidRPr="009166E3" w14:paraId="623831F3"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0F9EEEF"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84</w:t>
            </w:r>
          </w:p>
        </w:tc>
        <w:tc>
          <w:tcPr>
            <w:tcW w:w="2410" w:type="dxa"/>
            <w:tcBorders>
              <w:left w:val="single" w:sz="4" w:space="0" w:color="auto"/>
              <w:bottom w:val="single" w:sz="4" w:space="0" w:color="auto"/>
            </w:tcBorders>
            <w:shd w:val="clear" w:color="auto" w:fill="auto"/>
            <w:noWrap/>
            <w:vAlign w:val="bottom"/>
            <w:hideMark/>
          </w:tcPr>
          <w:p w14:paraId="1F502F6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0.067236</w:t>
            </w:r>
          </w:p>
        </w:tc>
      </w:tr>
      <w:tr w:rsidR="0049695E" w:rsidRPr="009166E3" w14:paraId="61E91B2D"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20E130D0"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85</w:t>
            </w:r>
          </w:p>
        </w:tc>
        <w:tc>
          <w:tcPr>
            <w:tcW w:w="2410" w:type="dxa"/>
            <w:tcBorders>
              <w:left w:val="single" w:sz="4" w:space="0" w:color="auto"/>
              <w:bottom w:val="single" w:sz="4" w:space="0" w:color="auto"/>
            </w:tcBorders>
            <w:shd w:val="clear" w:color="auto" w:fill="auto"/>
            <w:noWrap/>
            <w:vAlign w:val="bottom"/>
            <w:hideMark/>
          </w:tcPr>
          <w:p w14:paraId="7A1A66D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0.076619</w:t>
            </w:r>
          </w:p>
        </w:tc>
      </w:tr>
      <w:tr w:rsidR="0049695E" w:rsidRPr="009166E3" w14:paraId="77A76333"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6C486F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86</w:t>
            </w:r>
          </w:p>
        </w:tc>
        <w:tc>
          <w:tcPr>
            <w:tcW w:w="2410" w:type="dxa"/>
            <w:tcBorders>
              <w:left w:val="single" w:sz="4" w:space="0" w:color="auto"/>
              <w:bottom w:val="single" w:sz="4" w:space="0" w:color="auto"/>
            </w:tcBorders>
            <w:shd w:val="clear" w:color="auto" w:fill="auto"/>
            <w:noWrap/>
            <w:vAlign w:val="bottom"/>
            <w:hideMark/>
          </w:tcPr>
          <w:p w14:paraId="7C7A374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0.087955</w:t>
            </w:r>
          </w:p>
        </w:tc>
      </w:tr>
      <w:tr w:rsidR="0049695E" w:rsidRPr="009166E3" w14:paraId="473ED69C"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B95959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87</w:t>
            </w:r>
          </w:p>
        </w:tc>
        <w:tc>
          <w:tcPr>
            <w:tcW w:w="2410" w:type="dxa"/>
            <w:tcBorders>
              <w:left w:val="single" w:sz="4" w:space="0" w:color="auto"/>
              <w:bottom w:val="single" w:sz="4" w:space="0" w:color="auto"/>
            </w:tcBorders>
            <w:shd w:val="clear" w:color="auto" w:fill="auto"/>
            <w:noWrap/>
            <w:vAlign w:val="bottom"/>
            <w:hideMark/>
          </w:tcPr>
          <w:p w14:paraId="64987148"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0.100071</w:t>
            </w:r>
          </w:p>
        </w:tc>
      </w:tr>
      <w:tr w:rsidR="0049695E" w:rsidRPr="009166E3" w14:paraId="02802E60"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0BBF76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88</w:t>
            </w:r>
          </w:p>
        </w:tc>
        <w:tc>
          <w:tcPr>
            <w:tcW w:w="2410" w:type="dxa"/>
            <w:tcBorders>
              <w:left w:val="single" w:sz="4" w:space="0" w:color="auto"/>
              <w:bottom w:val="single" w:sz="4" w:space="0" w:color="auto"/>
            </w:tcBorders>
            <w:shd w:val="clear" w:color="auto" w:fill="auto"/>
            <w:noWrap/>
            <w:vAlign w:val="bottom"/>
            <w:hideMark/>
          </w:tcPr>
          <w:p w14:paraId="560E6D3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0.114565</w:t>
            </w:r>
          </w:p>
        </w:tc>
      </w:tr>
      <w:tr w:rsidR="0049695E" w:rsidRPr="009166E3" w14:paraId="13ED65AF"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0A7FBB1F"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89</w:t>
            </w:r>
          </w:p>
        </w:tc>
        <w:tc>
          <w:tcPr>
            <w:tcW w:w="2410" w:type="dxa"/>
            <w:tcBorders>
              <w:left w:val="single" w:sz="4" w:space="0" w:color="auto"/>
              <w:bottom w:val="single" w:sz="4" w:space="0" w:color="auto"/>
            </w:tcBorders>
            <w:shd w:val="clear" w:color="auto" w:fill="auto"/>
            <w:noWrap/>
            <w:vAlign w:val="bottom"/>
            <w:hideMark/>
          </w:tcPr>
          <w:p w14:paraId="613A481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0.129490</w:t>
            </w:r>
          </w:p>
        </w:tc>
      </w:tr>
      <w:tr w:rsidR="0049695E" w:rsidRPr="009166E3" w14:paraId="1DCA5C5C"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1562970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90</w:t>
            </w:r>
          </w:p>
        </w:tc>
        <w:tc>
          <w:tcPr>
            <w:tcW w:w="2410" w:type="dxa"/>
            <w:tcBorders>
              <w:left w:val="single" w:sz="4" w:space="0" w:color="auto"/>
              <w:bottom w:val="single" w:sz="4" w:space="0" w:color="auto"/>
            </w:tcBorders>
            <w:shd w:val="clear" w:color="auto" w:fill="auto"/>
            <w:noWrap/>
            <w:vAlign w:val="bottom"/>
            <w:hideMark/>
          </w:tcPr>
          <w:p w14:paraId="0247F68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0.147050</w:t>
            </w:r>
          </w:p>
        </w:tc>
      </w:tr>
      <w:tr w:rsidR="0049695E" w:rsidRPr="009166E3" w14:paraId="3D75BA22"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774606CB"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91</w:t>
            </w:r>
          </w:p>
        </w:tc>
        <w:tc>
          <w:tcPr>
            <w:tcW w:w="2410" w:type="dxa"/>
            <w:tcBorders>
              <w:left w:val="single" w:sz="4" w:space="0" w:color="auto"/>
              <w:bottom w:val="single" w:sz="4" w:space="0" w:color="auto"/>
            </w:tcBorders>
            <w:shd w:val="clear" w:color="auto" w:fill="auto"/>
            <w:noWrap/>
            <w:vAlign w:val="bottom"/>
            <w:hideMark/>
          </w:tcPr>
          <w:p w14:paraId="547F94A1"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0.165974</w:t>
            </w:r>
          </w:p>
        </w:tc>
      </w:tr>
      <w:tr w:rsidR="0049695E" w:rsidRPr="009166E3" w14:paraId="1CB607E3"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872756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92</w:t>
            </w:r>
          </w:p>
        </w:tc>
        <w:tc>
          <w:tcPr>
            <w:tcW w:w="2410" w:type="dxa"/>
            <w:tcBorders>
              <w:left w:val="single" w:sz="4" w:space="0" w:color="auto"/>
              <w:bottom w:val="single" w:sz="4" w:space="0" w:color="auto"/>
            </w:tcBorders>
            <w:shd w:val="clear" w:color="auto" w:fill="auto"/>
            <w:noWrap/>
            <w:vAlign w:val="bottom"/>
            <w:hideMark/>
          </w:tcPr>
          <w:p w14:paraId="0A0FD6F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0.185106</w:t>
            </w:r>
          </w:p>
        </w:tc>
      </w:tr>
      <w:tr w:rsidR="0049695E" w:rsidRPr="009166E3" w14:paraId="3C10D5CD"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0E59609E"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93</w:t>
            </w:r>
          </w:p>
        </w:tc>
        <w:tc>
          <w:tcPr>
            <w:tcW w:w="2410" w:type="dxa"/>
            <w:tcBorders>
              <w:left w:val="single" w:sz="4" w:space="0" w:color="auto"/>
              <w:bottom w:val="single" w:sz="4" w:space="0" w:color="auto"/>
            </w:tcBorders>
            <w:shd w:val="clear" w:color="auto" w:fill="auto"/>
            <w:noWrap/>
            <w:vAlign w:val="bottom"/>
            <w:hideMark/>
          </w:tcPr>
          <w:p w14:paraId="15DC360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0.206525</w:t>
            </w:r>
          </w:p>
        </w:tc>
      </w:tr>
      <w:tr w:rsidR="0049695E" w:rsidRPr="009166E3" w14:paraId="62256924"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CE6E29A"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94</w:t>
            </w:r>
          </w:p>
        </w:tc>
        <w:tc>
          <w:tcPr>
            <w:tcW w:w="2410" w:type="dxa"/>
            <w:tcBorders>
              <w:left w:val="single" w:sz="4" w:space="0" w:color="auto"/>
              <w:bottom w:val="single" w:sz="4" w:space="0" w:color="auto"/>
            </w:tcBorders>
            <w:shd w:val="clear" w:color="auto" w:fill="auto"/>
            <w:noWrap/>
            <w:vAlign w:val="bottom"/>
            <w:hideMark/>
          </w:tcPr>
          <w:p w14:paraId="7090129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0.230003</w:t>
            </w:r>
          </w:p>
        </w:tc>
      </w:tr>
      <w:tr w:rsidR="0049695E" w:rsidRPr="009166E3" w14:paraId="5AB86806"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503F7EE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95</w:t>
            </w:r>
          </w:p>
        </w:tc>
        <w:tc>
          <w:tcPr>
            <w:tcW w:w="2410" w:type="dxa"/>
            <w:tcBorders>
              <w:left w:val="single" w:sz="4" w:space="0" w:color="auto"/>
              <w:bottom w:val="single" w:sz="4" w:space="0" w:color="auto"/>
            </w:tcBorders>
            <w:shd w:val="clear" w:color="auto" w:fill="auto"/>
            <w:noWrap/>
            <w:vAlign w:val="bottom"/>
            <w:hideMark/>
          </w:tcPr>
          <w:p w14:paraId="2EF3D17D"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0.260357</w:t>
            </w:r>
          </w:p>
        </w:tc>
      </w:tr>
      <w:tr w:rsidR="0049695E" w:rsidRPr="009166E3" w14:paraId="19F41FF6"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6F7B902F"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96</w:t>
            </w:r>
          </w:p>
        </w:tc>
        <w:tc>
          <w:tcPr>
            <w:tcW w:w="2410" w:type="dxa"/>
            <w:tcBorders>
              <w:left w:val="single" w:sz="4" w:space="0" w:color="auto"/>
              <w:bottom w:val="single" w:sz="4" w:space="0" w:color="auto"/>
            </w:tcBorders>
            <w:shd w:val="clear" w:color="auto" w:fill="auto"/>
            <w:noWrap/>
            <w:vAlign w:val="bottom"/>
            <w:hideMark/>
          </w:tcPr>
          <w:p w14:paraId="72574B6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0.284553</w:t>
            </w:r>
          </w:p>
        </w:tc>
      </w:tr>
      <w:tr w:rsidR="0049695E" w:rsidRPr="009166E3" w14:paraId="481FC487"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457AD1BF"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97</w:t>
            </w:r>
          </w:p>
        </w:tc>
        <w:tc>
          <w:tcPr>
            <w:tcW w:w="2410" w:type="dxa"/>
            <w:tcBorders>
              <w:left w:val="single" w:sz="4" w:space="0" w:color="auto"/>
              <w:bottom w:val="single" w:sz="4" w:space="0" w:color="auto"/>
            </w:tcBorders>
            <w:shd w:val="clear" w:color="auto" w:fill="auto"/>
            <w:noWrap/>
            <w:vAlign w:val="bottom"/>
            <w:hideMark/>
          </w:tcPr>
          <w:p w14:paraId="13CD5AC4"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0.313245</w:t>
            </w:r>
          </w:p>
        </w:tc>
      </w:tr>
      <w:tr w:rsidR="0049695E" w:rsidRPr="009166E3" w14:paraId="4D456298"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05C35925"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98</w:t>
            </w:r>
          </w:p>
        </w:tc>
        <w:tc>
          <w:tcPr>
            <w:tcW w:w="2410" w:type="dxa"/>
            <w:tcBorders>
              <w:left w:val="single" w:sz="4" w:space="0" w:color="auto"/>
              <w:bottom w:val="single" w:sz="4" w:space="0" w:color="auto"/>
            </w:tcBorders>
            <w:shd w:val="clear" w:color="auto" w:fill="auto"/>
            <w:noWrap/>
            <w:vAlign w:val="bottom"/>
            <w:hideMark/>
          </w:tcPr>
          <w:p w14:paraId="323F9BB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0.339652</w:t>
            </w:r>
          </w:p>
        </w:tc>
      </w:tr>
      <w:tr w:rsidR="0049695E" w:rsidRPr="009166E3" w14:paraId="66F71CED"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79E43403"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99</w:t>
            </w:r>
          </w:p>
        </w:tc>
        <w:tc>
          <w:tcPr>
            <w:tcW w:w="2410" w:type="dxa"/>
            <w:tcBorders>
              <w:left w:val="single" w:sz="4" w:space="0" w:color="auto"/>
              <w:bottom w:val="single" w:sz="4" w:space="0" w:color="auto"/>
            </w:tcBorders>
            <w:shd w:val="clear" w:color="auto" w:fill="auto"/>
            <w:noWrap/>
            <w:vAlign w:val="bottom"/>
            <w:hideMark/>
          </w:tcPr>
          <w:p w14:paraId="42AC4C47"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0.375917</w:t>
            </w:r>
          </w:p>
        </w:tc>
      </w:tr>
      <w:tr w:rsidR="0049695E" w:rsidRPr="009166E3" w14:paraId="2EAB14B0" w14:textId="77777777" w:rsidTr="00A46F82">
        <w:trPr>
          <w:trHeight w:val="283"/>
        </w:trPr>
        <w:tc>
          <w:tcPr>
            <w:tcW w:w="1418" w:type="dxa"/>
            <w:tcBorders>
              <w:bottom w:val="single" w:sz="4" w:space="0" w:color="auto"/>
              <w:right w:val="single" w:sz="4" w:space="0" w:color="auto"/>
            </w:tcBorders>
            <w:shd w:val="clear" w:color="auto" w:fill="auto"/>
            <w:noWrap/>
            <w:vAlign w:val="bottom"/>
            <w:hideMark/>
          </w:tcPr>
          <w:p w14:paraId="311DA7D6"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100</w:t>
            </w:r>
          </w:p>
        </w:tc>
        <w:tc>
          <w:tcPr>
            <w:tcW w:w="2410" w:type="dxa"/>
            <w:tcBorders>
              <w:left w:val="single" w:sz="4" w:space="0" w:color="auto"/>
              <w:bottom w:val="single" w:sz="4" w:space="0" w:color="auto"/>
            </w:tcBorders>
            <w:shd w:val="clear" w:color="auto" w:fill="auto"/>
            <w:noWrap/>
            <w:vAlign w:val="bottom"/>
            <w:hideMark/>
          </w:tcPr>
          <w:p w14:paraId="59BC7A42" w14:textId="77777777" w:rsidR="0049695E" w:rsidRPr="009166E3" w:rsidRDefault="0049695E" w:rsidP="00A46F82">
            <w:pPr>
              <w:jc w:val="right"/>
              <w:rPr>
                <w:rFonts w:ascii="Arial" w:eastAsia="Times New Roman" w:hAnsi="Arial" w:cs="Arial"/>
                <w:bCs/>
                <w:color w:val="000000"/>
                <w:sz w:val="18"/>
                <w:szCs w:val="18"/>
                <w:lang w:eastAsia="en-GB"/>
              </w:rPr>
            </w:pPr>
            <w:r w:rsidRPr="009166E3">
              <w:rPr>
                <w:rFonts w:ascii="Arial" w:eastAsia="Times New Roman" w:hAnsi="Arial" w:cs="Arial"/>
                <w:bCs/>
                <w:color w:val="000000"/>
                <w:sz w:val="18"/>
                <w:szCs w:val="18"/>
                <w:lang w:eastAsia="en-GB"/>
              </w:rPr>
              <w:t>0.409183</w:t>
            </w:r>
          </w:p>
        </w:tc>
      </w:tr>
    </w:tbl>
    <w:p w14:paraId="09F04FD5" w14:textId="77777777" w:rsidR="0049695E" w:rsidRDefault="0049695E" w:rsidP="0061440D">
      <w:pPr>
        <w:pStyle w:val="BodyText"/>
        <w:spacing w:after="160" w:line="480" w:lineRule="auto"/>
        <w:jc w:val="both"/>
        <w:rPr>
          <w:rFonts w:ascii="Arial" w:hAnsi="Arial" w:cs="Arial"/>
          <w:b/>
          <w:bCs/>
        </w:rPr>
      </w:pPr>
    </w:p>
    <w:p w14:paraId="28E72F4E" w14:textId="77777777" w:rsidR="004B5EAA" w:rsidRDefault="004B5EAA">
      <w:pPr>
        <w:rPr>
          <w:rFonts w:ascii="Arial" w:hAnsi="Arial" w:cs="Arial"/>
          <w:b/>
          <w:bCs/>
        </w:rPr>
      </w:pPr>
      <w:r>
        <w:rPr>
          <w:rFonts w:ascii="Arial" w:hAnsi="Arial" w:cs="Arial"/>
          <w:b/>
          <w:bCs/>
        </w:rPr>
        <w:br w:type="page"/>
      </w:r>
    </w:p>
    <w:p w14:paraId="476B45E5" w14:textId="36A667C1" w:rsidR="004A3C29" w:rsidRPr="009166E3" w:rsidRDefault="004A3C29" w:rsidP="004A3C29">
      <w:pPr>
        <w:pStyle w:val="BodyText"/>
        <w:spacing w:after="0" w:line="360" w:lineRule="auto"/>
        <w:jc w:val="both"/>
        <w:rPr>
          <w:rFonts w:ascii="Arial" w:hAnsi="Arial" w:cs="Arial"/>
          <w:bCs/>
        </w:rPr>
      </w:pPr>
      <w:r w:rsidRPr="009166E3">
        <w:rPr>
          <w:rFonts w:ascii="Arial" w:hAnsi="Arial" w:cs="Arial"/>
          <w:b/>
          <w:bCs/>
        </w:rPr>
        <w:lastRenderedPageBreak/>
        <w:t>Table S</w:t>
      </w:r>
      <w:r>
        <w:rPr>
          <w:rFonts w:ascii="Arial" w:hAnsi="Arial" w:cs="Arial"/>
          <w:b/>
          <w:bCs/>
        </w:rPr>
        <w:t>3</w:t>
      </w:r>
      <w:r w:rsidRPr="009166E3">
        <w:rPr>
          <w:rFonts w:ascii="Arial" w:hAnsi="Arial" w:cs="Arial"/>
          <w:b/>
          <w:bCs/>
        </w:rPr>
        <w:t xml:space="preserve">. </w:t>
      </w:r>
      <w:r w:rsidRPr="009166E3">
        <w:rPr>
          <w:rFonts w:ascii="Arial" w:hAnsi="Arial" w:cs="Arial"/>
          <w:bCs/>
        </w:rPr>
        <w:t xml:space="preserve">Base case parameter values, </w:t>
      </w:r>
      <w:proofErr w:type="gramStart"/>
      <w:r w:rsidRPr="009166E3">
        <w:rPr>
          <w:rFonts w:ascii="Arial" w:hAnsi="Arial" w:cs="Arial"/>
          <w:bCs/>
        </w:rPr>
        <w:t>ranges</w:t>
      </w:r>
      <w:proofErr w:type="gramEnd"/>
      <w:r w:rsidRPr="009166E3">
        <w:rPr>
          <w:rFonts w:ascii="Arial" w:hAnsi="Arial" w:cs="Arial"/>
          <w:bCs/>
        </w:rPr>
        <w:t xml:space="preserve"> and distributions</w:t>
      </w:r>
    </w:p>
    <w:tbl>
      <w:tblPr>
        <w:tblStyle w:val="TableGrid4"/>
        <w:tblW w:w="0" w:type="auto"/>
        <w:tblLook w:val="04A0" w:firstRow="1" w:lastRow="0" w:firstColumn="1" w:lastColumn="0" w:noHBand="0" w:noVBand="1"/>
      </w:tblPr>
      <w:tblGrid>
        <w:gridCol w:w="2779"/>
        <w:gridCol w:w="1123"/>
        <w:gridCol w:w="1418"/>
        <w:gridCol w:w="1799"/>
        <w:gridCol w:w="1907"/>
      </w:tblGrid>
      <w:tr w:rsidR="004A3C29" w:rsidRPr="009166E3" w14:paraId="7FDEB364" w14:textId="77777777" w:rsidTr="00A46F82">
        <w:tc>
          <w:tcPr>
            <w:tcW w:w="2779" w:type="dxa"/>
            <w:tcBorders>
              <w:left w:val="nil"/>
              <w:bottom w:val="single" w:sz="4" w:space="0" w:color="auto"/>
              <w:right w:val="nil"/>
            </w:tcBorders>
            <w:shd w:val="clear" w:color="auto" w:fill="AEAAAA" w:themeFill="background2" w:themeFillShade="BF"/>
          </w:tcPr>
          <w:p w14:paraId="79654E7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Parameter</w:t>
            </w:r>
          </w:p>
        </w:tc>
        <w:tc>
          <w:tcPr>
            <w:tcW w:w="1123" w:type="dxa"/>
            <w:tcBorders>
              <w:left w:val="nil"/>
              <w:bottom w:val="single" w:sz="4" w:space="0" w:color="auto"/>
              <w:right w:val="nil"/>
            </w:tcBorders>
            <w:shd w:val="clear" w:color="auto" w:fill="AEAAAA" w:themeFill="background2" w:themeFillShade="BF"/>
          </w:tcPr>
          <w:p w14:paraId="3E7FF0C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 xml:space="preserve">Base case </w:t>
            </w:r>
          </w:p>
        </w:tc>
        <w:tc>
          <w:tcPr>
            <w:tcW w:w="1418" w:type="dxa"/>
            <w:tcBorders>
              <w:left w:val="nil"/>
              <w:bottom w:val="single" w:sz="4" w:space="0" w:color="auto"/>
              <w:right w:val="nil"/>
            </w:tcBorders>
            <w:shd w:val="clear" w:color="auto" w:fill="AEAAAA" w:themeFill="background2" w:themeFillShade="BF"/>
          </w:tcPr>
          <w:p w14:paraId="4D44584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DSA range</w:t>
            </w:r>
          </w:p>
        </w:tc>
        <w:tc>
          <w:tcPr>
            <w:tcW w:w="1799" w:type="dxa"/>
            <w:tcBorders>
              <w:left w:val="nil"/>
              <w:bottom w:val="single" w:sz="4" w:space="0" w:color="auto"/>
              <w:right w:val="nil"/>
            </w:tcBorders>
            <w:shd w:val="clear" w:color="auto" w:fill="AEAAAA" w:themeFill="background2" w:themeFillShade="BF"/>
          </w:tcPr>
          <w:p w14:paraId="51FAB9A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PSA SE and distribution</w:t>
            </w:r>
          </w:p>
        </w:tc>
        <w:tc>
          <w:tcPr>
            <w:tcW w:w="1907" w:type="dxa"/>
            <w:tcBorders>
              <w:left w:val="nil"/>
              <w:bottom w:val="single" w:sz="4" w:space="0" w:color="auto"/>
              <w:right w:val="nil"/>
            </w:tcBorders>
            <w:shd w:val="clear" w:color="auto" w:fill="AEAAAA" w:themeFill="background2" w:themeFillShade="BF"/>
          </w:tcPr>
          <w:p w14:paraId="1AB07E0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Source</w:t>
            </w:r>
          </w:p>
        </w:tc>
      </w:tr>
      <w:tr w:rsidR="004A3C29" w:rsidRPr="009166E3" w14:paraId="487AC793" w14:textId="77777777" w:rsidTr="00A46F82">
        <w:tc>
          <w:tcPr>
            <w:tcW w:w="2779" w:type="dxa"/>
            <w:tcBorders>
              <w:left w:val="nil"/>
              <w:bottom w:val="single" w:sz="4" w:space="0" w:color="auto"/>
              <w:right w:val="nil"/>
            </w:tcBorders>
            <w:shd w:val="clear" w:color="auto" w:fill="D0CECE" w:themeFill="background2" w:themeFillShade="E6"/>
          </w:tcPr>
          <w:p w14:paraId="1D950B0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distribution</w:t>
            </w:r>
          </w:p>
        </w:tc>
        <w:tc>
          <w:tcPr>
            <w:tcW w:w="1123" w:type="dxa"/>
            <w:tcBorders>
              <w:left w:val="nil"/>
              <w:bottom w:val="single" w:sz="4" w:space="0" w:color="auto"/>
              <w:right w:val="nil"/>
            </w:tcBorders>
            <w:shd w:val="clear" w:color="auto" w:fill="D0CECE" w:themeFill="background2" w:themeFillShade="E6"/>
          </w:tcPr>
          <w:p w14:paraId="79D4BD38" w14:textId="77777777" w:rsidR="004A3C29" w:rsidRPr="009166E3" w:rsidRDefault="004A3C29" w:rsidP="00A46F82">
            <w:pPr>
              <w:rPr>
                <w:rFonts w:ascii="Arial" w:hAnsi="Arial" w:cs="Arial"/>
                <w:bCs/>
                <w:sz w:val="16"/>
                <w:szCs w:val="16"/>
              </w:rPr>
            </w:pPr>
          </w:p>
        </w:tc>
        <w:tc>
          <w:tcPr>
            <w:tcW w:w="1418" w:type="dxa"/>
            <w:tcBorders>
              <w:left w:val="nil"/>
              <w:bottom w:val="single" w:sz="4" w:space="0" w:color="auto"/>
              <w:right w:val="nil"/>
            </w:tcBorders>
            <w:shd w:val="clear" w:color="auto" w:fill="D0CECE" w:themeFill="background2" w:themeFillShade="E6"/>
          </w:tcPr>
          <w:p w14:paraId="716BF797" w14:textId="77777777" w:rsidR="004A3C29" w:rsidRPr="009166E3" w:rsidRDefault="004A3C29" w:rsidP="00A46F82">
            <w:pPr>
              <w:rPr>
                <w:rFonts w:ascii="Arial" w:hAnsi="Arial" w:cs="Arial"/>
                <w:bCs/>
                <w:sz w:val="16"/>
                <w:szCs w:val="16"/>
              </w:rPr>
            </w:pPr>
          </w:p>
        </w:tc>
        <w:tc>
          <w:tcPr>
            <w:tcW w:w="1799" w:type="dxa"/>
            <w:tcBorders>
              <w:left w:val="nil"/>
              <w:bottom w:val="single" w:sz="4" w:space="0" w:color="auto"/>
              <w:right w:val="nil"/>
            </w:tcBorders>
            <w:shd w:val="clear" w:color="auto" w:fill="D0CECE" w:themeFill="background2" w:themeFillShade="E6"/>
          </w:tcPr>
          <w:p w14:paraId="56064B93" w14:textId="77777777" w:rsidR="004A3C29" w:rsidRPr="009166E3" w:rsidRDefault="004A3C29" w:rsidP="00A46F82">
            <w:pPr>
              <w:rPr>
                <w:rFonts w:ascii="Arial" w:hAnsi="Arial" w:cs="Arial"/>
                <w:bCs/>
                <w:sz w:val="16"/>
                <w:szCs w:val="16"/>
              </w:rPr>
            </w:pPr>
          </w:p>
        </w:tc>
        <w:tc>
          <w:tcPr>
            <w:tcW w:w="1907" w:type="dxa"/>
            <w:tcBorders>
              <w:left w:val="nil"/>
              <w:bottom w:val="single" w:sz="4" w:space="0" w:color="auto"/>
              <w:right w:val="nil"/>
            </w:tcBorders>
            <w:shd w:val="clear" w:color="auto" w:fill="D0CECE" w:themeFill="background2" w:themeFillShade="E6"/>
          </w:tcPr>
          <w:p w14:paraId="4A8E19A6" w14:textId="77777777" w:rsidR="004A3C29" w:rsidRPr="009166E3" w:rsidRDefault="004A3C29" w:rsidP="00A46F82">
            <w:pPr>
              <w:rPr>
                <w:rFonts w:ascii="Arial" w:hAnsi="Arial" w:cs="Arial"/>
                <w:bCs/>
                <w:sz w:val="16"/>
                <w:szCs w:val="16"/>
              </w:rPr>
            </w:pPr>
          </w:p>
        </w:tc>
      </w:tr>
      <w:tr w:rsidR="004A3C29" w:rsidRPr="009166E3" w14:paraId="13288343" w14:textId="77777777" w:rsidTr="00A46F82">
        <w:tc>
          <w:tcPr>
            <w:tcW w:w="2779" w:type="dxa"/>
            <w:tcBorders>
              <w:top w:val="single" w:sz="4" w:space="0" w:color="auto"/>
              <w:left w:val="nil"/>
              <w:bottom w:val="single" w:sz="4" w:space="0" w:color="auto"/>
              <w:right w:val="nil"/>
            </w:tcBorders>
          </w:tcPr>
          <w:p w14:paraId="29473D2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&lt;11</w:t>
            </w:r>
          </w:p>
        </w:tc>
        <w:tc>
          <w:tcPr>
            <w:tcW w:w="1123" w:type="dxa"/>
            <w:tcBorders>
              <w:top w:val="single" w:sz="4" w:space="0" w:color="auto"/>
              <w:left w:val="nil"/>
              <w:bottom w:val="single" w:sz="4" w:space="0" w:color="auto"/>
              <w:right w:val="nil"/>
            </w:tcBorders>
          </w:tcPr>
          <w:p w14:paraId="2D02BAF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17%</w:t>
            </w:r>
          </w:p>
        </w:tc>
        <w:tc>
          <w:tcPr>
            <w:tcW w:w="1418" w:type="dxa"/>
            <w:vMerge w:val="restart"/>
            <w:tcBorders>
              <w:top w:val="single" w:sz="4" w:space="0" w:color="auto"/>
              <w:left w:val="nil"/>
              <w:bottom w:val="single" w:sz="4" w:space="0" w:color="auto"/>
              <w:right w:val="nil"/>
            </w:tcBorders>
            <w:vAlign w:val="center"/>
          </w:tcPr>
          <w:p w14:paraId="5CCB8AD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vMerge w:val="restart"/>
            <w:tcBorders>
              <w:top w:val="single" w:sz="4" w:space="0" w:color="auto"/>
              <w:left w:val="nil"/>
              <w:bottom w:val="single" w:sz="4" w:space="0" w:color="auto"/>
              <w:right w:val="nil"/>
            </w:tcBorders>
          </w:tcPr>
          <w:p w14:paraId="079A56A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Dirichlet (1619,6711,1389)</w:t>
            </w:r>
          </w:p>
        </w:tc>
        <w:tc>
          <w:tcPr>
            <w:tcW w:w="1907" w:type="dxa"/>
            <w:vMerge w:val="restart"/>
            <w:tcBorders>
              <w:top w:val="single" w:sz="4" w:space="0" w:color="auto"/>
              <w:left w:val="nil"/>
              <w:bottom w:val="single" w:sz="4" w:space="0" w:color="auto"/>
              <w:right w:val="nil"/>
            </w:tcBorders>
            <w:vAlign w:val="center"/>
          </w:tcPr>
          <w:p w14:paraId="46FA80B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TAILORx</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{"citationItems":[{"id":"ITEM-1","itemData":{"DOI":"10.1056/NEJMoa1804710","ISSN":"0028-4793","abstract":"BACKGROUND: The recurrence score based on the 21-gene breast cancer assay predicts chemotherapy benefit if it is high and a low risk of recurrence in the absence of chemotherapy if it is low; however, there is uncertainty about the benefit of chemotherapy for most patients, who have a midrange score. METHODS: We performed a prospective trial involving 10,273 women with hormone-receptor-positive, human epidermal growth factor receptor 2 (HER2)-negative, axillary node-negative breast cancer. Of the 9719 eligible patients with follow-up information, 6711 (69%) had a midrange recurrence score of 11 to 25 and were randomly assigned to receive either chemoendocrine therapy or endocrine therapy alone. The trial was designed to show noninferiority of endocrine therapy alone for invasive disease-free survival (defined as freedom from invasive disease recurrence, second primary cancer, or death). RESULTS: Endocrine therapy was noninferior to chemoendocrine therapy in the analysis of invasive disease-free survival (hazard ratio for invasive disease recurrence, second primary cancer, or death [endocrine vs. chemoendocrine therapy], 1.08; 95% confidence interval, 0.94 to 1.24; P = 0.26). At 9 years, the two treatment groups had similar rates of invasive disease-free survival (83.3% in the endocrine-therapy group and 84.3% in the chemoendocrine-therapy group), freedom from disease recurrence at a distant site (94.5% and 95.0%) or at a distant or local-regional site (92.2% and 92.9%), and overall survival (93.9% and 93.8%). The chemotherapy benefit for invasive disease-free survival varied with the combination of recurrence score and age (P = 0.004), with some benefit of chemotherapy found in women 50 years of age or younger with a recurrence score of 16 to 25. CONCLUSIONS: Adjuvant endocrine therapy and chemoendocrine therapy had similar efficacy in women with hormone-receptor-positive, HER2-negative, axillary node-negative breast cancer who had a midrange 21-gene recurrence score, although some benefit of chemotherapy was found in some women 50 years of age or younger.","author":[{"dropping-particle":"","family":"Sparano","given":"Joseph A.","non-dropping-particle":"","parse-names":false,"suffix":""},{"dropping-particle":"","family":"Gray","given":"Robert J.","non-dropping-particle":"","parse-names":false,"suffix":""},{"dropping-particle":"","family":"Makower","given":"Della F.","non-dropping-particle":"","parse-names":false,"suffix":""},{"dropping-particle":"","family":"Pritchard","given":"Kathleen I.","non-dropping-particle":"","parse-names":false,"suffix":""},{"dropping-particle":"","family":"Albain","given":"Kathy S.","non-dropping-particle":"","parse-names":false,"suffix":""},{"dropping-particle":"","family":"Hayes","given":"Daniel F.","non-dropping-particle":"","parse-names":false,"suffix":""},{"dropping-particle":"","family":"Geyer","given":"Charles E.","non-dropping-particle":"","parse-names":false,"suffix":""},{"dropping-particle":"","family":"Dees","given":"Elizabeth C.","non-dropping-particle":"","parse-names":false,"suffix":""},{"dropping-particle":"","family":"Goetz","given":"Matthew P.","non-dropping-particle":"","parse-names":false,"suffix":""},{"dropping-particle":"","family":"Olson","given":"John A.","non-dropping-particle":"","parse-names":false,"suffix":""},{"dropping-particle":"","family":"Lively","given":"Tracy","non-dropping-particle":"","parse-names":false,"suffix":""},{"dropping-particle":"","family":"Badve","given":"Sunil S.","non-dropping-particle":"","parse-names":false,"suffix":""},{"dropping-particle":"","family":"Saphner","given":"Thomas J.","non-dropping-particle":"","parse-names":false,"suffix":""},{"dropping-particle":"","family":"Wagner","given":"Lynne I.","non-dropping-particle":"","parse-names":false,"suffix":""},{"dropping-particle":"","family":"Whelan","given":"Timothy J.","non-dropping-particle":"","parse-names":false,"suffix":""},{"dropping-particle":"","family":"Ellis","given":"Matthew J.","non-dropping-particle":"","parse-names":false,"suffix":""},{"dropping-particle":"","family":"Paik","given":"Soonmyung","non-dropping-particle":"","parse-names":false,"suffix":""},{"dropping-particle":"","family":"Wood","given":"William C.","non-dropping-particle":"","parse-names":false,"suffix":""},{"dropping-particle":"","family":"Ravdin","given":"Peter M.","non-dropping-particle":"","parse-names":false,"suffix":""},{"dropping-particle":"","family":"Keane","given":"Maccon M.","non-dropping-particle":"","parse-names":false,"suffix":""},{"dropping-particle":"","family":"Gomez Moreno","given":"Henry L.","non-dropping-particle":"","parse-names":false,"suffix":""},{"dropping-particle":"","family":"Reddy","given":"Pavan S.","non-dropping-particle":"","parse-names":false,"suffix":""},{"dropping-particle":"","family":"Goggins","given":"Timothy F.","non-dropping-particle":"","parse-names":false,"suffix":""},{"dropping-particle":"","family":"Mayer","given":"Ingrid A.","non-dropping-particle":"","parse-names":false,"suffix":""},{"dropping-particle":"","family":"Brufsky","given":"Adam M.","non-dropping-particle":"","parse-names":false,"suffix":""},{"dropping-particle":"","family":"Toppmeyer","given":"Deborah L.","non-dropping-particle":"","parse-names":false,"suffix":""},{"dropping-particle":"","family":"Kaklamani","given":"Virginia G.","non-dropping-particle":"","parse-names":false,"suffix":""},{"dropping-particle":"","family":"Berenberg","given":"Jeffrey L.","non-dropping-particle":"","parse-names":false,"suffix":""},{"dropping-particle":"","family":"Abrams","given":"Jeffrey","non-dropping-particle":"","parse-names":false,"suffix":""},{"dropping-particle":"","family":"Sledge","given":"George W.","non-dropping-particle":"","parse-names":false,"suffix":""}],"container-title":"New England Journal of Medicine","id":"ITEM-1","issue":"2","issued":{"date-parts":[["2018","7","12"]]},"page":"111-121","publisher":"Massachussetts Medical Society","title":"Adjuvant Chemotherapy Guided by a 21-Gene Expression Assay in Breast Cancer","type":"article-journal","volume":"379"},"uris":["http://www.mendeley.com/documents/?uuid=1712b981-0f76-3468-9b72-264bed7e4b21"]}],"mendeley":{"formattedCitation":"&lt;sup&gt;7&lt;/sup&gt;","plainTextFormattedCitation":"7","previouslyFormattedCitation":"&lt;sup&gt;15&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7</w:t>
            </w:r>
            <w:r w:rsidRPr="009166E3">
              <w:rPr>
                <w:rFonts w:ascii="Arial" w:hAnsi="Arial" w:cs="Arial"/>
                <w:bCs/>
                <w:sz w:val="16"/>
                <w:szCs w:val="16"/>
              </w:rPr>
              <w:fldChar w:fldCharType="end"/>
            </w:r>
          </w:p>
        </w:tc>
      </w:tr>
      <w:tr w:rsidR="004A3C29" w:rsidRPr="009166E3" w14:paraId="3EFF3C04" w14:textId="77777777" w:rsidTr="00A46F82">
        <w:tc>
          <w:tcPr>
            <w:tcW w:w="2779" w:type="dxa"/>
            <w:tcBorders>
              <w:top w:val="single" w:sz="4" w:space="0" w:color="auto"/>
              <w:left w:val="nil"/>
              <w:bottom w:val="single" w:sz="4" w:space="0" w:color="auto"/>
              <w:right w:val="nil"/>
            </w:tcBorders>
          </w:tcPr>
          <w:p w14:paraId="14405D3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11-25</w:t>
            </w:r>
          </w:p>
        </w:tc>
        <w:tc>
          <w:tcPr>
            <w:tcW w:w="1123" w:type="dxa"/>
            <w:tcBorders>
              <w:top w:val="single" w:sz="4" w:space="0" w:color="auto"/>
              <w:left w:val="nil"/>
              <w:bottom w:val="single" w:sz="4" w:space="0" w:color="auto"/>
              <w:right w:val="nil"/>
            </w:tcBorders>
          </w:tcPr>
          <w:p w14:paraId="0444991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69%</w:t>
            </w:r>
          </w:p>
        </w:tc>
        <w:tc>
          <w:tcPr>
            <w:tcW w:w="1418" w:type="dxa"/>
            <w:vMerge/>
            <w:tcBorders>
              <w:top w:val="single" w:sz="4" w:space="0" w:color="auto"/>
              <w:left w:val="nil"/>
              <w:bottom w:val="single" w:sz="4" w:space="0" w:color="auto"/>
              <w:right w:val="nil"/>
            </w:tcBorders>
          </w:tcPr>
          <w:p w14:paraId="56B2C5BA" w14:textId="77777777" w:rsidR="004A3C29" w:rsidRPr="009166E3" w:rsidRDefault="004A3C29" w:rsidP="00A46F82">
            <w:pPr>
              <w:rPr>
                <w:rFonts w:ascii="Arial" w:hAnsi="Arial" w:cs="Arial"/>
                <w:bCs/>
                <w:sz w:val="16"/>
                <w:szCs w:val="16"/>
              </w:rPr>
            </w:pPr>
          </w:p>
        </w:tc>
        <w:tc>
          <w:tcPr>
            <w:tcW w:w="1799" w:type="dxa"/>
            <w:vMerge/>
            <w:tcBorders>
              <w:top w:val="single" w:sz="4" w:space="0" w:color="auto"/>
              <w:left w:val="nil"/>
              <w:bottom w:val="single" w:sz="4" w:space="0" w:color="auto"/>
              <w:right w:val="nil"/>
            </w:tcBorders>
          </w:tcPr>
          <w:p w14:paraId="23584265" w14:textId="77777777" w:rsidR="004A3C29" w:rsidRPr="009166E3" w:rsidRDefault="004A3C29" w:rsidP="00A46F82">
            <w:pPr>
              <w:rPr>
                <w:rFonts w:ascii="Arial" w:hAnsi="Arial" w:cs="Arial"/>
                <w:bCs/>
                <w:sz w:val="16"/>
                <w:szCs w:val="16"/>
              </w:rPr>
            </w:pPr>
          </w:p>
        </w:tc>
        <w:tc>
          <w:tcPr>
            <w:tcW w:w="1907" w:type="dxa"/>
            <w:vMerge/>
            <w:tcBorders>
              <w:top w:val="single" w:sz="4" w:space="0" w:color="auto"/>
              <w:left w:val="nil"/>
              <w:bottom w:val="single" w:sz="4" w:space="0" w:color="auto"/>
              <w:right w:val="nil"/>
            </w:tcBorders>
            <w:vAlign w:val="center"/>
          </w:tcPr>
          <w:p w14:paraId="0BF7DDA8" w14:textId="77777777" w:rsidR="004A3C29" w:rsidRPr="009166E3" w:rsidRDefault="004A3C29" w:rsidP="00A46F82">
            <w:pPr>
              <w:rPr>
                <w:rFonts w:ascii="Arial" w:hAnsi="Arial" w:cs="Arial"/>
                <w:bCs/>
                <w:sz w:val="16"/>
                <w:szCs w:val="16"/>
              </w:rPr>
            </w:pPr>
          </w:p>
        </w:tc>
      </w:tr>
      <w:tr w:rsidR="004A3C29" w:rsidRPr="009166E3" w14:paraId="0E071C18" w14:textId="77777777" w:rsidTr="00A46F82">
        <w:tc>
          <w:tcPr>
            <w:tcW w:w="2779" w:type="dxa"/>
            <w:tcBorders>
              <w:top w:val="single" w:sz="4" w:space="0" w:color="auto"/>
              <w:left w:val="nil"/>
              <w:bottom w:val="single" w:sz="4" w:space="0" w:color="auto"/>
              <w:right w:val="nil"/>
            </w:tcBorders>
          </w:tcPr>
          <w:p w14:paraId="60AE31F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&gt;25</w:t>
            </w:r>
          </w:p>
        </w:tc>
        <w:tc>
          <w:tcPr>
            <w:tcW w:w="1123" w:type="dxa"/>
            <w:tcBorders>
              <w:top w:val="single" w:sz="4" w:space="0" w:color="auto"/>
              <w:left w:val="nil"/>
              <w:bottom w:val="single" w:sz="4" w:space="0" w:color="auto"/>
              <w:right w:val="nil"/>
            </w:tcBorders>
          </w:tcPr>
          <w:p w14:paraId="15BF48F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14%</w:t>
            </w:r>
          </w:p>
        </w:tc>
        <w:tc>
          <w:tcPr>
            <w:tcW w:w="1418" w:type="dxa"/>
            <w:vMerge/>
            <w:tcBorders>
              <w:top w:val="single" w:sz="4" w:space="0" w:color="auto"/>
              <w:left w:val="nil"/>
              <w:bottom w:val="single" w:sz="4" w:space="0" w:color="auto"/>
              <w:right w:val="nil"/>
            </w:tcBorders>
          </w:tcPr>
          <w:p w14:paraId="665DFD38" w14:textId="77777777" w:rsidR="004A3C29" w:rsidRPr="009166E3" w:rsidRDefault="004A3C29" w:rsidP="00A46F82">
            <w:pPr>
              <w:rPr>
                <w:rFonts w:ascii="Arial" w:hAnsi="Arial" w:cs="Arial"/>
                <w:bCs/>
                <w:sz w:val="16"/>
                <w:szCs w:val="16"/>
              </w:rPr>
            </w:pPr>
          </w:p>
        </w:tc>
        <w:tc>
          <w:tcPr>
            <w:tcW w:w="1799" w:type="dxa"/>
            <w:vMerge/>
            <w:tcBorders>
              <w:top w:val="single" w:sz="4" w:space="0" w:color="auto"/>
              <w:left w:val="nil"/>
              <w:bottom w:val="single" w:sz="4" w:space="0" w:color="auto"/>
              <w:right w:val="nil"/>
            </w:tcBorders>
          </w:tcPr>
          <w:p w14:paraId="3EC84BF9" w14:textId="77777777" w:rsidR="004A3C29" w:rsidRPr="009166E3" w:rsidRDefault="004A3C29" w:rsidP="00A46F82">
            <w:pPr>
              <w:rPr>
                <w:rFonts w:ascii="Arial" w:hAnsi="Arial" w:cs="Arial"/>
                <w:bCs/>
                <w:sz w:val="16"/>
                <w:szCs w:val="16"/>
              </w:rPr>
            </w:pPr>
          </w:p>
        </w:tc>
        <w:tc>
          <w:tcPr>
            <w:tcW w:w="1907" w:type="dxa"/>
            <w:vMerge/>
            <w:tcBorders>
              <w:top w:val="single" w:sz="4" w:space="0" w:color="auto"/>
              <w:left w:val="nil"/>
              <w:bottom w:val="single" w:sz="4" w:space="0" w:color="auto"/>
              <w:right w:val="nil"/>
            </w:tcBorders>
            <w:vAlign w:val="center"/>
          </w:tcPr>
          <w:p w14:paraId="25176840" w14:textId="77777777" w:rsidR="004A3C29" w:rsidRPr="009166E3" w:rsidRDefault="004A3C29" w:rsidP="00A46F82">
            <w:pPr>
              <w:rPr>
                <w:rFonts w:ascii="Arial" w:hAnsi="Arial" w:cs="Arial"/>
                <w:bCs/>
                <w:sz w:val="16"/>
                <w:szCs w:val="16"/>
              </w:rPr>
            </w:pPr>
          </w:p>
        </w:tc>
      </w:tr>
      <w:tr w:rsidR="004A3C29" w:rsidRPr="009166E3" w14:paraId="557ECFB7" w14:textId="77777777" w:rsidTr="00A46F82">
        <w:tc>
          <w:tcPr>
            <w:tcW w:w="2779" w:type="dxa"/>
            <w:tcBorders>
              <w:top w:val="single" w:sz="4" w:space="0" w:color="auto"/>
              <w:left w:val="nil"/>
              <w:bottom w:val="single" w:sz="4" w:space="0" w:color="auto"/>
              <w:right w:val="nil"/>
            </w:tcBorders>
          </w:tcPr>
          <w:p w14:paraId="41CD8B1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Probability of chemotherapy w/o genomic risk, LN0</w:t>
            </w:r>
          </w:p>
        </w:tc>
        <w:tc>
          <w:tcPr>
            <w:tcW w:w="1123" w:type="dxa"/>
            <w:tcBorders>
              <w:top w:val="single" w:sz="4" w:space="0" w:color="auto"/>
              <w:left w:val="nil"/>
              <w:bottom w:val="single" w:sz="4" w:space="0" w:color="auto"/>
              <w:right w:val="nil"/>
            </w:tcBorders>
          </w:tcPr>
          <w:p w14:paraId="055D474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27%</w:t>
            </w:r>
          </w:p>
        </w:tc>
        <w:tc>
          <w:tcPr>
            <w:tcW w:w="1418" w:type="dxa"/>
            <w:tcBorders>
              <w:top w:val="single" w:sz="4" w:space="0" w:color="auto"/>
              <w:left w:val="nil"/>
              <w:bottom w:val="single" w:sz="4" w:space="0" w:color="auto"/>
              <w:right w:val="nil"/>
            </w:tcBorders>
          </w:tcPr>
          <w:p w14:paraId="6683129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26%,28%</w:t>
            </w:r>
          </w:p>
        </w:tc>
        <w:tc>
          <w:tcPr>
            <w:tcW w:w="1799" w:type="dxa"/>
            <w:tcBorders>
              <w:top w:val="single" w:sz="4" w:space="0" w:color="auto"/>
              <w:left w:val="nil"/>
              <w:bottom w:val="single" w:sz="4" w:space="0" w:color="auto"/>
              <w:right w:val="nil"/>
            </w:tcBorders>
          </w:tcPr>
          <w:p w14:paraId="4D6C97A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1717;β</w:t>
            </w:r>
            <w:proofErr w:type="gramEnd"/>
            <w:r w:rsidRPr="009166E3">
              <w:rPr>
                <w:rFonts w:ascii="Arial" w:hAnsi="Arial" w:cs="Arial"/>
                <w:bCs/>
                <w:sz w:val="16"/>
                <w:szCs w:val="16"/>
              </w:rPr>
              <w:t>=4612)</w:t>
            </w:r>
          </w:p>
        </w:tc>
        <w:tc>
          <w:tcPr>
            <w:tcW w:w="1907" w:type="dxa"/>
            <w:tcBorders>
              <w:top w:val="single" w:sz="4" w:space="0" w:color="auto"/>
              <w:left w:val="nil"/>
              <w:bottom w:val="single" w:sz="4" w:space="0" w:color="auto"/>
              <w:right w:val="nil"/>
            </w:tcBorders>
            <w:vAlign w:val="center"/>
          </w:tcPr>
          <w:p w14:paraId="5A038E8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NCRAS, DG34</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Excellence","given":"","non-dropping-particle":"","parse-names":false,"suffix":""}],"id":"ITEM-1","issued":{"date-parts":[["2018"]]},"title":"Tumour profiling tests to guide adjuvant chemotherapy decisions in early breast cancer","type":"report"},"uris":["http://www.mendeley.com/documents/?uuid=75b15e5a-1669-4574-8f4f-b8c0246f9df2"]}],"mendeley":{"formattedCitation":"&lt;sup&gt;8&lt;/sup&gt;","plainTextFormattedCitation":"8","previouslyFormattedCitation":"&lt;sup&gt;22&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8</w:t>
            </w:r>
            <w:r w:rsidRPr="009166E3">
              <w:rPr>
                <w:rFonts w:ascii="Arial" w:hAnsi="Arial" w:cs="Arial"/>
                <w:bCs/>
                <w:sz w:val="16"/>
                <w:szCs w:val="16"/>
              </w:rPr>
              <w:fldChar w:fldCharType="end"/>
            </w:r>
          </w:p>
        </w:tc>
      </w:tr>
      <w:tr w:rsidR="004A3C29" w:rsidRPr="009166E3" w14:paraId="5374E008" w14:textId="77777777" w:rsidTr="00A46F82">
        <w:tc>
          <w:tcPr>
            <w:tcW w:w="2779" w:type="dxa"/>
            <w:tcBorders>
              <w:top w:val="single" w:sz="4" w:space="0" w:color="auto"/>
              <w:left w:val="nil"/>
              <w:bottom w:val="single" w:sz="4" w:space="0" w:color="auto"/>
              <w:right w:val="nil"/>
            </w:tcBorders>
          </w:tcPr>
          <w:p w14:paraId="7CF38C0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Probability of chemotherapy w/o genomic risk, LN0 NPI≤3.4</w:t>
            </w:r>
          </w:p>
        </w:tc>
        <w:tc>
          <w:tcPr>
            <w:tcW w:w="1123" w:type="dxa"/>
            <w:tcBorders>
              <w:top w:val="single" w:sz="4" w:space="0" w:color="auto"/>
              <w:left w:val="nil"/>
              <w:bottom w:val="single" w:sz="4" w:space="0" w:color="auto"/>
              <w:right w:val="nil"/>
            </w:tcBorders>
          </w:tcPr>
          <w:p w14:paraId="2650B02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7%</w:t>
            </w:r>
          </w:p>
        </w:tc>
        <w:tc>
          <w:tcPr>
            <w:tcW w:w="1418" w:type="dxa"/>
            <w:tcBorders>
              <w:top w:val="single" w:sz="4" w:space="0" w:color="auto"/>
              <w:left w:val="nil"/>
              <w:bottom w:val="single" w:sz="4" w:space="0" w:color="auto"/>
              <w:right w:val="nil"/>
            </w:tcBorders>
          </w:tcPr>
          <w:p w14:paraId="0081C0E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6%, 8%</w:t>
            </w:r>
          </w:p>
        </w:tc>
        <w:tc>
          <w:tcPr>
            <w:tcW w:w="1799" w:type="dxa"/>
            <w:tcBorders>
              <w:top w:val="single" w:sz="4" w:space="0" w:color="auto"/>
              <w:left w:val="nil"/>
              <w:bottom w:val="single" w:sz="4" w:space="0" w:color="auto"/>
              <w:right w:val="nil"/>
            </w:tcBorders>
          </w:tcPr>
          <w:p w14:paraId="0CD2FCE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329;β</w:t>
            </w:r>
            <w:proofErr w:type="gramEnd"/>
            <w:r w:rsidRPr="009166E3">
              <w:rPr>
                <w:rFonts w:ascii="Arial" w:hAnsi="Arial" w:cs="Arial"/>
                <w:bCs/>
                <w:sz w:val="16"/>
                <w:szCs w:val="16"/>
              </w:rPr>
              <w:t>=4248)</w:t>
            </w:r>
          </w:p>
        </w:tc>
        <w:tc>
          <w:tcPr>
            <w:tcW w:w="1907" w:type="dxa"/>
            <w:tcBorders>
              <w:top w:val="single" w:sz="4" w:space="0" w:color="auto"/>
              <w:left w:val="nil"/>
              <w:bottom w:val="single" w:sz="4" w:space="0" w:color="auto"/>
              <w:right w:val="nil"/>
            </w:tcBorders>
            <w:vAlign w:val="center"/>
          </w:tcPr>
          <w:p w14:paraId="153CAAE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NCRAS, DG34</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Excellence","given":"","non-dropping-particle":"","parse-names":false,"suffix":""}],"id":"ITEM-1","issued":{"date-parts":[["2018"]]},"title":"Tumour profiling tests to guide adjuvant chemotherapy decisions in early breast cancer","type":"report"},"uris":["http://www.mendeley.com/documents/?uuid=75b15e5a-1669-4574-8f4f-b8c0246f9df2"]}],"mendeley":{"formattedCitation":"&lt;sup&gt;8&lt;/sup&gt;","plainTextFormattedCitation":"8","previouslyFormattedCitation":"&lt;sup&gt;22&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8</w:t>
            </w:r>
            <w:r w:rsidRPr="009166E3">
              <w:rPr>
                <w:rFonts w:ascii="Arial" w:hAnsi="Arial" w:cs="Arial"/>
                <w:bCs/>
                <w:sz w:val="16"/>
                <w:szCs w:val="16"/>
              </w:rPr>
              <w:fldChar w:fldCharType="end"/>
            </w:r>
          </w:p>
        </w:tc>
      </w:tr>
      <w:tr w:rsidR="004A3C29" w:rsidRPr="009166E3" w14:paraId="5F0348F4" w14:textId="77777777" w:rsidTr="00A46F82">
        <w:tc>
          <w:tcPr>
            <w:tcW w:w="2779" w:type="dxa"/>
            <w:tcBorders>
              <w:top w:val="single" w:sz="4" w:space="0" w:color="auto"/>
              <w:left w:val="nil"/>
              <w:bottom w:val="single" w:sz="4" w:space="0" w:color="auto"/>
              <w:right w:val="nil"/>
            </w:tcBorders>
          </w:tcPr>
          <w:p w14:paraId="45C3640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Probability of chemotherapy w/o genomic risk, LN0 NPI&gt;3.4</w:t>
            </w:r>
          </w:p>
        </w:tc>
        <w:tc>
          <w:tcPr>
            <w:tcW w:w="1123" w:type="dxa"/>
            <w:tcBorders>
              <w:top w:val="single" w:sz="4" w:space="0" w:color="auto"/>
              <w:left w:val="nil"/>
              <w:bottom w:val="single" w:sz="4" w:space="0" w:color="auto"/>
              <w:right w:val="nil"/>
            </w:tcBorders>
          </w:tcPr>
          <w:p w14:paraId="73E0CC2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40%</w:t>
            </w:r>
          </w:p>
        </w:tc>
        <w:tc>
          <w:tcPr>
            <w:tcW w:w="1418" w:type="dxa"/>
            <w:tcBorders>
              <w:top w:val="single" w:sz="4" w:space="0" w:color="auto"/>
              <w:left w:val="nil"/>
              <w:bottom w:val="single" w:sz="4" w:space="0" w:color="auto"/>
              <w:right w:val="nil"/>
            </w:tcBorders>
          </w:tcPr>
          <w:p w14:paraId="1205318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38%, 42%</w:t>
            </w:r>
          </w:p>
        </w:tc>
        <w:tc>
          <w:tcPr>
            <w:tcW w:w="1799" w:type="dxa"/>
            <w:tcBorders>
              <w:top w:val="single" w:sz="4" w:space="0" w:color="auto"/>
              <w:left w:val="nil"/>
              <w:bottom w:val="single" w:sz="4" w:space="0" w:color="auto"/>
              <w:right w:val="nil"/>
            </w:tcBorders>
          </w:tcPr>
          <w:p w14:paraId="6C4948B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1388;β</w:t>
            </w:r>
            <w:proofErr w:type="gramEnd"/>
            <w:r w:rsidRPr="009166E3">
              <w:rPr>
                <w:rFonts w:ascii="Arial" w:hAnsi="Arial" w:cs="Arial"/>
                <w:bCs/>
                <w:sz w:val="16"/>
                <w:szCs w:val="16"/>
              </w:rPr>
              <w:t>=2018)</w:t>
            </w:r>
          </w:p>
        </w:tc>
        <w:tc>
          <w:tcPr>
            <w:tcW w:w="1907" w:type="dxa"/>
            <w:tcBorders>
              <w:top w:val="single" w:sz="4" w:space="0" w:color="auto"/>
              <w:left w:val="nil"/>
              <w:bottom w:val="single" w:sz="4" w:space="0" w:color="auto"/>
              <w:right w:val="nil"/>
            </w:tcBorders>
            <w:vAlign w:val="center"/>
          </w:tcPr>
          <w:p w14:paraId="5277F51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NCRAS, DG34</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Excellence","given":"","non-dropping-particle":"","parse-names":false,"suffix":""}],"id":"ITEM-1","issued":{"date-parts":[["2018"]]},"title":"Tumour profiling tests to guide adjuvant chemotherapy decisions in early breast cancer","type":"report"},"uris":["http://www.mendeley.com/documents/?uuid=75b15e5a-1669-4574-8f4f-b8c0246f9df2"]}],"mendeley":{"formattedCitation":"&lt;sup&gt;8&lt;/sup&gt;","plainTextFormattedCitation":"8","previouslyFormattedCitation":"&lt;sup&gt;22&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8</w:t>
            </w:r>
            <w:r w:rsidRPr="009166E3">
              <w:rPr>
                <w:rFonts w:ascii="Arial" w:hAnsi="Arial" w:cs="Arial"/>
                <w:bCs/>
                <w:sz w:val="16"/>
                <w:szCs w:val="16"/>
              </w:rPr>
              <w:fldChar w:fldCharType="end"/>
            </w:r>
          </w:p>
        </w:tc>
      </w:tr>
      <w:tr w:rsidR="004A3C29" w:rsidRPr="009166E3" w14:paraId="3519391B" w14:textId="77777777" w:rsidTr="00A46F82">
        <w:tc>
          <w:tcPr>
            <w:tcW w:w="2779" w:type="dxa"/>
            <w:tcBorders>
              <w:top w:val="single" w:sz="4" w:space="0" w:color="auto"/>
              <w:left w:val="nil"/>
              <w:bottom w:val="single" w:sz="4" w:space="0" w:color="auto"/>
              <w:right w:val="nil"/>
            </w:tcBorders>
          </w:tcPr>
          <w:p w14:paraId="1C12964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 xml:space="preserve">Probability of chemotherapy w/o genomic risk, </w:t>
            </w:r>
            <w:proofErr w:type="spellStart"/>
            <w:r w:rsidRPr="009166E3">
              <w:rPr>
                <w:rFonts w:ascii="Arial" w:hAnsi="Arial" w:cs="Arial"/>
                <w:bCs/>
                <w:sz w:val="16"/>
                <w:szCs w:val="16"/>
              </w:rPr>
              <w:t>LNmic</w:t>
            </w:r>
            <w:proofErr w:type="spellEnd"/>
          </w:p>
        </w:tc>
        <w:tc>
          <w:tcPr>
            <w:tcW w:w="1123" w:type="dxa"/>
            <w:tcBorders>
              <w:top w:val="single" w:sz="4" w:space="0" w:color="auto"/>
              <w:left w:val="nil"/>
              <w:bottom w:val="single" w:sz="4" w:space="0" w:color="auto"/>
              <w:right w:val="nil"/>
            </w:tcBorders>
          </w:tcPr>
          <w:p w14:paraId="101CE3C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27%</w:t>
            </w:r>
          </w:p>
        </w:tc>
        <w:tc>
          <w:tcPr>
            <w:tcW w:w="1418" w:type="dxa"/>
            <w:tcBorders>
              <w:top w:val="single" w:sz="4" w:space="0" w:color="auto"/>
              <w:left w:val="nil"/>
              <w:bottom w:val="single" w:sz="4" w:space="0" w:color="auto"/>
              <w:right w:val="nil"/>
            </w:tcBorders>
          </w:tcPr>
          <w:p w14:paraId="3F5A76D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26%,28%</w:t>
            </w:r>
          </w:p>
        </w:tc>
        <w:tc>
          <w:tcPr>
            <w:tcW w:w="1799" w:type="dxa"/>
            <w:tcBorders>
              <w:top w:val="single" w:sz="4" w:space="0" w:color="auto"/>
              <w:left w:val="nil"/>
              <w:bottom w:val="single" w:sz="4" w:space="0" w:color="auto"/>
              <w:right w:val="nil"/>
            </w:tcBorders>
          </w:tcPr>
          <w:p w14:paraId="0C8F2A5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1717;β</w:t>
            </w:r>
            <w:proofErr w:type="gramEnd"/>
            <w:r w:rsidRPr="009166E3">
              <w:rPr>
                <w:rFonts w:ascii="Arial" w:hAnsi="Arial" w:cs="Arial"/>
                <w:bCs/>
                <w:sz w:val="16"/>
                <w:szCs w:val="16"/>
              </w:rPr>
              <w:t>=4612)</w:t>
            </w:r>
          </w:p>
        </w:tc>
        <w:tc>
          <w:tcPr>
            <w:tcW w:w="1907" w:type="dxa"/>
            <w:tcBorders>
              <w:top w:val="single" w:sz="4" w:space="0" w:color="auto"/>
              <w:left w:val="nil"/>
              <w:bottom w:val="single" w:sz="4" w:space="0" w:color="auto"/>
              <w:right w:val="nil"/>
            </w:tcBorders>
            <w:vAlign w:val="center"/>
          </w:tcPr>
          <w:p w14:paraId="6B5849E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Assumed to be the same as node-negative, clinical expert opinion</w:t>
            </w:r>
          </w:p>
        </w:tc>
      </w:tr>
      <w:tr w:rsidR="004A3C29" w:rsidRPr="009166E3" w14:paraId="69F1A637" w14:textId="77777777" w:rsidTr="00A46F82">
        <w:tc>
          <w:tcPr>
            <w:tcW w:w="2779" w:type="dxa"/>
            <w:tcBorders>
              <w:top w:val="single" w:sz="4" w:space="0" w:color="auto"/>
              <w:left w:val="nil"/>
              <w:bottom w:val="single" w:sz="4" w:space="0" w:color="auto"/>
              <w:right w:val="nil"/>
            </w:tcBorders>
            <w:shd w:val="clear" w:color="auto" w:fill="D0CECE" w:themeFill="background2" w:themeFillShade="E6"/>
          </w:tcPr>
          <w:p w14:paraId="23B08E3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Probability of chemotherapy conditional on RS result</w:t>
            </w:r>
          </w:p>
        </w:tc>
        <w:tc>
          <w:tcPr>
            <w:tcW w:w="1123" w:type="dxa"/>
            <w:tcBorders>
              <w:top w:val="single" w:sz="4" w:space="0" w:color="auto"/>
              <w:left w:val="nil"/>
              <w:bottom w:val="single" w:sz="4" w:space="0" w:color="auto"/>
              <w:right w:val="nil"/>
            </w:tcBorders>
            <w:shd w:val="clear" w:color="auto" w:fill="D0CECE" w:themeFill="background2" w:themeFillShade="E6"/>
          </w:tcPr>
          <w:p w14:paraId="474C7972" w14:textId="77777777" w:rsidR="004A3C29" w:rsidRPr="009166E3" w:rsidRDefault="004A3C29" w:rsidP="00A46F82">
            <w:pPr>
              <w:rPr>
                <w:rFonts w:ascii="Arial" w:hAnsi="Arial" w:cs="Arial"/>
                <w:bCs/>
                <w:sz w:val="16"/>
                <w:szCs w:val="16"/>
              </w:rPr>
            </w:pPr>
          </w:p>
        </w:tc>
        <w:tc>
          <w:tcPr>
            <w:tcW w:w="1418" w:type="dxa"/>
            <w:tcBorders>
              <w:top w:val="single" w:sz="4" w:space="0" w:color="auto"/>
              <w:left w:val="nil"/>
              <w:bottom w:val="single" w:sz="4" w:space="0" w:color="auto"/>
              <w:right w:val="nil"/>
            </w:tcBorders>
            <w:shd w:val="clear" w:color="auto" w:fill="D0CECE" w:themeFill="background2" w:themeFillShade="E6"/>
          </w:tcPr>
          <w:p w14:paraId="5BDBDD5C" w14:textId="77777777" w:rsidR="004A3C29" w:rsidRPr="009166E3" w:rsidRDefault="004A3C29" w:rsidP="00A46F82">
            <w:pPr>
              <w:rPr>
                <w:rFonts w:ascii="Arial" w:hAnsi="Arial" w:cs="Arial"/>
                <w:bCs/>
                <w:sz w:val="16"/>
                <w:szCs w:val="16"/>
              </w:rPr>
            </w:pPr>
          </w:p>
        </w:tc>
        <w:tc>
          <w:tcPr>
            <w:tcW w:w="1799" w:type="dxa"/>
            <w:tcBorders>
              <w:top w:val="single" w:sz="4" w:space="0" w:color="auto"/>
              <w:left w:val="nil"/>
              <w:bottom w:val="single" w:sz="4" w:space="0" w:color="auto"/>
              <w:right w:val="nil"/>
            </w:tcBorders>
            <w:shd w:val="clear" w:color="auto" w:fill="D0CECE" w:themeFill="background2" w:themeFillShade="E6"/>
          </w:tcPr>
          <w:p w14:paraId="1CC7EF30" w14:textId="77777777" w:rsidR="004A3C29" w:rsidRPr="009166E3" w:rsidRDefault="004A3C29" w:rsidP="00A46F82">
            <w:pPr>
              <w:rPr>
                <w:rFonts w:ascii="Arial" w:hAnsi="Arial" w:cs="Arial"/>
                <w:bCs/>
                <w:sz w:val="16"/>
                <w:szCs w:val="16"/>
              </w:rPr>
            </w:pPr>
          </w:p>
        </w:tc>
        <w:tc>
          <w:tcPr>
            <w:tcW w:w="1907" w:type="dxa"/>
            <w:tcBorders>
              <w:top w:val="single" w:sz="4" w:space="0" w:color="auto"/>
              <w:left w:val="nil"/>
              <w:bottom w:val="single" w:sz="4" w:space="0" w:color="auto"/>
              <w:right w:val="nil"/>
            </w:tcBorders>
            <w:shd w:val="clear" w:color="auto" w:fill="D0CECE" w:themeFill="background2" w:themeFillShade="E6"/>
            <w:vAlign w:val="center"/>
          </w:tcPr>
          <w:p w14:paraId="3D2FB2F8" w14:textId="77777777" w:rsidR="004A3C29" w:rsidRPr="009166E3" w:rsidRDefault="004A3C29" w:rsidP="00A46F82">
            <w:pPr>
              <w:rPr>
                <w:rFonts w:ascii="Arial" w:hAnsi="Arial" w:cs="Arial"/>
                <w:bCs/>
                <w:sz w:val="16"/>
                <w:szCs w:val="16"/>
              </w:rPr>
            </w:pPr>
          </w:p>
        </w:tc>
      </w:tr>
      <w:tr w:rsidR="004A3C29" w:rsidRPr="009166E3" w14:paraId="342F44D3" w14:textId="77777777" w:rsidTr="00A46F82">
        <w:tc>
          <w:tcPr>
            <w:tcW w:w="2779" w:type="dxa"/>
            <w:tcBorders>
              <w:top w:val="single" w:sz="4" w:space="0" w:color="auto"/>
              <w:left w:val="nil"/>
              <w:bottom w:val="single" w:sz="4" w:space="0" w:color="auto"/>
              <w:right w:val="nil"/>
            </w:tcBorders>
          </w:tcPr>
          <w:p w14:paraId="768268D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&lt;11</w:t>
            </w:r>
          </w:p>
        </w:tc>
        <w:tc>
          <w:tcPr>
            <w:tcW w:w="1123" w:type="dxa"/>
            <w:tcBorders>
              <w:top w:val="single" w:sz="4" w:space="0" w:color="auto"/>
              <w:left w:val="nil"/>
              <w:bottom w:val="single" w:sz="4" w:space="0" w:color="auto"/>
              <w:right w:val="nil"/>
            </w:tcBorders>
          </w:tcPr>
          <w:p w14:paraId="03FBF5CB"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w:t>
            </w:r>
          </w:p>
        </w:tc>
        <w:tc>
          <w:tcPr>
            <w:tcW w:w="1418" w:type="dxa"/>
            <w:tcBorders>
              <w:top w:val="single" w:sz="4" w:space="0" w:color="auto"/>
              <w:left w:val="nil"/>
              <w:bottom w:val="single" w:sz="4" w:space="0" w:color="auto"/>
              <w:right w:val="nil"/>
            </w:tcBorders>
          </w:tcPr>
          <w:p w14:paraId="7411148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4E4D908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vMerge w:val="restart"/>
            <w:tcBorders>
              <w:top w:val="single" w:sz="4" w:space="0" w:color="auto"/>
              <w:left w:val="nil"/>
              <w:bottom w:val="single" w:sz="4" w:space="0" w:color="auto"/>
              <w:right w:val="nil"/>
            </w:tcBorders>
            <w:vAlign w:val="center"/>
          </w:tcPr>
          <w:p w14:paraId="10AF67D6" w14:textId="77777777" w:rsidR="004A3C29" w:rsidRPr="009166E3" w:rsidRDefault="004A3C29" w:rsidP="00A46F82">
            <w:pPr>
              <w:rPr>
                <w:rFonts w:ascii="Arial" w:hAnsi="Arial" w:cs="Arial"/>
                <w:bCs/>
                <w:sz w:val="16"/>
                <w:szCs w:val="16"/>
              </w:rPr>
            </w:pPr>
            <w:proofErr w:type="spellStart"/>
            <w:r w:rsidRPr="009166E3">
              <w:rPr>
                <w:rFonts w:ascii="Arial" w:hAnsi="Arial" w:cs="Arial"/>
                <w:bCs/>
                <w:sz w:val="16"/>
                <w:szCs w:val="16"/>
              </w:rPr>
              <w:t>Clalit</w:t>
            </w:r>
            <w:proofErr w:type="spellEnd"/>
            <w:r w:rsidRPr="009166E3">
              <w:rPr>
                <w:rFonts w:ascii="Arial" w:hAnsi="Arial" w:cs="Arial"/>
                <w:bCs/>
                <w:sz w:val="16"/>
                <w:szCs w:val="16"/>
              </w:rPr>
              <w:t xml:space="preserve"> registry</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{"citationItems":[{"id":"ITEM-1","itemData":{"DOI":"10.1038/s41523-017-0034-6","ISSN":"2374-4677","abstract":"The 21-gene Recurrence Score® (RS) assay is a validated prognostic/predictive tool in ER + early-stage breast cancer. However, clinical outcome data from prospective studies in RS ≥ 11 patients are lacking, as are relevant real-life clinical practice data. In this retrospective analysis of a prospectively designed registry, we evaluated treatments/clinical outcomes in patients undergoing RS-testing through Clalit Health Services. The analysis included N0 ER + HER2-negative breast cancer patients who were RS-tested from 1/2006 through 12/2010. Medical records were reviewed to verify treatments/recurrences/survival. The cohort included 1801 patients (median follow-up, 6.2 years). Median age was 60 years, 50.4% were grade 2 and 81.1% had invasive ductal carcinoma; 48.9% had RS &lt; 18, 40.7% RS 18–30, and 10.4% RS ≥ 31, with chemotherapy use of 1.4, 23.7, and 87.2%, respectively. The 5-year Kaplan–Meier estimates for distant recurrence were 0.8, 3.0, and 8.6%, for patients with RS &lt; 18, RS 18–30 and RS ≥ 31, respectively; the corresponding 5-year Kaplan–Meier estimates for breast cancer death were 0.0, 0.9, and 6.2%. Chemotherapy-untreated patients with RS &lt; 11 (n = 304) and 11–25 (n = 1037) (TAILORx categorization) had 5-year Kaplan–Meier estimates for distant recurrence risk/breast cancer death of 1.0%/0.0% and 1.3%/0.4%, respectively. Our results extend those of the prospective TAILORx trial: the 5-year Kaplan–Meier estimates for distant recurrence and breast cancer death rate for the RS &lt; 18 patients were very low supporting the use of endocrine therapy alone. Furthermore, in chemotherapy-untreated patients with RS 11–25 (where TAILORx patients were randomized to chemoendocrine or endocrine therapy alone), 5-year distant recurrence rates were also very low, suggesting that chemotherapy would not have conferred clinically meaningful benefit.","author":[{"dropping-particle":"","family":"Stemmer","given":"Salomon M.","non-dropping-particle":"","parse-names":false,"suffix":""},{"dropping-particle":"","family":"Steiner","given":"Mariana","non-dropping-particle":"","parse-names":false,"suffix":""},{"dropping-particle":"","family":"Rizel","given":"Shulamith","non-dropping-particle":"","parse-names":false,"suffix":""},{"dropping-particle":"","family":"Soussan-Gutman","given":"Lior","non-dropping-particle":"","parse-names":false,"suffix":""},{"dropping-particle":"","family":"Ben-Baruch","given":"Noa","non-dropping-particle":"","parse-names":false,"suffix":""},{"dropping-particle":"","family":"Bareket-Samish","given":"Avital","non-dropping-particle":"","parse-names":false,"suffix":""},{"dropping-particle":"","family":"Geffen","given":"David B.","non-dropping-particle":"","parse-names":false,"suffix":""},{"dropping-particle":"","family":"Nisenbaum","given":"Bella","non-dropping-particle":"","parse-names":false,"suffix":""},{"dropping-particle":"","family":"Isaacs","given":"Kevin","non-dropping-particle":"","parse-names":false,"suffix":""},{"dropping-particle":"","family":"Fried","given":"Georgeta","non-dropping-particle":"","parse-names":false,"suffix":""},{"dropping-particle":"","family":"Rosengarten","given":"Ora","non-dropping-particle":"","parse-names":false,"suffix":""},{"dropping-particle":"","family":"Uziely","given":"Beatrice","non-dropping-particle":"","parse-names":false,"suffix":""},{"dropping-particle":"","family":"Svedman","given":"Christer","non-dropping-particle":"","parse-names":false,"suffix":""},{"dropping-particle":"","family":"McCullough","given":"Debbie","non-dropping-particle":"","parse-names":false,"suffix":""},{"dropping-particle":"","family":"Maddala","given":"Tara","non-dropping-particle":"","parse-names":false,"suffix":""},{"dropping-particle":"","family":"Klang","given":"Shmuel H.","non-dropping-particle":"","parse-names":false,"suffix":""},{"dropping-particle":"","family":"Zidan","given":"Jamal","non-dropping-particle":"","parse-names":false,"suffix":""},{"dropping-particle":"","family":"Ryvo","given":"Larisa","non-dropping-particle":"","parse-names":false,"suffix":""},{"dropping-particle":"","family":"Kaufman","given":"Bella","non-dropping-particle":"","parse-names":false,"suffix":""},{"dropping-particle":"","family":"Evron","given":"Ella","non-dropping-particle":"","parse-names":false,"suffix":""},{"dropping-particle":"","family":"Karminsky","given":"Natalya","non-dropping-particle":"","parse-names":false,"suffix":""},{"dropping-particle":"","family":"Goldberg","given":"Hadassah","non-dropping-particle":"","parse-names":false,"suffix":""},{"dropping-particle":"","family":"Shak","given":"Steven","non-dropping-particle":"","parse-names":false,"suffix":""},{"dropping-particle":"","family":"Liebermann","given":"Nicky","non-dropping-particle":"","parse-names":false,"suffix":""}],"container-title":"npj Breast Cancer","id":"ITEM-1","issue":"1","issued":{"date-parts":[["2017","12"]]},"publisher":"Springer Science and Business Media LLC","title":"Clinical outcomes in patients with node-negative breast cancer treated based on the recurrence score results: evidence from a large prospectively designed registry","type":"article-journal","volume":"3"},"uris":["http://www.mendeley.com/documents/?uuid=daeaf917-3dcf-3805-a4f5-2c26994c126c"]}],"mendeley":{"formattedCitation":"&lt;sup&gt;9&lt;/sup&gt;","plainTextFormattedCitation":"9","previouslyFormattedCitation":"&lt;sup&gt;58&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9</w:t>
            </w:r>
            <w:r w:rsidRPr="009166E3">
              <w:rPr>
                <w:rFonts w:ascii="Arial" w:hAnsi="Arial" w:cs="Arial"/>
                <w:bCs/>
                <w:sz w:val="16"/>
                <w:szCs w:val="16"/>
              </w:rPr>
              <w:fldChar w:fldCharType="end"/>
            </w:r>
          </w:p>
        </w:tc>
      </w:tr>
      <w:tr w:rsidR="004A3C29" w:rsidRPr="009166E3" w14:paraId="7FFEA830" w14:textId="77777777" w:rsidTr="00A46F82">
        <w:tc>
          <w:tcPr>
            <w:tcW w:w="2779" w:type="dxa"/>
            <w:tcBorders>
              <w:top w:val="single" w:sz="4" w:space="0" w:color="auto"/>
              <w:left w:val="nil"/>
              <w:bottom w:val="single" w:sz="4" w:space="0" w:color="auto"/>
              <w:right w:val="nil"/>
            </w:tcBorders>
          </w:tcPr>
          <w:p w14:paraId="1470227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11-25</w:t>
            </w:r>
          </w:p>
        </w:tc>
        <w:tc>
          <w:tcPr>
            <w:tcW w:w="1123" w:type="dxa"/>
            <w:tcBorders>
              <w:top w:val="single" w:sz="4" w:space="0" w:color="auto"/>
              <w:left w:val="nil"/>
              <w:bottom w:val="single" w:sz="4" w:space="0" w:color="auto"/>
              <w:right w:val="nil"/>
            </w:tcBorders>
          </w:tcPr>
          <w:p w14:paraId="2CE680C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9%</w:t>
            </w:r>
          </w:p>
        </w:tc>
        <w:tc>
          <w:tcPr>
            <w:tcW w:w="1418" w:type="dxa"/>
            <w:tcBorders>
              <w:top w:val="single" w:sz="4" w:space="0" w:color="auto"/>
              <w:left w:val="nil"/>
              <w:bottom w:val="single" w:sz="4" w:space="0" w:color="auto"/>
              <w:right w:val="nil"/>
            </w:tcBorders>
          </w:tcPr>
          <w:p w14:paraId="21E7147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7%,11%</w:t>
            </w:r>
          </w:p>
        </w:tc>
        <w:tc>
          <w:tcPr>
            <w:tcW w:w="1799" w:type="dxa"/>
            <w:tcBorders>
              <w:top w:val="single" w:sz="4" w:space="0" w:color="auto"/>
              <w:left w:val="nil"/>
              <w:bottom w:val="single" w:sz="4" w:space="0" w:color="auto"/>
              <w:right w:val="nil"/>
            </w:tcBorders>
          </w:tcPr>
          <w:p w14:paraId="39088EE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80;β</w:t>
            </w:r>
            <w:proofErr w:type="gramEnd"/>
            <w:r w:rsidRPr="009166E3">
              <w:rPr>
                <w:rFonts w:ascii="Arial" w:hAnsi="Arial" w:cs="Arial"/>
                <w:bCs/>
                <w:sz w:val="16"/>
                <w:szCs w:val="16"/>
              </w:rPr>
              <w:t>=773)</w:t>
            </w:r>
          </w:p>
        </w:tc>
        <w:tc>
          <w:tcPr>
            <w:tcW w:w="1907" w:type="dxa"/>
            <w:vMerge/>
            <w:tcBorders>
              <w:top w:val="single" w:sz="4" w:space="0" w:color="auto"/>
              <w:left w:val="nil"/>
              <w:bottom w:val="single" w:sz="4" w:space="0" w:color="auto"/>
              <w:right w:val="nil"/>
            </w:tcBorders>
            <w:vAlign w:val="center"/>
          </w:tcPr>
          <w:p w14:paraId="185E981F" w14:textId="77777777" w:rsidR="004A3C29" w:rsidRPr="009166E3" w:rsidRDefault="004A3C29" w:rsidP="00A46F82">
            <w:pPr>
              <w:rPr>
                <w:rFonts w:ascii="Arial" w:hAnsi="Arial" w:cs="Arial"/>
                <w:bCs/>
                <w:sz w:val="16"/>
                <w:szCs w:val="16"/>
              </w:rPr>
            </w:pPr>
          </w:p>
        </w:tc>
      </w:tr>
      <w:tr w:rsidR="004A3C29" w:rsidRPr="009166E3" w14:paraId="5279826A" w14:textId="77777777" w:rsidTr="00A46F82">
        <w:tc>
          <w:tcPr>
            <w:tcW w:w="2779" w:type="dxa"/>
            <w:tcBorders>
              <w:top w:val="single" w:sz="4" w:space="0" w:color="auto"/>
              <w:left w:val="nil"/>
              <w:bottom w:val="single" w:sz="4" w:space="0" w:color="auto"/>
              <w:right w:val="nil"/>
            </w:tcBorders>
          </w:tcPr>
          <w:p w14:paraId="67872BD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&gt;25</w:t>
            </w:r>
          </w:p>
        </w:tc>
        <w:tc>
          <w:tcPr>
            <w:tcW w:w="1123" w:type="dxa"/>
            <w:tcBorders>
              <w:top w:val="single" w:sz="4" w:space="0" w:color="auto"/>
              <w:left w:val="nil"/>
              <w:bottom w:val="single" w:sz="4" w:space="0" w:color="auto"/>
              <w:right w:val="nil"/>
            </w:tcBorders>
          </w:tcPr>
          <w:p w14:paraId="47AA321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70%</w:t>
            </w:r>
          </w:p>
        </w:tc>
        <w:tc>
          <w:tcPr>
            <w:tcW w:w="1418" w:type="dxa"/>
            <w:tcBorders>
              <w:top w:val="single" w:sz="4" w:space="0" w:color="auto"/>
              <w:left w:val="nil"/>
              <w:bottom w:val="single" w:sz="4" w:space="0" w:color="auto"/>
              <w:right w:val="nil"/>
            </w:tcBorders>
          </w:tcPr>
          <w:p w14:paraId="6751A6A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64%,76%</w:t>
            </w:r>
          </w:p>
        </w:tc>
        <w:tc>
          <w:tcPr>
            <w:tcW w:w="1799" w:type="dxa"/>
            <w:tcBorders>
              <w:top w:val="single" w:sz="4" w:space="0" w:color="auto"/>
              <w:left w:val="nil"/>
              <w:bottom w:val="single" w:sz="4" w:space="0" w:color="auto"/>
              <w:right w:val="nil"/>
            </w:tcBorders>
          </w:tcPr>
          <w:p w14:paraId="4272406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188;β</w:t>
            </w:r>
            <w:proofErr w:type="gramEnd"/>
            <w:r w:rsidRPr="009166E3">
              <w:rPr>
                <w:rFonts w:ascii="Arial" w:hAnsi="Arial" w:cs="Arial"/>
                <w:bCs/>
                <w:sz w:val="16"/>
                <w:szCs w:val="16"/>
              </w:rPr>
              <w:t>=81)</w:t>
            </w:r>
          </w:p>
        </w:tc>
        <w:tc>
          <w:tcPr>
            <w:tcW w:w="1907" w:type="dxa"/>
            <w:vMerge/>
            <w:tcBorders>
              <w:top w:val="single" w:sz="4" w:space="0" w:color="auto"/>
              <w:left w:val="nil"/>
              <w:bottom w:val="single" w:sz="4" w:space="0" w:color="auto"/>
              <w:right w:val="nil"/>
            </w:tcBorders>
            <w:vAlign w:val="center"/>
          </w:tcPr>
          <w:p w14:paraId="341CDDE6" w14:textId="77777777" w:rsidR="004A3C29" w:rsidRPr="009166E3" w:rsidRDefault="004A3C29" w:rsidP="00A46F82">
            <w:pPr>
              <w:rPr>
                <w:rFonts w:ascii="Arial" w:hAnsi="Arial" w:cs="Arial"/>
                <w:bCs/>
                <w:sz w:val="16"/>
                <w:szCs w:val="16"/>
              </w:rPr>
            </w:pPr>
          </w:p>
        </w:tc>
      </w:tr>
      <w:tr w:rsidR="004A3C29" w:rsidRPr="009166E3" w14:paraId="5FADFAAE" w14:textId="77777777" w:rsidTr="00A46F82">
        <w:tc>
          <w:tcPr>
            <w:tcW w:w="2779" w:type="dxa"/>
            <w:tcBorders>
              <w:top w:val="single" w:sz="4" w:space="0" w:color="auto"/>
              <w:left w:val="nil"/>
              <w:bottom w:val="single" w:sz="4" w:space="0" w:color="auto"/>
              <w:right w:val="nil"/>
            </w:tcBorders>
            <w:shd w:val="clear" w:color="auto" w:fill="D0CECE" w:themeFill="background2" w:themeFillShade="E6"/>
          </w:tcPr>
          <w:p w14:paraId="1A8D0FC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9-year DRF</w:t>
            </w:r>
            <w:r>
              <w:rPr>
                <w:rFonts w:ascii="Arial" w:hAnsi="Arial" w:cs="Arial"/>
                <w:bCs/>
                <w:sz w:val="16"/>
                <w:szCs w:val="16"/>
              </w:rPr>
              <w:t>I</w:t>
            </w:r>
            <w:r w:rsidRPr="009166E3">
              <w:rPr>
                <w:rFonts w:ascii="Arial" w:hAnsi="Arial" w:cs="Arial"/>
                <w:bCs/>
                <w:sz w:val="16"/>
                <w:szCs w:val="16"/>
              </w:rPr>
              <w:t xml:space="preserve"> with ET</w:t>
            </w:r>
          </w:p>
        </w:tc>
        <w:tc>
          <w:tcPr>
            <w:tcW w:w="1123" w:type="dxa"/>
            <w:tcBorders>
              <w:top w:val="single" w:sz="4" w:space="0" w:color="auto"/>
              <w:left w:val="nil"/>
              <w:bottom w:val="single" w:sz="4" w:space="0" w:color="auto"/>
              <w:right w:val="nil"/>
            </w:tcBorders>
            <w:shd w:val="clear" w:color="auto" w:fill="D0CECE" w:themeFill="background2" w:themeFillShade="E6"/>
          </w:tcPr>
          <w:p w14:paraId="30A1FA2A" w14:textId="77777777" w:rsidR="004A3C29" w:rsidRPr="009166E3" w:rsidRDefault="004A3C29" w:rsidP="00A46F82">
            <w:pPr>
              <w:rPr>
                <w:rFonts w:ascii="Arial" w:hAnsi="Arial" w:cs="Arial"/>
                <w:bCs/>
                <w:sz w:val="16"/>
                <w:szCs w:val="16"/>
              </w:rPr>
            </w:pPr>
          </w:p>
        </w:tc>
        <w:tc>
          <w:tcPr>
            <w:tcW w:w="1418" w:type="dxa"/>
            <w:tcBorders>
              <w:top w:val="single" w:sz="4" w:space="0" w:color="auto"/>
              <w:left w:val="nil"/>
              <w:bottom w:val="single" w:sz="4" w:space="0" w:color="auto"/>
              <w:right w:val="nil"/>
            </w:tcBorders>
            <w:shd w:val="clear" w:color="auto" w:fill="D0CECE" w:themeFill="background2" w:themeFillShade="E6"/>
          </w:tcPr>
          <w:p w14:paraId="5106E6B0" w14:textId="77777777" w:rsidR="004A3C29" w:rsidRPr="009166E3" w:rsidRDefault="004A3C29" w:rsidP="00A46F82">
            <w:pPr>
              <w:rPr>
                <w:rFonts w:ascii="Arial" w:hAnsi="Arial" w:cs="Arial"/>
                <w:bCs/>
                <w:sz w:val="16"/>
                <w:szCs w:val="16"/>
              </w:rPr>
            </w:pPr>
          </w:p>
        </w:tc>
        <w:tc>
          <w:tcPr>
            <w:tcW w:w="1799" w:type="dxa"/>
            <w:tcBorders>
              <w:top w:val="single" w:sz="4" w:space="0" w:color="auto"/>
              <w:left w:val="nil"/>
              <w:bottom w:val="single" w:sz="4" w:space="0" w:color="auto"/>
              <w:right w:val="nil"/>
            </w:tcBorders>
            <w:shd w:val="clear" w:color="auto" w:fill="D0CECE" w:themeFill="background2" w:themeFillShade="E6"/>
          </w:tcPr>
          <w:p w14:paraId="10CCC814" w14:textId="77777777" w:rsidR="004A3C29" w:rsidRPr="009166E3" w:rsidRDefault="004A3C29" w:rsidP="00A46F82">
            <w:pPr>
              <w:rPr>
                <w:rFonts w:ascii="Arial" w:hAnsi="Arial" w:cs="Arial"/>
                <w:bCs/>
                <w:sz w:val="16"/>
                <w:szCs w:val="16"/>
              </w:rPr>
            </w:pPr>
          </w:p>
        </w:tc>
        <w:tc>
          <w:tcPr>
            <w:tcW w:w="1907" w:type="dxa"/>
            <w:tcBorders>
              <w:top w:val="single" w:sz="4" w:space="0" w:color="auto"/>
              <w:left w:val="nil"/>
              <w:bottom w:val="single" w:sz="4" w:space="0" w:color="auto"/>
              <w:right w:val="nil"/>
            </w:tcBorders>
            <w:shd w:val="clear" w:color="auto" w:fill="D0CECE" w:themeFill="background2" w:themeFillShade="E6"/>
            <w:vAlign w:val="center"/>
          </w:tcPr>
          <w:p w14:paraId="1B246E73" w14:textId="77777777" w:rsidR="004A3C29" w:rsidRPr="009166E3" w:rsidRDefault="004A3C29" w:rsidP="00A46F82">
            <w:pPr>
              <w:rPr>
                <w:rFonts w:ascii="Arial" w:hAnsi="Arial" w:cs="Arial"/>
                <w:bCs/>
                <w:sz w:val="16"/>
                <w:szCs w:val="16"/>
              </w:rPr>
            </w:pPr>
          </w:p>
        </w:tc>
      </w:tr>
      <w:tr w:rsidR="004A3C29" w:rsidRPr="009166E3" w14:paraId="3606E7C5" w14:textId="77777777" w:rsidTr="00A46F82">
        <w:tc>
          <w:tcPr>
            <w:tcW w:w="2779" w:type="dxa"/>
            <w:tcBorders>
              <w:top w:val="single" w:sz="4" w:space="0" w:color="auto"/>
              <w:left w:val="nil"/>
              <w:bottom w:val="single" w:sz="4" w:space="0" w:color="auto"/>
              <w:right w:val="nil"/>
            </w:tcBorders>
          </w:tcPr>
          <w:p w14:paraId="3076DB4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&lt;11</w:t>
            </w:r>
          </w:p>
        </w:tc>
        <w:tc>
          <w:tcPr>
            <w:tcW w:w="1123" w:type="dxa"/>
            <w:tcBorders>
              <w:top w:val="single" w:sz="4" w:space="0" w:color="auto"/>
              <w:left w:val="nil"/>
              <w:bottom w:val="single" w:sz="4" w:space="0" w:color="auto"/>
              <w:right w:val="nil"/>
            </w:tcBorders>
          </w:tcPr>
          <w:p w14:paraId="5AC7D6A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96.8%</w:t>
            </w:r>
          </w:p>
        </w:tc>
        <w:tc>
          <w:tcPr>
            <w:tcW w:w="1418" w:type="dxa"/>
            <w:tcBorders>
              <w:top w:val="single" w:sz="4" w:space="0" w:color="auto"/>
              <w:left w:val="nil"/>
              <w:bottom w:val="single" w:sz="4" w:space="0" w:color="auto"/>
              <w:right w:val="nil"/>
            </w:tcBorders>
          </w:tcPr>
          <w:p w14:paraId="3F8217D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95%,98%</w:t>
            </w:r>
          </w:p>
        </w:tc>
        <w:tc>
          <w:tcPr>
            <w:tcW w:w="1799" w:type="dxa"/>
            <w:tcBorders>
              <w:top w:val="single" w:sz="4" w:space="0" w:color="auto"/>
              <w:left w:val="nil"/>
              <w:bottom w:val="single" w:sz="4" w:space="0" w:color="auto"/>
              <w:right w:val="nil"/>
            </w:tcBorders>
          </w:tcPr>
          <w:p w14:paraId="7CDA3B4B"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611;β</w:t>
            </w:r>
            <w:proofErr w:type="gramEnd"/>
            <w:r w:rsidRPr="009166E3">
              <w:rPr>
                <w:rFonts w:ascii="Arial" w:hAnsi="Arial" w:cs="Arial"/>
                <w:bCs/>
                <w:sz w:val="16"/>
                <w:szCs w:val="16"/>
              </w:rPr>
              <w:t>=20)</w:t>
            </w:r>
          </w:p>
        </w:tc>
        <w:tc>
          <w:tcPr>
            <w:tcW w:w="1907" w:type="dxa"/>
            <w:tcBorders>
              <w:top w:val="single" w:sz="4" w:space="0" w:color="auto"/>
              <w:left w:val="nil"/>
              <w:bottom w:val="single" w:sz="4" w:space="0" w:color="auto"/>
              <w:right w:val="nil"/>
            </w:tcBorders>
            <w:vAlign w:val="center"/>
          </w:tcPr>
          <w:p w14:paraId="5B21AD6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TAILORx</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{"citationItems":[{"id":"ITEM-1","itemData":{"DOI":"10.1056/NEJMoa1804710","ISSN":"0028-4793","abstract":"BACKGROUND: The recurrence score based on the 21-gene breast cancer assay predicts chemotherapy benefit if it is high and a low risk of recurrence in the absence of chemotherapy if it is low; however, there is uncertainty about the benefit of chemotherapy for most patients, who have a midrange score. METHODS: We performed a prospective trial involving 10,273 women with hormone-receptor-positive, human epidermal growth factor receptor 2 (HER2)-negative, axillary node-negative breast cancer. Of the 9719 eligible patients with follow-up information, 6711 (69%) had a midrange recurrence score of 11 to 25 and were randomly assigned to receive either chemoendocrine therapy or endocrine therapy alone. The trial was designed to show noninferiority of endocrine therapy alone for invasive disease-free survival (defined as freedom from invasive disease recurrence, second primary cancer, or death). RESULTS: Endocrine therapy was noninferior to chemoendocrine therapy in the analysis of invasive disease-free survival (hazard ratio for invasive disease recurrence, second primary cancer, or death [endocrine vs. chemoendocrine therapy], 1.08; 95% confidence interval, 0.94 to 1.24; P = 0.26). At 9 years, the two treatment groups had similar rates of invasive disease-free survival (83.3% in the endocrine-therapy group and 84.3% in the chemoendocrine-therapy group), freedom from disease recurrence at a distant site (94.5% and 95.0%) or at a distant or local-regional site (92.2% and 92.9%), and overall survival (93.9% and 93.8%). The chemotherapy benefit for invasive disease-free survival varied with the combination of recurrence score and age (P = 0.004), with some benefit of chemotherapy found in women 50 years of age or younger with a recurrence score of 16 to 25. CONCLUSIONS: Adjuvant endocrine therapy and chemoendocrine therapy had similar efficacy in women with hormone-receptor-positive, HER2-negative, axillary node-negative breast cancer who had a midrange 21-gene recurrence score, although some benefit of chemotherapy was found in some women 50 years of age or younger.","author":[{"dropping-particle":"","family":"Sparano","given":"Joseph A.","non-dropping-particle":"","parse-names":false,"suffix":""},{"dropping-particle":"","family":"Gray","given":"Robert J.","non-dropping-particle":"","parse-names":false,"suffix":""},{"dropping-particle":"","family":"Makower","given":"Della F.","non-dropping-particle":"","parse-names":false,"suffix":""},{"dropping-particle":"","family":"Pritchard","given":"Kathleen I.","non-dropping-particle":"","parse-names":false,"suffix":""},{"dropping-particle":"","family":"Albain","given":"Kathy S.","non-dropping-particle":"","parse-names":false,"suffix":""},{"dropping-particle":"","family":"Hayes","given":"Daniel F.","non-dropping-particle":"","parse-names":false,"suffix":""},{"dropping-particle":"","family":"Geyer","given":"Charles E.","non-dropping-particle":"","parse-names":false,"suffix":""},{"dropping-particle":"","family":"Dees","given":"Elizabeth C.","non-dropping-particle":"","parse-names":false,"suffix":""},{"dropping-particle":"","family":"Goetz","given":"Matthew P.","non-dropping-particle":"","parse-names":false,"suffix":""},{"dropping-particle":"","family":"Olson","given":"John A.","non-dropping-particle":"","parse-names":false,"suffix":""},{"dropping-particle":"","family":"Lively","given":"Tracy","non-dropping-particle":"","parse-names":false,"suffix":""},{"dropping-particle":"","family":"Badve","given":"Sunil S.","non-dropping-particle":"","parse-names":false,"suffix":""},{"dropping-particle":"","family":"Saphner","given":"Thomas J.","non-dropping-particle":"","parse-names":false,"suffix":""},{"dropping-particle":"","family":"Wagner","given":"Lynne I.","non-dropping-particle":"","parse-names":false,"suffix":""},{"dropping-particle":"","family":"Whelan","given":"Timothy J.","non-dropping-particle":"","parse-names":false,"suffix":""},{"dropping-particle":"","family":"Ellis","given":"Matthew J.","non-dropping-particle":"","parse-names":false,"suffix":""},{"dropping-particle":"","family":"Paik","given":"Soonmyung","non-dropping-particle":"","parse-names":false,"suffix":""},{"dropping-particle":"","family":"Wood","given":"William C.","non-dropping-particle":"","parse-names":false,"suffix":""},{"dropping-particle":"","family":"Ravdin","given":"Peter M.","non-dropping-particle":"","parse-names":false,"suffix":""},{"dropping-particle":"","family":"Keane","given":"Maccon M.","non-dropping-particle":"","parse-names":false,"suffix":""},{"dropping-particle":"","family":"Gomez Moreno","given":"Henry L.","non-dropping-particle":"","parse-names":false,"suffix":""},{"dropping-particle":"","family":"Reddy","given":"Pavan S.","non-dropping-particle":"","parse-names":false,"suffix":""},{"dropping-particle":"","family":"Goggins","given":"Timothy F.","non-dropping-particle":"","parse-names":false,"suffix":""},{"dropping-particle":"","family":"Mayer","given":"Ingrid A.","non-dropping-particle":"","parse-names":false,"suffix":""},{"dropping-particle":"","family":"Brufsky","given":"Adam M.","non-dropping-particle":"","parse-names":false,"suffix":""},{"dropping-particle":"","family":"Toppmeyer","given":"Deborah L.","non-dropping-particle":"","parse-names":false,"suffix":""},{"dropping-particle":"","family":"Kaklamani","given":"Virginia G.","non-dropping-particle":"","parse-names":false,"suffix":""},{"dropping-particle":"","family":"Berenberg","given":"Jeffrey L.","non-dropping-particle":"","parse-names":false,"suffix":""},{"dropping-particle":"","family":"Abrams","given":"Jeffrey","non-dropping-particle":"","parse-names":false,"suffix":""},{"dropping-particle":"","family":"Sledge","given":"George W.","non-dropping-particle":"","parse-names":false,"suffix":""}],"container-title":"New England Journal of Medicine","id":"ITEM-1","issue":"2","issued":{"date-parts":[["2018","7","12"]]},"page":"111-121","publisher":"Massachussetts Medical Society","title":"Adjuvant Chemotherapy Guided by a 21-Gene Expression Assay in Breast Cancer","type":"article-journal","volume":"379"},"uris":["http://www.mendeley.com/documents/?uuid=1712b981-0f76-3468-9b72-264bed7e4b21"]}],"mendeley":{"formattedCitation":"&lt;sup&gt;7&lt;/sup&gt;","plainTextFormattedCitation":"7","previouslyFormattedCitation":"&lt;sup&gt;15&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7</w:t>
            </w:r>
            <w:r w:rsidRPr="009166E3">
              <w:rPr>
                <w:rFonts w:ascii="Arial" w:hAnsi="Arial" w:cs="Arial"/>
                <w:bCs/>
                <w:sz w:val="16"/>
                <w:szCs w:val="16"/>
              </w:rPr>
              <w:fldChar w:fldCharType="end"/>
            </w:r>
            <w:r w:rsidRPr="009166E3">
              <w:rPr>
                <w:rFonts w:ascii="Arial" w:hAnsi="Arial" w:cs="Arial"/>
                <w:bCs/>
                <w:sz w:val="16"/>
                <w:szCs w:val="16"/>
              </w:rPr>
              <w:t xml:space="preserve"> </w:t>
            </w:r>
          </w:p>
        </w:tc>
      </w:tr>
      <w:tr w:rsidR="004A3C29" w:rsidRPr="009166E3" w14:paraId="2C3977B6" w14:textId="77777777" w:rsidTr="00A46F82">
        <w:tc>
          <w:tcPr>
            <w:tcW w:w="2779" w:type="dxa"/>
            <w:tcBorders>
              <w:top w:val="single" w:sz="4" w:space="0" w:color="auto"/>
              <w:left w:val="nil"/>
              <w:bottom w:val="single" w:sz="4" w:space="0" w:color="auto"/>
              <w:right w:val="nil"/>
            </w:tcBorders>
          </w:tcPr>
          <w:p w14:paraId="41F63AB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11-25</w:t>
            </w:r>
          </w:p>
        </w:tc>
        <w:tc>
          <w:tcPr>
            <w:tcW w:w="1123" w:type="dxa"/>
            <w:tcBorders>
              <w:top w:val="single" w:sz="4" w:space="0" w:color="auto"/>
              <w:left w:val="nil"/>
              <w:bottom w:val="single" w:sz="4" w:space="0" w:color="auto"/>
              <w:right w:val="nil"/>
            </w:tcBorders>
          </w:tcPr>
          <w:p w14:paraId="1E38847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94.5%</w:t>
            </w:r>
          </w:p>
        </w:tc>
        <w:tc>
          <w:tcPr>
            <w:tcW w:w="1418" w:type="dxa"/>
            <w:tcBorders>
              <w:top w:val="single" w:sz="4" w:space="0" w:color="auto"/>
              <w:left w:val="nil"/>
              <w:bottom w:val="single" w:sz="4" w:space="0" w:color="auto"/>
              <w:right w:val="nil"/>
            </w:tcBorders>
          </w:tcPr>
          <w:p w14:paraId="793F4D6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94%,96%</w:t>
            </w:r>
          </w:p>
        </w:tc>
        <w:tc>
          <w:tcPr>
            <w:tcW w:w="1799" w:type="dxa"/>
            <w:tcBorders>
              <w:top w:val="single" w:sz="4" w:space="0" w:color="auto"/>
              <w:left w:val="nil"/>
              <w:bottom w:val="single" w:sz="4" w:space="0" w:color="auto"/>
              <w:right w:val="nil"/>
            </w:tcBorders>
          </w:tcPr>
          <w:p w14:paraId="0C88754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1964;β</w:t>
            </w:r>
            <w:proofErr w:type="gramEnd"/>
            <w:r w:rsidRPr="009166E3">
              <w:rPr>
                <w:rFonts w:ascii="Arial" w:hAnsi="Arial" w:cs="Arial"/>
                <w:bCs/>
                <w:sz w:val="16"/>
                <w:szCs w:val="16"/>
              </w:rPr>
              <w:t>=114)</w:t>
            </w:r>
          </w:p>
        </w:tc>
        <w:tc>
          <w:tcPr>
            <w:tcW w:w="1907" w:type="dxa"/>
            <w:tcBorders>
              <w:top w:val="single" w:sz="4" w:space="0" w:color="auto"/>
              <w:left w:val="nil"/>
              <w:bottom w:val="single" w:sz="4" w:space="0" w:color="auto"/>
              <w:right w:val="nil"/>
            </w:tcBorders>
            <w:vAlign w:val="center"/>
          </w:tcPr>
          <w:p w14:paraId="6A07118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TAILORx</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{"citationItems":[{"id":"ITEM-1","itemData":{"DOI":"10.1056/NEJMoa1804710","ISSN":"0028-4793","abstract":"BACKGROUND: The recurrence score based on the 21-gene breast cancer assay predicts chemotherapy benefit if it is high and a low risk of recurrence in the absence of chemotherapy if it is low; however, there is uncertainty about the benefit of chemotherapy for most patients, who have a midrange score. METHODS: We performed a prospective trial involving 10,273 women with hormone-receptor-positive, human epidermal growth factor receptor 2 (HER2)-negative, axillary node-negative breast cancer. Of the 9719 eligible patients with follow-up information, 6711 (69%) had a midrange recurrence score of 11 to 25 and were randomly assigned to receive either chemoendocrine therapy or endocrine therapy alone. The trial was designed to show noninferiority of endocrine therapy alone for invasive disease-free survival (defined as freedom from invasive disease recurrence, second primary cancer, or death). RESULTS: Endocrine therapy was noninferior to chemoendocrine therapy in the analysis of invasive disease-free survival (hazard ratio for invasive disease recurrence, second primary cancer, or death [endocrine vs. chemoendocrine therapy], 1.08; 95% confidence interval, 0.94 to 1.24; P = 0.26). At 9 years, the two treatment groups had similar rates of invasive disease-free survival (83.3% in the endocrine-therapy group and 84.3% in the chemoendocrine-therapy group), freedom from disease recurrence at a distant site (94.5% and 95.0%) or at a distant or local-regional site (92.2% and 92.9%), and overall survival (93.9% and 93.8%). The chemotherapy benefit for invasive disease-free survival varied with the combination of recurrence score and age (P = 0.004), with some benefit of chemotherapy found in women 50 years of age or younger with a recurrence score of 16 to 25. CONCLUSIONS: Adjuvant endocrine therapy and chemoendocrine therapy had similar efficacy in women with hormone-receptor-positive, HER2-negative, axillary node-negative breast cancer who had a midrange 21-gene recurrence score, although some benefit of chemotherapy was found in some women 50 years of age or younger.","author":[{"dropping-particle":"","family":"Sparano","given":"Joseph A.","non-dropping-particle":"","parse-names":false,"suffix":""},{"dropping-particle":"","family":"Gray","given":"Robert J.","non-dropping-particle":"","parse-names":false,"suffix":""},{"dropping-particle":"","family":"Makower","given":"Della F.","non-dropping-particle":"","parse-names":false,"suffix":""},{"dropping-particle":"","family":"Pritchard","given":"Kathleen I.","non-dropping-particle":"","parse-names":false,"suffix":""},{"dropping-particle":"","family":"Albain","given":"Kathy S.","non-dropping-particle":"","parse-names":false,"suffix":""},{"dropping-particle":"","family":"Hayes","given":"Daniel F.","non-dropping-particle":"","parse-names":false,"suffix":""},{"dropping-particle":"","family":"Geyer","given":"Charles E.","non-dropping-particle":"","parse-names":false,"suffix":""},{"dropping-particle":"","family":"Dees","given":"Elizabeth C.","non-dropping-particle":"","parse-names":false,"suffix":""},{"dropping-particle":"","family":"Goetz","given":"Matthew P.","non-dropping-particle":"","parse-names":false,"suffix":""},{"dropping-particle":"","family":"Olson","given":"John A.","non-dropping-particle":"","parse-names":false,"suffix":""},{"dropping-particle":"","family":"Lively","given":"Tracy","non-dropping-particle":"","parse-names":false,"suffix":""},{"dropping-particle":"","family":"Badve","given":"Sunil S.","non-dropping-particle":"","parse-names":false,"suffix":""},{"dropping-particle":"","family":"Saphner","given":"Thomas J.","non-dropping-particle":"","parse-names":false,"suffix":""},{"dropping-particle":"","family":"Wagner","given":"Lynne I.","non-dropping-particle":"","parse-names":false,"suffix":""},{"dropping-particle":"","family":"Whelan","given":"Timothy J.","non-dropping-particle":"","parse-names":false,"suffix":""},{"dropping-particle":"","family":"Ellis","given":"Matthew J.","non-dropping-particle":"","parse-names":false,"suffix":""},{"dropping-particle":"","family":"Paik","given":"Soonmyung","non-dropping-particle":"","parse-names":false,"suffix":""},{"dropping-particle":"","family":"Wood","given":"William C.","non-dropping-particle":"","parse-names":false,"suffix":""},{"dropping-particle":"","family":"Ravdin","given":"Peter M.","non-dropping-particle":"","parse-names":false,"suffix":""},{"dropping-particle":"","family":"Keane","given":"Maccon M.","non-dropping-particle":"","parse-names":false,"suffix":""},{"dropping-particle":"","family":"Gomez Moreno","given":"Henry L.","non-dropping-particle":"","parse-names":false,"suffix":""},{"dropping-particle":"","family":"Reddy","given":"Pavan S.","non-dropping-particle":"","parse-names":false,"suffix":""},{"dropping-particle":"","family":"Goggins","given":"Timothy F.","non-dropping-particle":"","parse-names":false,"suffix":""},{"dropping-particle":"","family":"Mayer","given":"Ingrid A.","non-dropping-particle":"","parse-names":false,"suffix":""},{"dropping-particle":"","family":"Brufsky","given":"Adam M.","non-dropping-particle":"","parse-names":false,"suffix":""},{"dropping-particle":"","family":"Toppmeyer","given":"Deborah L.","non-dropping-particle":"","parse-names":false,"suffix":""},{"dropping-particle":"","family":"Kaklamani","given":"Virginia G.","non-dropping-particle":"","parse-names":false,"suffix":""},{"dropping-particle":"","family":"Berenberg","given":"Jeffrey L.","non-dropping-particle":"","parse-names":false,"suffix":""},{"dropping-particle":"","family":"Abrams","given":"Jeffrey","non-dropping-particle":"","parse-names":false,"suffix":""},{"dropping-particle":"","family":"Sledge","given":"George W.","non-dropping-particle":"","parse-names":false,"suffix":""}],"container-title":"New England Journal of Medicine","id":"ITEM-1","issue":"2","issued":{"date-parts":[["2018","7","12"]]},"page":"111-121","publisher":"Massachussetts Medical Society","title":"Adjuvant Chemotherapy Guided by a 21-Gene Expression Assay in Breast Cancer","type":"article-journal","volume":"379"},"uris":["http://www.mendeley.com/documents/?uuid=1712b981-0f76-3468-9b72-264bed7e4b21"]}],"mendeley":{"formattedCitation":"&lt;sup&gt;7&lt;/sup&gt;","plainTextFormattedCitation":"7","previouslyFormattedCitation":"&lt;sup&gt;15&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7</w:t>
            </w:r>
            <w:r w:rsidRPr="009166E3">
              <w:rPr>
                <w:rFonts w:ascii="Arial" w:hAnsi="Arial" w:cs="Arial"/>
                <w:bCs/>
                <w:sz w:val="16"/>
                <w:szCs w:val="16"/>
              </w:rPr>
              <w:fldChar w:fldCharType="end"/>
            </w:r>
          </w:p>
        </w:tc>
      </w:tr>
      <w:tr w:rsidR="004A3C29" w:rsidRPr="009166E3" w14:paraId="116ED600" w14:textId="77777777" w:rsidTr="00A46F82">
        <w:tc>
          <w:tcPr>
            <w:tcW w:w="2779" w:type="dxa"/>
            <w:tcBorders>
              <w:top w:val="single" w:sz="4" w:space="0" w:color="auto"/>
              <w:left w:val="nil"/>
              <w:bottom w:val="single" w:sz="4" w:space="0" w:color="auto"/>
              <w:right w:val="nil"/>
            </w:tcBorders>
          </w:tcPr>
          <w:p w14:paraId="33B2560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&gt;25</w:t>
            </w:r>
          </w:p>
        </w:tc>
        <w:tc>
          <w:tcPr>
            <w:tcW w:w="1123" w:type="dxa"/>
            <w:tcBorders>
              <w:top w:val="single" w:sz="4" w:space="0" w:color="auto"/>
              <w:left w:val="nil"/>
              <w:bottom w:val="single" w:sz="4" w:space="0" w:color="auto"/>
              <w:right w:val="nil"/>
            </w:tcBorders>
          </w:tcPr>
          <w:p w14:paraId="5B9A833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62.0%</w:t>
            </w:r>
          </w:p>
        </w:tc>
        <w:tc>
          <w:tcPr>
            <w:tcW w:w="1418" w:type="dxa"/>
            <w:tcBorders>
              <w:top w:val="single" w:sz="4" w:space="0" w:color="auto"/>
              <w:left w:val="nil"/>
              <w:bottom w:val="single" w:sz="4" w:space="0" w:color="auto"/>
              <w:right w:val="nil"/>
            </w:tcBorders>
          </w:tcPr>
          <w:p w14:paraId="51A88B7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48%,81%</w:t>
            </w:r>
          </w:p>
        </w:tc>
        <w:tc>
          <w:tcPr>
            <w:tcW w:w="1799" w:type="dxa"/>
            <w:tcBorders>
              <w:top w:val="single" w:sz="4" w:space="0" w:color="auto"/>
              <w:left w:val="nil"/>
              <w:bottom w:val="single" w:sz="4" w:space="0" w:color="auto"/>
              <w:right w:val="nil"/>
            </w:tcBorders>
          </w:tcPr>
          <w:p w14:paraId="49FABD0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20;β</w:t>
            </w:r>
            <w:proofErr w:type="gramEnd"/>
            <w:r w:rsidRPr="009166E3">
              <w:rPr>
                <w:rFonts w:ascii="Arial" w:hAnsi="Arial" w:cs="Arial"/>
                <w:bCs/>
                <w:sz w:val="16"/>
                <w:szCs w:val="16"/>
              </w:rPr>
              <w:t>=12)</w:t>
            </w:r>
          </w:p>
        </w:tc>
        <w:tc>
          <w:tcPr>
            <w:tcW w:w="1907" w:type="dxa"/>
            <w:tcBorders>
              <w:top w:val="single" w:sz="4" w:space="0" w:color="auto"/>
              <w:left w:val="nil"/>
              <w:bottom w:val="single" w:sz="4" w:space="0" w:color="auto"/>
              <w:right w:val="nil"/>
            </w:tcBorders>
            <w:vAlign w:val="center"/>
          </w:tcPr>
          <w:p w14:paraId="33319D5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B-20</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{"citationItems":[{"id":"ITEM-1","itemData":{"DOI":"10.1038/s41523-018-0090-6","ISSN":"23744677","abstract":"The NSABP B-20 prospective-retrospective study of the 21-gene Oncotype DX Breast Cancer Recurrence Score® test predicted benefit from addition of chemotherapy to tamoxifen in node-negative, estrogen-receptor positive breast cancer when recurrence score (RS) was ≥31. HER2 is a component of the RS algorithm with a positive coefficient and contributes to higher RS values. Accrual to B-20 occurred prior to routine testing for HER2, so questions have arisen regarding assay performance if HER2-positive patients were identified and excluded. We report an exploratory reanalysis of the B-20, 21-gene study following exclusion of such patients. Patients were considered HER2 positive if quantitative RT-PCR for HER2 was ≥11.5 units, and excluded from re-analyses performed using the original cutoffs: &lt;18, 18–30, ≥31, and the TAILORx cutoffs: &lt;11, 11–25, &gt;25. The endpoint remained distant recurrence-free interval (DRFI) as in the original study. Distribution was estimated via the Kaplan–Meier method and compared via log-rank test. Multivariate Cox proportional hazards models estimated chemotherapy benefit in each group. In the RS &lt; 18 and 18–30 groups, 1.7 and 6.7% were HER2 positive. In the RS ≥ 31 group, 41% were HER2 positive. Exclusion resulted in fewer events, with loss of significance for benefit from chemotherapy in the overall HER2-negative cohort (log-rank P = 0.06), but substantial benefit from chemotherapy remained in the RS ≥ 31 cohort (HR = 0.18; 95% CI: 0.07–0.47) and the RS &gt; 25 cohort (HR = 0.28; 95% CI: 0.12–0.64). No benefit from chemotherapy was evident in the other RS groups. Following exclusion of HER2-positive patients based on RT-PCR expression, substantial benefit of chemotherapy remained for RS ≥ 31 as originally employed, and with RS &gt; 25 employed in TAILORx.","author":[{"dropping-particle":"","family":"Geyer","given":"Charles E.","non-dropping-particle":"","parse-names":false,"suffix":""},{"dropping-particle":"","family":"Tang","given":"Gong","non-dropping-particle":"","parse-names":false,"suffix":""},{"dropping-particle":"","family":"Mamounas","given":"Eleftherios P.","non-dropping-particle":"","parse-names":false,"suffix":""},{"dropping-particle":"","family":"Rastogi","given":"Priya","non-dropping-particle":"","parse-names":false,"suffix":""},{"dropping-particle":"","family":"Paik","given":"Soonmyung","non-dropping-particle":"","parse-names":false,"suffix":""},{"dropping-particle":"","family":"Shak","given":"Steven","non-dropping-particle":"","parse-names":false,"suffix":""},{"dropping-particle":"","family":"Baehner","given":"Frederick L.","non-dropping-particle":"","parse-names":false,"suffix":""},{"dropping-particle":"","family":"Crager","given":"Michael","non-dropping-particle":"","parse-names":false,"suffix":""},{"dropping-particle":"","family":"Wickerham","given":"D. Lawrence","non-dropping-particle":"","parse-names":false,"suffix":""},{"dropping-particle":"","family":"Costantino","given":"Joseph P.","non-dropping-particle":"","parse-names":false,"suffix":""},{"dropping-particle":"","family":"Wolmark","given":"Norman","non-dropping-particle":"","parse-names":false,"suffix":""}],"container-title":"npj Breast Cancer","id":"ITEM-1","issue":"1","issued":{"date-parts":[["2018","12","1"]]},"publisher":"Nature Publishing Group","title":"21-Gene assay as predictor of chemotherapy benefit in HER2-negative breast cancer","type":"article-journal","volume":"4"},"uris":["http://www.mendeley.com/documents/?uuid=0a60600a-d1b9-3a99-aca6-43a0db66eddd"]}],"mendeley":{"formattedCitation":"&lt;sup&gt;10&lt;/sup&gt;","plainTextFormattedCitation":"10","previouslyFormattedCitation":"&lt;sup&gt;16&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10</w:t>
            </w:r>
            <w:r w:rsidRPr="009166E3">
              <w:rPr>
                <w:rFonts w:ascii="Arial" w:hAnsi="Arial" w:cs="Arial"/>
                <w:bCs/>
                <w:sz w:val="16"/>
                <w:szCs w:val="16"/>
              </w:rPr>
              <w:fldChar w:fldCharType="end"/>
            </w:r>
          </w:p>
        </w:tc>
      </w:tr>
      <w:tr w:rsidR="004A3C29" w:rsidRPr="009166E3" w14:paraId="68D6AA95" w14:textId="77777777" w:rsidTr="00A46F82">
        <w:tc>
          <w:tcPr>
            <w:tcW w:w="2779" w:type="dxa"/>
            <w:tcBorders>
              <w:top w:val="single" w:sz="4" w:space="0" w:color="auto"/>
              <w:left w:val="nil"/>
              <w:bottom w:val="single" w:sz="4" w:space="0" w:color="auto"/>
              <w:right w:val="nil"/>
            </w:tcBorders>
            <w:shd w:val="clear" w:color="auto" w:fill="D0CECE" w:themeFill="background2" w:themeFillShade="E6"/>
          </w:tcPr>
          <w:p w14:paraId="64146FF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HR of DR with chemotherapy</w:t>
            </w:r>
          </w:p>
        </w:tc>
        <w:tc>
          <w:tcPr>
            <w:tcW w:w="1123" w:type="dxa"/>
            <w:tcBorders>
              <w:top w:val="single" w:sz="4" w:space="0" w:color="auto"/>
              <w:left w:val="nil"/>
              <w:bottom w:val="single" w:sz="4" w:space="0" w:color="auto"/>
              <w:right w:val="nil"/>
            </w:tcBorders>
            <w:shd w:val="clear" w:color="auto" w:fill="D0CECE" w:themeFill="background2" w:themeFillShade="E6"/>
          </w:tcPr>
          <w:p w14:paraId="7F18A993" w14:textId="77777777" w:rsidR="004A3C29" w:rsidRPr="009166E3" w:rsidRDefault="004A3C29" w:rsidP="00A46F82">
            <w:pPr>
              <w:rPr>
                <w:rFonts w:ascii="Arial" w:hAnsi="Arial" w:cs="Arial"/>
                <w:bCs/>
                <w:sz w:val="16"/>
                <w:szCs w:val="16"/>
              </w:rPr>
            </w:pPr>
          </w:p>
        </w:tc>
        <w:tc>
          <w:tcPr>
            <w:tcW w:w="1418" w:type="dxa"/>
            <w:tcBorders>
              <w:top w:val="single" w:sz="4" w:space="0" w:color="auto"/>
              <w:left w:val="nil"/>
              <w:bottom w:val="single" w:sz="4" w:space="0" w:color="auto"/>
              <w:right w:val="nil"/>
            </w:tcBorders>
            <w:shd w:val="clear" w:color="auto" w:fill="D0CECE" w:themeFill="background2" w:themeFillShade="E6"/>
          </w:tcPr>
          <w:p w14:paraId="702E71D9" w14:textId="77777777" w:rsidR="004A3C29" w:rsidRPr="009166E3" w:rsidRDefault="004A3C29" w:rsidP="00A46F82">
            <w:pPr>
              <w:rPr>
                <w:rFonts w:ascii="Arial" w:hAnsi="Arial" w:cs="Arial"/>
                <w:bCs/>
                <w:sz w:val="16"/>
                <w:szCs w:val="16"/>
              </w:rPr>
            </w:pPr>
          </w:p>
        </w:tc>
        <w:tc>
          <w:tcPr>
            <w:tcW w:w="1799" w:type="dxa"/>
            <w:tcBorders>
              <w:top w:val="single" w:sz="4" w:space="0" w:color="auto"/>
              <w:left w:val="nil"/>
              <w:bottom w:val="single" w:sz="4" w:space="0" w:color="auto"/>
              <w:right w:val="nil"/>
            </w:tcBorders>
            <w:shd w:val="clear" w:color="auto" w:fill="D0CECE" w:themeFill="background2" w:themeFillShade="E6"/>
          </w:tcPr>
          <w:p w14:paraId="40D27F01" w14:textId="77777777" w:rsidR="004A3C29" w:rsidRPr="009166E3" w:rsidRDefault="004A3C29" w:rsidP="00A46F82">
            <w:pPr>
              <w:rPr>
                <w:rFonts w:ascii="Arial" w:hAnsi="Arial" w:cs="Arial"/>
                <w:bCs/>
                <w:sz w:val="16"/>
                <w:szCs w:val="16"/>
              </w:rPr>
            </w:pPr>
          </w:p>
        </w:tc>
        <w:tc>
          <w:tcPr>
            <w:tcW w:w="1907" w:type="dxa"/>
            <w:tcBorders>
              <w:top w:val="single" w:sz="4" w:space="0" w:color="auto"/>
              <w:left w:val="nil"/>
              <w:bottom w:val="single" w:sz="4" w:space="0" w:color="auto"/>
              <w:right w:val="nil"/>
            </w:tcBorders>
            <w:shd w:val="clear" w:color="auto" w:fill="D0CECE" w:themeFill="background2" w:themeFillShade="E6"/>
            <w:vAlign w:val="center"/>
          </w:tcPr>
          <w:p w14:paraId="665F15DD" w14:textId="77777777" w:rsidR="004A3C29" w:rsidRPr="009166E3" w:rsidRDefault="004A3C29" w:rsidP="00A46F82">
            <w:pPr>
              <w:rPr>
                <w:rFonts w:ascii="Arial" w:hAnsi="Arial" w:cs="Arial"/>
                <w:bCs/>
                <w:sz w:val="16"/>
                <w:szCs w:val="16"/>
              </w:rPr>
            </w:pPr>
          </w:p>
        </w:tc>
      </w:tr>
      <w:tr w:rsidR="004A3C29" w:rsidRPr="009166E3" w14:paraId="58B4E05C" w14:textId="77777777" w:rsidTr="00A46F82">
        <w:tc>
          <w:tcPr>
            <w:tcW w:w="2779" w:type="dxa"/>
            <w:tcBorders>
              <w:top w:val="single" w:sz="4" w:space="0" w:color="auto"/>
              <w:left w:val="nil"/>
              <w:bottom w:val="single" w:sz="4" w:space="0" w:color="auto"/>
              <w:right w:val="nil"/>
            </w:tcBorders>
          </w:tcPr>
          <w:p w14:paraId="0E5AF42B"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&lt;11</w:t>
            </w:r>
          </w:p>
        </w:tc>
        <w:tc>
          <w:tcPr>
            <w:tcW w:w="1123" w:type="dxa"/>
            <w:tcBorders>
              <w:top w:val="single" w:sz="4" w:space="0" w:color="auto"/>
              <w:left w:val="nil"/>
              <w:bottom w:val="single" w:sz="4" w:space="0" w:color="auto"/>
              <w:right w:val="nil"/>
            </w:tcBorders>
          </w:tcPr>
          <w:p w14:paraId="5255C78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1.19</w:t>
            </w:r>
          </w:p>
        </w:tc>
        <w:tc>
          <w:tcPr>
            <w:tcW w:w="1418" w:type="dxa"/>
            <w:tcBorders>
              <w:top w:val="single" w:sz="4" w:space="0" w:color="auto"/>
              <w:left w:val="nil"/>
              <w:bottom w:val="single" w:sz="4" w:space="0" w:color="auto"/>
              <w:right w:val="nil"/>
            </w:tcBorders>
          </w:tcPr>
          <w:p w14:paraId="3FD4387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0.41,3.51</w:t>
            </w:r>
          </w:p>
        </w:tc>
        <w:tc>
          <w:tcPr>
            <w:tcW w:w="1799" w:type="dxa"/>
            <w:tcBorders>
              <w:top w:val="single" w:sz="4" w:space="0" w:color="auto"/>
              <w:left w:val="nil"/>
              <w:bottom w:val="single" w:sz="4" w:space="0" w:color="auto"/>
              <w:right w:val="nil"/>
            </w:tcBorders>
          </w:tcPr>
          <w:p w14:paraId="4B8736C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2;θ</w:t>
            </w:r>
            <w:proofErr w:type="gramEnd"/>
            <w:r w:rsidRPr="009166E3">
              <w:rPr>
                <w:rFonts w:ascii="Arial" w:hAnsi="Arial" w:cs="Arial"/>
                <w:bCs/>
                <w:sz w:val="16"/>
                <w:szCs w:val="16"/>
              </w:rPr>
              <w:t>=0.53)</w:t>
            </w:r>
          </w:p>
        </w:tc>
        <w:tc>
          <w:tcPr>
            <w:tcW w:w="1907" w:type="dxa"/>
            <w:tcBorders>
              <w:top w:val="single" w:sz="4" w:space="0" w:color="auto"/>
              <w:left w:val="nil"/>
              <w:bottom w:val="single" w:sz="4" w:space="0" w:color="auto"/>
              <w:right w:val="nil"/>
            </w:tcBorders>
            <w:vAlign w:val="center"/>
          </w:tcPr>
          <w:p w14:paraId="1D4E1CD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NASBP B-20</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{"citationItems":[{"id":"ITEM-1","itemData":{"DOI":"10.1038/s41523-018-0090-6","ISSN":"23744677","abstract":"The NSABP B-20 prospective-retrospective study of the 21-gene Oncotype DX Breast Cancer Recurrence Score® test predicted benefit from addition of chemotherapy to tamoxifen in node-negative, estrogen-receptor positive breast cancer when recurrence score (RS) was ≥31. HER2 is a component of the RS algorithm with a positive coefficient and contributes to higher RS values. Accrual to B-20 occurred prior to routine testing for HER2, so questions have arisen regarding assay performance if HER2-positive patients were identified and excluded. We report an exploratory reanalysis of the B-20, 21-gene study following exclusion of such patients. Patients were considered HER2 positive if quantitative RT-PCR for HER2 was ≥11.5 units, and excluded from re-analyses performed using the original cutoffs: &lt;18, 18–30, ≥31, and the TAILORx cutoffs: &lt;11, 11–25, &gt;25. The endpoint remained distant recurrence-free interval (DRFI) as in the original study. Distribution was estimated via the Kaplan–Meier method and compared via log-rank test. Multivariate Cox proportional hazards models estimated chemotherapy benefit in each group. In the RS &lt; 18 and 18–30 groups, 1.7 and 6.7% were HER2 positive. In the RS ≥ 31 group, 41% were HER2 positive. Exclusion resulted in fewer events, with loss of significance for benefit from chemotherapy in the overall HER2-negative cohort (log-rank P = 0.06), but substantial benefit from chemotherapy remained in the RS ≥ 31 cohort (HR = 0.18; 95% CI: 0.07–0.47) and the RS &gt; 25 cohort (HR = 0.28; 95% CI: 0.12–0.64). No benefit from chemotherapy was evident in the other RS groups. Following exclusion of HER2-positive patients based on RT-PCR expression, substantial benefit of chemotherapy remained for RS ≥ 31 as originally employed, and with RS &gt; 25 employed in TAILORx.","author":[{"dropping-particle":"","family":"Geyer","given":"Charles E.","non-dropping-particle":"","parse-names":false,"suffix":""},{"dropping-particle":"","family":"Tang","given":"Gong","non-dropping-particle":"","parse-names":false,"suffix":""},{"dropping-particle":"","family":"Mamounas","given":"Eleftherios P.","non-dropping-particle":"","parse-names":false,"suffix":""},{"dropping-particle":"","family":"Rastogi","given":"Priya","non-dropping-particle":"","parse-names":false,"suffix":""},{"dropping-particle":"","family":"Paik","given":"Soonmyung","non-dropping-particle":"","parse-names":false,"suffix":""},{"dropping-particle":"","family":"Shak","given":"Steven","non-dropping-particle":"","parse-names":false,"suffix":""},{"dropping-particle":"","family":"Baehner","given":"Frederick L.","non-dropping-particle":"","parse-names":false,"suffix":""},{"dropping-particle":"","family":"Crager","given":"Michael","non-dropping-particle":"","parse-names":false,"suffix":""},{"dropping-particle":"","family":"Wickerham","given":"D. Lawrence","non-dropping-particle":"","parse-names":false,"suffix":""},{"dropping-particle":"","family":"Costantino","given":"Joseph P.","non-dropping-particle":"","parse-names":false,"suffix":""},{"dropping-particle":"","family":"Wolmark","given":"Norman","non-dropping-particle":"","parse-names":false,"suffix":""}],"container-title":"npj Breast Cancer","id":"ITEM-1","issue":"1","issued":{"date-parts":[["2018","12","1"]]},"publisher":"Nature Publishing Group","title":"21-Gene assay as predictor of chemotherapy benefit in HER2-negative breast cancer","type":"article-journal","volume":"4"},"uris":["http://www.mendeley.com/documents/?uuid=0a60600a-d1b9-3a99-aca6-43a0db66eddd"]}],"mendeley":{"formattedCitation":"&lt;sup&gt;10&lt;/sup&gt;","plainTextFormattedCitation":"10","previouslyFormattedCitation":"&lt;sup&gt;16&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10</w:t>
            </w:r>
            <w:r w:rsidRPr="009166E3">
              <w:rPr>
                <w:rFonts w:ascii="Arial" w:hAnsi="Arial" w:cs="Arial"/>
                <w:bCs/>
                <w:sz w:val="16"/>
                <w:szCs w:val="16"/>
              </w:rPr>
              <w:fldChar w:fldCharType="end"/>
            </w:r>
          </w:p>
        </w:tc>
      </w:tr>
      <w:tr w:rsidR="004A3C29" w:rsidRPr="009166E3" w14:paraId="1E5CF3B5" w14:textId="77777777" w:rsidTr="00A46F82">
        <w:tc>
          <w:tcPr>
            <w:tcW w:w="2779" w:type="dxa"/>
            <w:tcBorders>
              <w:top w:val="single" w:sz="4" w:space="0" w:color="auto"/>
              <w:left w:val="nil"/>
              <w:bottom w:val="single" w:sz="4" w:space="0" w:color="auto"/>
              <w:right w:val="nil"/>
            </w:tcBorders>
          </w:tcPr>
          <w:p w14:paraId="2E10001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11-25</w:t>
            </w:r>
          </w:p>
        </w:tc>
        <w:tc>
          <w:tcPr>
            <w:tcW w:w="1123" w:type="dxa"/>
            <w:tcBorders>
              <w:top w:val="single" w:sz="4" w:space="0" w:color="auto"/>
              <w:left w:val="nil"/>
              <w:bottom w:val="single" w:sz="4" w:space="0" w:color="auto"/>
              <w:right w:val="nil"/>
            </w:tcBorders>
          </w:tcPr>
          <w:p w14:paraId="36E1387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0.91</w:t>
            </w:r>
          </w:p>
        </w:tc>
        <w:tc>
          <w:tcPr>
            <w:tcW w:w="1418" w:type="dxa"/>
            <w:tcBorders>
              <w:top w:val="single" w:sz="4" w:space="0" w:color="auto"/>
              <w:left w:val="nil"/>
              <w:bottom w:val="single" w:sz="4" w:space="0" w:color="auto"/>
              <w:right w:val="nil"/>
            </w:tcBorders>
          </w:tcPr>
          <w:p w14:paraId="793F341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0.71,1.18</w:t>
            </w:r>
          </w:p>
        </w:tc>
        <w:tc>
          <w:tcPr>
            <w:tcW w:w="1799" w:type="dxa"/>
            <w:tcBorders>
              <w:top w:val="single" w:sz="4" w:space="0" w:color="auto"/>
              <w:left w:val="nil"/>
              <w:bottom w:val="single" w:sz="4" w:space="0" w:color="auto"/>
              <w:right w:val="nil"/>
            </w:tcBorders>
          </w:tcPr>
          <w:p w14:paraId="08BD7B6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58;θ</w:t>
            </w:r>
            <w:proofErr w:type="gramEnd"/>
            <w:r w:rsidRPr="009166E3">
              <w:rPr>
                <w:rFonts w:ascii="Arial" w:hAnsi="Arial" w:cs="Arial"/>
                <w:bCs/>
                <w:sz w:val="16"/>
                <w:szCs w:val="16"/>
              </w:rPr>
              <w:t>=0.02)</w:t>
            </w:r>
          </w:p>
        </w:tc>
        <w:tc>
          <w:tcPr>
            <w:tcW w:w="1907" w:type="dxa"/>
            <w:tcBorders>
              <w:top w:val="single" w:sz="4" w:space="0" w:color="auto"/>
              <w:left w:val="nil"/>
              <w:bottom w:val="single" w:sz="4" w:space="0" w:color="auto"/>
              <w:right w:val="nil"/>
            </w:tcBorders>
            <w:vAlign w:val="center"/>
          </w:tcPr>
          <w:p w14:paraId="6833980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TAILORx</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{"citationItems":[{"id":"ITEM-1","itemData":{"DOI":"10.1056/NEJMoa1804710","ISSN":"0028-4793","abstract":"BACKGROUND: The recurrence score based on the 21-gene breast cancer assay predicts chemotherapy benefit if it is high and a low risk of recurrence in the absence of chemotherapy if it is low; however, there is uncertainty about the benefit of chemotherapy for most patients, who have a midrange score. METHODS: We performed a prospective trial involving 10,273 women with hormone-receptor-positive, human epidermal growth factor receptor 2 (HER2)-negative, axillary node-negative breast cancer. Of the 9719 eligible patients with follow-up information, 6711 (69%) had a midrange recurrence score of 11 to 25 and were randomly assigned to receive either chemoendocrine therapy or endocrine therapy alone. The trial was designed to show noninferiority of endocrine therapy alone for invasive disease-free survival (defined as freedom from invasive disease recurrence, second primary cancer, or death). RESULTS: Endocrine therapy was noninferior to chemoendocrine therapy in the analysis of invasive disease-free survival (hazard ratio for invasive disease recurrence, second primary cancer, or death [endocrine vs. chemoendocrine therapy], 1.08; 95% confidence interval, 0.94 to 1.24; P = 0.26). At 9 years, the two treatment groups had similar rates of invasive disease-free survival (83.3% in the endocrine-therapy group and 84.3% in the chemoendocrine-therapy group), freedom from disease recurrence at a distant site (94.5% and 95.0%) or at a distant or local-regional site (92.2% and 92.9%), and overall survival (93.9% and 93.8%). The chemotherapy benefit for invasive disease-free survival varied with the combination of recurrence score and age (P = 0.004), with some benefit of chemotherapy found in women 50 years of age or younger with a recurrence score of 16 to 25. CONCLUSIONS: Adjuvant endocrine therapy and chemoendocrine therapy had similar efficacy in women with hormone-receptor-positive, HER2-negative, axillary node-negative breast cancer who had a midrange 21-gene recurrence score, although some benefit of chemotherapy was found in some women 50 years of age or younger.","author":[{"dropping-particle":"","family":"Sparano","given":"Joseph A.","non-dropping-particle":"","parse-names":false,"suffix":""},{"dropping-particle":"","family":"Gray","given":"Robert J.","non-dropping-particle":"","parse-names":false,"suffix":""},{"dropping-particle":"","family":"Makower","given":"Della F.","non-dropping-particle":"","parse-names":false,"suffix":""},{"dropping-particle":"","family":"Pritchard","given":"Kathleen I.","non-dropping-particle":"","parse-names":false,"suffix":""},{"dropping-particle":"","family":"Albain","given":"Kathy S.","non-dropping-particle":"","parse-names":false,"suffix":""},{"dropping-particle":"","family":"Hayes","given":"Daniel F.","non-dropping-particle":"","parse-names":false,"suffix":""},{"dropping-particle":"","family":"Geyer","given":"Charles E.","non-dropping-particle":"","parse-names":false,"suffix":""},{"dropping-particle":"","family":"Dees","given":"Elizabeth C.","non-dropping-particle":"","parse-names":false,"suffix":""},{"dropping-particle":"","family":"Goetz","given":"Matthew P.","non-dropping-particle":"","parse-names":false,"suffix":""},{"dropping-particle":"","family":"Olson","given":"John A.","non-dropping-particle":"","parse-names":false,"suffix":""},{"dropping-particle":"","family":"Lively","given":"Tracy","non-dropping-particle":"","parse-names":false,"suffix":""},{"dropping-particle":"","family":"Badve","given":"Sunil S.","non-dropping-particle":"","parse-names":false,"suffix":""},{"dropping-particle":"","family":"Saphner","given":"Thomas J.","non-dropping-particle":"","parse-names":false,"suffix":""},{"dropping-particle":"","family":"Wagner","given":"Lynne I.","non-dropping-particle":"","parse-names":false,"suffix":""},{"dropping-particle":"","family":"Whelan","given":"Timothy J.","non-dropping-particle":"","parse-names":false,"suffix":""},{"dropping-particle":"","family":"Ellis","given":"Matthew J.","non-dropping-particle":"","parse-names":false,"suffix":""},{"dropping-particle":"","family":"Paik","given":"Soonmyung","non-dropping-particle":"","parse-names":false,"suffix":""},{"dropping-particle":"","family":"Wood","given":"William C.","non-dropping-particle":"","parse-names":false,"suffix":""},{"dropping-particle":"","family":"Ravdin","given":"Peter M.","non-dropping-particle":"","parse-names":false,"suffix":""},{"dropping-particle":"","family":"Keane","given":"Maccon M.","non-dropping-particle":"","parse-names":false,"suffix":""},{"dropping-particle":"","family":"Gomez Moreno","given":"Henry L.","non-dropping-particle":"","parse-names":false,"suffix":""},{"dropping-particle":"","family":"Reddy","given":"Pavan S.","non-dropping-particle":"","parse-names":false,"suffix":""},{"dropping-particle":"","family":"Goggins","given":"Timothy F.","non-dropping-particle":"","parse-names":false,"suffix":""},{"dropping-particle":"","family":"Mayer","given":"Ingrid A.","non-dropping-particle":"","parse-names":false,"suffix":""},{"dropping-particle":"","family":"Brufsky","given":"Adam M.","non-dropping-particle":"","parse-names":false,"suffix":""},{"dropping-particle":"","family":"Toppmeyer","given":"Deborah L.","non-dropping-particle":"","parse-names":false,"suffix":""},{"dropping-particle":"","family":"Kaklamani","given":"Virginia G.","non-dropping-particle":"","parse-names":false,"suffix":""},{"dropping-particle":"","family":"Berenberg","given":"Jeffrey L.","non-dropping-particle":"","parse-names":false,"suffix":""},{"dropping-particle":"","family":"Abrams","given":"Jeffrey","non-dropping-particle":"","parse-names":false,"suffix":""},{"dropping-particle":"","family":"Sledge","given":"George W.","non-dropping-particle":"","parse-names":false,"suffix":""}],"container-title":"New England Journal of Medicine","id":"ITEM-1","issue":"2","issued":{"date-parts":[["2018","7","12"]]},"page":"111-121","publisher":"Massachussetts Medical Society","title":"Adjuvant Chemotherapy Guided by a 21-Gene Expression Assay in Breast Cancer","type":"article-journal","volume":"379"},"uris":["http://www.mendeley.com/documents/?uuid=1712b981-0f76-3468-9b72-264bed7e4b21"]}],"mendeley":{"formattedCitation":"&lt;sup&gt;7&lt;/sup&gt;","plainTextFormattedCitation":"7","previouslyFormattedCitation":"&lt;sup&gt;15&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7</w:t>
            </w:r>
            <w:r w:rsidRPr="009166E3">
              <w:rPr>
                <w:rFonts w:ascii="Arial" w:hAnsi="Arial" w:cs="Arial"/>
                <w:bCs/>
                <w:sz w:val="16"/>
                <w:szCs w:val="16"/>
              </w:rPr>
              <w:fldChar w:fldCharType="end"/>
            </w:r>
          </w:p>
        </w:tc>
      </w:tr>
      <w:tr w:rsidR="004A3C29" w:rsidRPr="009166E3" w14:paraId="2830978F" w14:textId="77777777" w:rsidTr="00A46F82">
        <w:tc>
          <w:tcPr>
            <w:tcW w:w="2779" w:type="dxa"/>
            <w:tcBorders>
              <w:top w:val="single" w:sz="4" w:space="0" w:color="auto"/>
              <w:left w:val="nil"/>
              <w:bottom w:val="single" w:sz="4" w:space="0" w:color="auto"/>
              <w:right w:val="nil"/>
            </w:tcBorders>
          </w:tcPr>
          <w:p w14:paraId="6EFE171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RS &gt;25</w:t>
            </w:r>
          </w:p>
        </w:tc>
        <w:tc>
          <w:tcPr>
            <w:tcW w:w="1123" w:type="dxa"/>
            <w:tcBorders>
              <w:top w:val="single" w:sz="4" w:space="0" w:color="auto"/>
              <w:left w:val="nil"/>
              <w:bottom w:val="single" w:sz="4" w:space="0" w:color="auto"/>
              <w:right w:val="nil"/>
            </w:tcBorders>
          </w:tcPr>
          <w:p w14:paraId="24C8608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0.27</w:t>
            </w:r>
          </w:p>
        </w:tc>
        <w:tc>
          <w:tcPr>
            <w:tcW w:w="1418" w:type="dxa"/>
            <w:tcBorders>
              <w:top w:val="single" w:sz="4" w:space="0" w:color="auto"/>
              <w:left w:val="nil"/>
              <w:bottom w:val="single" w:sz="4" w:space="0" w:color="auto"/>
              <w:right w:val="nil"/>
            </w:tcBorders>
          </w:tcPr>
          <w:p w14:paraId="362C54CB"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0.12,0.62</w:t>
            </w:r>
          </w:p>
        </w:tc>
        <w:tc>
          <w:tcPr>
            <w:tcW w:w="1799" w:type="dxa"/>
            <w:tcBorders>
              <w:top w:val="single" w:sz="4" w:space="0" w:color="auto"/>
              <w:left w:val="nil"/>
              <w:bottom w:val="single" w:sz="4" w:space="0" w:color="auto"/>
              <w:right w:val="nil"/>
            </w:tcBorders>
          </w:tcPr>
          <w:p w14:paraId="5DBDAE3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4;θ</w:t>
            </w:r>
            <w:proofErr w:type="gramEnd"/>
            <w:r w:rsidRPr="009166E3">
              <w:rPr>
                <w:rFonts w:ascii="Arial" w:hAnsi="Arial" w:cs="Arial"/>
                <w:bCs/>
                <w:sz w:val="16"/>
                <w:szCs w:val="16"/>
              </w:rPr>
              <w:t>=0.06)</w:t>
            </w:r>
          </w:p>
        </w:tc>
        <w:tc>
          <w:tcPr>
            <w:tcW w:w="1907" w:type="dxa"/>
            <w:tcBorders>
              <w:top w:val="single" w:sz="4" w:space="0" w:color="auto"/>
              <w:left w:val="nil"/>
              <w:bottom w:val="single" w:sz="4" w:space="0" w:color="auto"/>
              <w:right w:val="nil"/>
            </w:tcBorders>
            <w:vAlign w:val="center"/>
          </w:tcPr>
          <w:p w14:paraId="50D2205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NASBP B-20</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{"citationItems":[{"id":"ITEM-1","itemData":{"DOI":"10.1038/s41523-018-0090-6","ISSN":"23744677","abstract":"The NSABP B-20 prospective-retrospective study of the 21-gene Oncotype DX Breast Cancer Recurrence Score® test predicted benefit from addition of chemotherapy to tamoxifen in node-negative, estrogen-receptor positive breast cancer when recurrence score (RS) was ≥31. HER2 is a component of the RS algorithm with a positive coefficient and contributes to higher RS values. Accrual to B-20 occurred prior to routine testing for HER2, so questions have arisen regarding assay performance if HER2-positive patients were identified and excluded. We report an exploratory reanalysis of the B-20, 21-gene study following exclusion of such patients. Patients were considered HER2 positive if quantitative RT-PCR for HER2 was ≥11.5 units, and excluded from re-analyses performed using the original cutoffs: &lt;18, 18–30, ≥31, and the TAILORx cutoffs: &lt;11, 11–25, &gt;25. The endpoint remained distant recurrence-free interval (DRFI) as in the original study. Distribution was estimated via the Kaplan–Meier method and compared via log-rank test. Multivariate Cox proportional hazards models estimated chemotherapy benefit in each group. In the RS &lt; 18 and 18–30 groups, 1.7 and 6.7% were HER2 positive. In the RS ≥ 31 group, 41% were HER2 positive. Exclusion resulted in fewer events, with loss of significance for benefit from chemotherapy in the overall HER2-negative cohort (log-rank P = 0.06), but substantial benefit from chemotherapy remained in the RS ≥ 31 cohort (HR = 0.18; 95% CI: 0.07–0.47) and the RS &gt; 25 cohort (HR = 0.28; 95% CI: 0.12–0.64). No benefit from chemotherapy was evident in the other RS groups. Following exclusion of HER2-positive patients based on RT-PCR expression, substantial benefit of chemotherapy remained for RS ≥ 31 as originally employed, and with RS &gt; 25 employed in TAILORx.","author":[{"dropping-particle":"","family":"Geyer","given":"Charles E.","non-dropping-particle":"","parse-names":false,"suffix":""},{"dropping-particle":"","family":"Tang","given":"Gong","non-dropping-particle":"","parse-names":false,"suffix":""},{"dropping-particle":"","family":"Mamounas","given":"Eleftherios P.","non-dropping-particle":"","parse-names":false,"suffix":""},{"dropping-particle":"","family":"Rastogi","given":"Priya","non-dropping-particle":"","parse-names":false,"suffix":""},{"dropping-particle":"","family":"Paik","given":"Soonmyung","non-dropping-particle":"","parse-names":false,"suffix":""},{"dropping-particle":"","family":"Shak","given":"Steven","non-dropping-particle":"","parse-names":false,"suffix":""},{"dropping-particle":"","family":"Baehner","given":"Frederick L.","non-dropping-particle":"","parse-names":false,"suffix":""},{"dropping-particle":"","family":"Crager","given":"Michael","non-dropping-particle":"","parse-names":false,"suffix":""},{"dropping-particle":"","family":"Wickerham","given":"D. Lawrence","non-dropping-particle":"","parse-names":false,"suffix":""},{"dropping-particle":"","family":"Costantino","given":"Joseph P.","non-dropping-particle":"","parse-names":false,"suffix":""},{"dropping-particle":"","family":"Wolmark","given":"Norman","non-dropping-particle":"","parse-names":false,"suffix":""}],"container-title":"npj Breast Cancer","id":"ITEM-1","issue":"1","issued":{"date-parts":[["2018","12","1"]]},"publisher":"Nature Publishing Group","title":"21-Gene assay as predictor of chemotherapy benefit in HER2-negative breast cancer","type":"article-journal","volume":"4"},"uris":["http://www.mendeley.com/documents/?uuid=0a60600a-d1b9-3a99-aca6-43a0db66eddd"]}],"mendeley":{"formattedCitation":"&lt;sup&gt;10&lt;/sup&gt;","plainTextFormattedCitation":"10","previouslyFormattedCitation":"&lt;sup&gt;16&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10</w:t>
            </w:r>
            <w:r w:rsidRPr="009166E3">
              <w:rPr>
                <w:rFonts w:ascii="Arial" w:hAnsi="Arial" w:cs="Arial"/>
                <w:bCs/>
                <w:sz w:val="16"/>
                <w:szCs w:val="16"/>
              </w:rPr>
              <w:fldChar w:fldCharType="end"/>
            </w:r>
          </w:p>
        </w:tc>
      </w:tr>
      <w:tr w:rsidR="004A3C29" w:rsidRPr="009166E3" w14:paraId="0DC817F6" w14:textId="77777777" w:rsidTr="00A46F82">
        <w:tc>
          <w:tcPr>
            <w:tcW w:w="2779" w:type="dxa"/>
            <w:tcBorders>
              <w:top w:val="single" w:sz="4" w:space="0" w:color="auto"/>
              <w:left w:val="nil"/>
              <w:bottom w:val="single" w:sz="4" w:space="0" w:color="auto"/>
              <w:right w:val="nil"/>
            </w:tcBorders>
            <w:shd w:val="clear" w:color="auto" w:fill="D0CECE" w:themeFill="background2" w:themeFillShade="E6"/>
          </w:tcPr>
          <w:p w14:paraId="6B33018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Other transition probabilities</w:t>
            </w:r>
          </w:p>
        </w:tc>
        <w:tc>
          <w:tcPr>
            <w:tcW w:w="1123" w:type="dxa"/>
            <w:tcBorders>
              <w:top w:val="single" w:sz="4" w:space="0" w:color="auto"/>
              <w:left w:val="nil"/>
              <w:bottom w:val="single" w:sz="4" w:space="0" w:color="auto"/>
              <w:right w:val="nil"/>
            </w:tcBorders>
            <w:shd w:val="clear" w:color="auto" w:fill="D0CECE" w:themeFill="background2" w:themeFillShade="E6"/>
          </w:tcPr>
          <w:p w14:paraId="1ECE2A7A" w14:textId="77777777" w:rsidR="004A3C29" w:rsidRPr="009166E3" w:rsidRDefault="004A3C29" w:rsidP="00A46F82">
            <w:pPr>
              <w:rPr>
                <w:rFonts w:ascii="Arial" w:hAnsi="Arial" w:cs="Arial"/>
                <w:bCs/>
                <w:sz w:val="16"/>
                <w:szCs w:val="16"/>
              </w:rPr>
            </w:pPr>
          </w:p>
        </w:tc>
        <w:tc>
          <w:tcPr>
            <w:tcW w:w="1418" w:type="dxa"/>
            <w:tcBorders>
              <w:top w:val="single" w:sz="4" w:space="0" w:color="auto"/>
              <w:left w:val="nil"/>
              <w:bottom w:val="single" w:sz="4" w:space="0" w:color="auto"/>
              <w:right w:val="nil"/>
            </w:tcBorders>
            <w:shd w:val="clear" w:color="auto" w:fill="D0CECE" w:themeFill="background2" w:themeFillShade="E6"/>
          </w:tcPr>
          <w:p w14:paraId="6640582B" w14:textId="77777777" w:rsidR="004A3C29" w:rsidRPr="009166E3" w:rsidRDefault="004A3C29" w:rsidP="00A46F82">
            <w:pPr>
              <w:rPr>
                <w:rFonts w:ascii="Arial" w:hAnsi="Arial" w:cs="Arial"/>
                <w:bCs/>
                <w:sz w:val="16"/>
                <w:szCs w:val="16"/>
              </w:rPr>
            </w:pPr>
          </w:p>
        </w:tc>
        <w:tc>
          <w:tcPr>
            <w:tcW w:w="1799" w:type="dxa"/>
            <w:tcBorders>
              <w:top w:val="single" w:sz="4" w:space="0" w:color="auto"/>
              <w:left w:val="nil"/>
              <w:bottom w:val="single" w:sz="4" w:space="0" w:color="auto"/>
              <w:right w:val="nil"/>
            </w:tcBorders>
            <w:shd w:val="clear" w:color="auto" w:fill="D0CECE" w:themeFill="background2" w:themeFillShade="E6"/>
          </w:tcPr>
          <w:p w14:paraId="4D835F42" w14:textId="77777777" w:rsidR="004A3C29" w:rsidRPr="009166E3" w:rsidRDefault="004A3C29" w:rsidP="00A46F82">
            <w:pPr>
              <w:rPr>
                <w:rFonts w:ascii="Arial" w:hAnsi="Arial" w:cs="Arial"/>
                <w:bCs/>
                <w:sz w:val="16"/>
                <w:szCs w:val="16"/>
              </w:rPr>
            </w:pPr>
          </w:p>
        </w:tc>
        <w:tc>
          <w:tcPr>
            <w:tcW w:w="1907" w:type="dxa"/>
            <w:tcBorders>
              <w:top w:val="single" w:sz="4" w:space="0" w:color="auto"/>
              <w:left w:val="nil"/>
              <w:bottom w:val="single" w:sz="4" w:space="0" w:color="auto"/>
              <w:right w:val="nil"/>
            </w:tcBorders>
            <w:shd w:val="clear" w:color="auto" w:fill="D0CECE" w:themeFill="background2" w:themeFillShade="E6"/>
            <w:vAlign w:val="center"/>
          </w:tcPr>
          <w:p w14:paraId="43EA478F" w14:textId="77777777" w:rsidR="004A3C29" w:rsidRPr="009166E3" w:rsidRDefault="004A3C29" w:rsidP="00A46F82">
            <w:pPr>
              <w:rPr>
                <w:rFonts w:ascii="Arial" w:hAnsi="Arial" w:cs="Arial"/>
                <w:bCs/>
                <w:sz w:val="16"/>
                <w:szCs w:val="16"/>
              </w:rPr>
            </w:pPr>
          </w:p>
        </w:tc>
      </w:tr>
      <w:tr w:rsidR="004A3C29" w:rsidRPr="009166E3" w14:paraId="7B2AC8A0" w14:textId="77777777" w:rsidTr="00A46F82">
        <w:tc>
          <w:tcPr>
            <w:tcW w:w="2779" w:type="dxa"/>
            <w:tcBorders>
              <w:top w:val="single" w:sz="4" w:space="0" w:color="auto"/>
              <w:left w:val="nil"/>
              <w:bottom w:val="single" w:sz="4" w:space="0" w:color="auto"/>
              <w:right w:val="nil"/>
            </w:tcBorders>
          </w:tcPr>
          <w:p w14:paraId="504BF82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Probability of local recurrence prior to distant recurrence</w:t>
            </w:r>
          </w:p>
        </w:tc>
        <w:tc>
          <w:tcPr>
            <w:tcW w:w="1123" w:type="dxa"/>
            <w:tcBorders>
              <w:top w:val="single" w:sz="4" w:space="0" w:color="auto"/>
              <w:left w:val="nil"/>
              <w:bottom w:val="single" w:sz="4" w:space="0" w:color="auto"/>
              <w:right w:val="nil"/>
            </w:tcBorders>
          </w:tcPr>
          <w:p w14:paraId="0D7AF9E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10.5%</w:t>
            </w:r>
          </w:p>
        </w:tc>
        <w:tc>
          <w:tcPr>
            <w:tcW w:w="1418" w:type="dxa"/>
            <w:tcBorders>
              <w:top w:val="single" w:sz="4" w:space="0" w:color="auto"/>
              <w:left w:val="nil"/>
              <w:bottom w:val="single" w:sz="4" w:space="0" w:color="auto"/>
              <w:right w:val="nil"/>
            </w:tcBorders>
          </w:tcPr>
          <w:p w14:paraId="41D3078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8.8%,12.3%</w:t>
            </w:r>
          </w:p>
        </w:tc>
        <w:tc>
          <w:tcPr>
            <w:tcW w:w="1799" w:type="dxa"/>
            <w:tcBorders>
              <w:top w:val="single" w:sz="4" w:space="0" w:color="auto"/>
              <w:left w:val="nil"/>
              <w:bottom w:val="single" w:sz="4" w:space="0" w:color="auto"/>
              <w:right w:val="nil"/>
            </w:tcBorders>
          </w:tcPr>
          <w:p w14:paraId="57D4F81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129;β</w:t>
            </w:r>
            <w:proofErr w:type="gramEnd"/>
            <w:r w:rsidRPr="009166E3">
              <w:rPr>
                <w:rFonts w:ascii="Arial" w:hAnsi="Arial" w:cs="Arial"/>
                <w:bCs/>
                <w:sz w:val="16"/>
                <w:szCs w:val="16"/>
              </w:rPr>
              <w:t>=1095)</w:t>
            </w:r>
          </w:p>
        </w:tc>
        <w:tc>
          <w:tcPr>
            <w:tcW w:w="1907" w:type="dxa"/>
            <w:tcBorders>
              <w:top w:val="single" w:sz="4" w:space="0" w:color="auto"/>
              <w:left w:val="nil"/>
              <w:bottom w:val="single" w:sz="4" w:space="0" w:color="auto"/>
              <w:right w:val="nil"/>
            </w:tcBorders>
            <w:vAlign w:val="center"/>
          </w:tcPr>
          <w:p w14:paraId="203DBA8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De Bock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{"citationItems":[{"id":"ITEM-1","itemData":{"DOI":"10.1007/s10549-008-0300-2","ISSN":"01676806","abstract":"To study whether the effects of prognostic factors associated with the occurrence of distant metastases (DM) at primary diagnosis change after the incidence of loco-regional recurrences (LRR) among women treated for invasive stage I or II breast cancer. The study population consisted of 3,601 women, enrolled in EORTC trials 10801, 10854, or 10902 treated for early-stage breast cancer. Data were analysed in a multivariate, multistate model by using multivariate Cox regression models, including a state-dependent covariate. The presence of a LRR in itself is a significant prognostic risk factor (HR: 3.64; 95%-CI: 2.02-6.5) for the occurrence of DM. Main prognostic risk factors for a DM are young age at diagnosis (≤40: HR: 1.79; 95%-CI: 1.28-2.51), larger tumour size (HR: 1.58; 95%-CI: 1.35-1.84) and node positivity (HR: 2.00; 95%-CI: 1.74-2.30). Adjuvant chemotherapy is protective for a DM (HR: 0.66; 95%-CI: 0.55-0.80). After the occurrence of a LRR the latter protective effect has disappeared (P = 0.009). The presence of LRR in itself is a significant risk factor for DM. For patients who are at risk of developing LRR, effective local control should be the main target of therapy. © 2009 Springer Science+Business Media, LLC.","author":[{"dropping-particle":"","family":"Bock","given":"G. H.","non-dropping-particle":"De","parse-names":false,"suffix":""},{"dropping-particle":"","family":"Putter","given":"H.","non-dropping-particle":"","parse-names":false,"suffix":""},{"dropping-particle":"","family":"Bonnema","given":"J.","non-dropping-particle":"","parse-names":false,"suffix":""},{"dropping-particle":"","family":"Hage","given":"J. A.","non-dropping-particle":"Van Der","parse-names":false,"suffix":""},{"dropping-particle":"","family":"Bartelink","given":"H.","non-dropping-particle":"","parse-names":false,"suffix":""},{"dropping-particle":"","family":"Velde","given":"C. J.","non-dropping-particle":"Van De","parse-names":false,"suffix":""}],"container-title":"Breast Cancer Research and Treatment","id":"ITEM-1","issue":"2","issued":{"date-parts":[["2009","9"]]},"page":"401-408","publisher":"Breast Cancer Res Treat","title":"The impact of loco-regional recurrences on metastatic progression in early-stage breast cancer: A multistate model","type":"article-journal","volume":"117"},"uris":["http://www.mendeley.com/documents/?uuid=5fd3b5c5-0960-3154-a4b9-4f1688ae5199"]}],"mendeley":{"formattedCitation":"&lt;sup&gt;11&lt;/sup&gt;","plainTextFormattedCitation":"11","previouslyFormattedCitation":"&lt;sup&gt;55&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11</w:t>
            </w:r>
            <w:r w:rsidRPr="009166E3">
              <w:rPr>
                <w:rFonts w:ascii="Arial" w:hAnsi="Arial" w:cs="Arial"/>
                <w:bCs/>
                <w:sz w:val="16"/>
                <w:szCs w:val="16"/>
              </w:rPr>
              <w:fldChar w:fldCharType="end"/>
            </w:r>
          </w:p>
        </w:tc>
      </w:tr>
      <w:tr w:rsidR="004A3C29" w:rsidRPr="009166E3" w14:paraId="0EF96120" w14:textId="77777777" w:rsidTr="00A46F82">
        <w:tc>
          <w:tcPr>
            <w:tcW w:w="2779" w:type="dxa"/>
            <w:tcBorders>
              <w:top w:val="single" w:sz="4" w:space="0" w:color="auto"/>
              <w:left w:val="nil"/>
              <w:bottom w:val="single" w:sz="4" w:space="0" w:color="auto"/>
              <w:right w:val="nil"/>
            </w:tcBorders>
          </w:tcPr>
          <w:p w14:paraId="335FA9A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Reduction in DR rate in years 11-15</w:t>
            </w:r>
          </w:p>
        </w:tc>
        <w:tc>
          <w:tcPr>
            <w:tcW w:w="1123" w:type="dxa"/>
            <w:tcBorders>
              <w:top w:val="single" w:sz="4" w:space="0" w:color="auto"/>
              <w:left w:val="nil"/>
              <w:bottom w:val="single" w:sz="4" w:space="0" w:color="auto"/>
              <w:right w:val="nil"/>
            </w:tcBorders>
          </w:tcPr>
          <w:p w14:paraId="77FCF59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50%</w:t>
            </w:r>
          </w:p>
        </w:tc>
        <w:tc>
          <w:tcPr>
            <w:tcW w:w="1418" w:type="dxa"/>
            <w:tcBorders>
              <w:top w:val="single" w:sz="4" w:space="0" w:color="auto"/>
              <w:left w:val="nil"/>
              <w:bottom w:val="single" w:sz="4" w:space="0" w:color="auto"/>
              <w:right w:val="nil"/>
            </w:tcBorders>
          </w:tcPr>
          <w:p w14:paraId="3E666DF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7A96250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6D1663A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Assumption in NICE DG34</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Excellence","given":"","non-dropping-particle":"","parse-names":false,"suffix":""}],"id":"ITEM-1","issued":{"date-parts":[["2018"]]},"title":"Tumour profiling tests to guide adjuvant chemotherapy decisions in early breast cancer","type":"report"},"uris":["http://www.mendeley.com/documents/?uuid=75b15e5a-1669-4574-8f4f-b8c0246f9df2"]}],"mendeley":{"formattedCitation":"&lt;sup&gt;8&lt;/sup&gt;","plainTextFormattedCitation":"8","previouslyFormattedCitation":"&lt;sup&gt;22&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8</w:t>
            </w:r>
            <w:r w:rsidRPr="009166E3">
              <w:rPr>
                <w:rFonts w:ascii="Arial" w:hAnsi="Arial" w:cs="Arial"/>
                <w:bCs/>
                <w:sz w:val="16"/>
                <w:szCs w:val="16"/>
              </w:rPr>
              <w:fldChar w:fldCharType="end"/>
            </w:r>
          </w:p>
        </w:tc>
      </w:tr>
      <w:tr w:rsidR="004A3C29" w:rsidRPr="009166E3" w14:paraId="543102CE" w14:textId="77777777" w:rsidTr="00A46F82">
        <w:tc>
          <w:tcPr>
            <w:tcW w:w="2779" w:type="dxa"/>
            <w:tcBorders>
              <w:top w:val="single" w:sz="4" w:space="0" w:color="auto"/>
              <w:left w:val="nil"/>
              <w:bottom w:val="single" w:sz="4" w:space="0" w:color="auto"/>
              <w:right w:val="nil"/>
            </w:tcBorders>
          </w:tcPr>
          <w:p w14:paraId="100FB45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Reduction in DR rate in years &gt;15</w:t>
            </w:r>
          </w:p>
        </w:tc>
        <w:tc>
          <w:tcPr>
            <w:tcW w:w="1123" w:type="dxa"/>
            <w:tcBorders>
              <w:top w:val="single" w:sz="4" w:space="0" w:color="auto"/>
              <w:left w:val="nil"/>
              <w:bottom w:val="single" w:sz="4" w:space="0" w:color="auto"/>
              <w:right w:val="nil"/>
            </w:tcBorders>
          </w:tcPr>
          <w:p w14:paraId="4585109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50%</w:t>
            </w:r>
          </w:p>
        </w:tc>
        <w:tc>
          <w:tcPr>
            <w:tcW w:w="1418" w:type="dxa"/>
            <w:tcBorders>
              <w:top w:val="single" w:sz="4" w:space="0" w:color="auto"/>
              <w:left w:val="nil"/>
              <w:bottom w:val="single" w:sz="4" w:space="0" w:color="auto"/>
              <w:right w:val="nil"/>
            </w:tcBorders>
          </w:tcPr>
          <w:p w14:paraId="1CD96AA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5BDDA30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60C3D78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Clinical expert opinion</w:t>
            </w:r>
          </w:p>
        </w:tc>
      </w:tr>
      <w:tr w:rsidR="004A3C29" w:rsidRPr="009166E3" w14:paraId="6D0C07DA" w14:textId="77777777" w:rsidTr="00A46F82">
        <w:tc>
          <w:tcPr>
            <w:tcW w:w="2779" w:type="dxa"/>
            <w:tcBorders>
              <w:top w:val="single" w:sz="4" w:space="0" w:color="auto"/>
              <w:left w:val="nil"/>
              <w:bottom w:val="single" w:sz="4" w:space="0" w:color="auto"/>
              <w:right w:val="nil"/>
            </w:tcBorders>
          </w:tcPr>
          <w:p w14:paraId="774576B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6-month probability of AML</w:t>
            </w:r>
          </w:p>
        </w:tc>
        <w:tc>
          <w:tcPr>
            <w:tcW w:w="1123" w:type="dxa"/>
            <w:tcBorders>
              <w:top w:val="single" w:sz="4" w:space="0" w:color="auto"/>
              <w:left w:val="nil"/>
              <w:bottom w:val="single" w:sz="4" w:space="0" w:color="auto"/>
              <w:right w:val="nil"/>
            </w:tcBorders>
          </w:tcPr>
          <w:p w14:paraId="3EE8618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0.0028</w:t>
            </w:r>
          </w:p>
        </w:tc>
        <w:tc>
          <w:tcPr>
            <w:tcW w:w="1418" w:type="dxa"/>
            <w:tcBorders>
              <w:top w:val="single" w:sz="4" w:space="0" w:color="auto"/>
              <w:left w:val="nil"/>
              <w:bottom w:val="single" w:sz="4" w:space="0" w:color="auto"/>
              <w:right w:val="nil"/>
            </w:tcBorders>
          </w:tcPr>
          <w:p w14:paraId="73F2A5C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0.002,0.003</w:t>
            </w:r>
          </w:p>
        </w:tc>
        <w:tc>
          <w:tcPr>
            <w:tcW w:w="1799" w:type="dxa"/>
            <w:tcBorders>
              <w:top w:val="single" w:sz="4" w:space="0" w:color="auto"/>
              <w:left w:val="nil"/>
              <w:bottom w:val="single" w:sz="4" w:space="0" w:color="auto"/>
              <w:right w:val="nil"/>
            </w:tcBorders>
          </w:tcPr>
          <w:p w14:paraId="3ECF8BE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70;β</w:t>
            </w:r>
            <w:proofErr w:type="gramEnd"/>
            <w:r w:rsidRPr="009166E3">
              <w:rPr>
                <w:rFonts w:ascii="Arial" w:hAnsi="Arial" w:cs="Arial"/>
                <w:bCs/>
                <w:sz w:val="16"/>
                <w:szCs w:val="16"/>
              </w:rPr>
              <w:t>=24945)</w:t>
            </w:r>
          </w:p>
        </w:tc>
        <w:tc>
          <w:tcPr>
            <w:tcW w:w="1907" w:type="dxa"/>
            <w:tcBorders>
              <w:top w:val="single" w:sz="4" w:space="0" w:color="auto"/>
              <w:left w:val="nil"/>
              <w:bottom w:val="single" w:sz="4" w:space="0" w:color="auto"/>
              <w:right w:val="nil"/>
            </w:tcBorders>
            <w:vAlign w:val="center"/>
          </w:tcPr>
          <w:p w14:paraId="3B37F703" w14:textId="77777777" w:rsidR="004A3C29" w:rsidRPr="009166E3" w:rsidRDefault="004A3C29" w:rsidP="00A46F82">
            <w:pPr>
              <w:rPr>
                <w:rFonts w:ascii="Arial" w:hAnsi="Arial" w:cs="Arial"/>
                <w:bCs/>
                <w:sz w:val="16"/>
                <w:szCs w:val="16"/>
              </w:rPr>
            </w:pPr>
            <w:proofErr w:type="spellStart"/>
            <w:r w:rsidRPr="009166E3">
              <w:rPr>
                <w:rFonts w:ascii="Arial" w:hAnsi="Arial" w:cs="Arial"/>
                <w:bCs/>
                <w:sz w:val="16"/>
                <w:szCs w:val="16"/>
              </w:rPr>
              <w:t>Petrelli</w:t>
            </w:r>
            <w:proofErr w:type="spellEnd"/>
            <w:r w:rsidRPr="009166E3">
              <w:rPr>
                <w:rFonts w:ascii="Arial" w:hAnsi="Arial" w:cs="Arial"/>
                <w:bCs/>
                <w:sz w:val="16"/>
                <w:szCs w:val="16"/>
              </w:rPr>
              <w:t xml:space="preserve">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{"citationItems":[{"id":"ITEM-1","itemData":{"DOI":"10.1007/S10549-012-2121-6","ISSN":"1573-7217","PMID":"22689092","abstract":"The contribution of adjuvant taxanes (T) in cardiovascular toxicity, leukemic risk, and non-cancer-related deaths is unknown when they are added to anthracycline (A)-based chemotherapy for breast cancer. We performed a meta-analysis of published randomized controlled trials (RCTs) to determine the risk of cardiovascular toxicity, leukemia, neurotoxicity, and non-breast cancer-related mortality associated with T added to adjuvant A in breast cancer. PubMed was searched to identify relevant studies. Eligible studies included prospective RCTs in which approved T in combination with A (A + T) were compared with A alone as adjuvant chemotherapy for breast cancer. Summary incidence rates, relative risks (RRs), and 95 % confidence intervals were calculated by means of fixed- or random-effects models. A total of 27,039 patients from 15 RCTs were included. Compared with A alone, A + T was associated with a statistically similar risk of toxicity. Compared with control arms, A + T schedules with less cumulative dose of anthracyclines than control arms were associated with lower severe cardiotoxicity (RR = 0.41, [95% CI 0.26–0.66], P = 0.0002), venous thromboembolic events (RR 0.45, [95% CI 0.26–0.79], P = 0.006), and leukemic risk (RR 0.39; [95%CI 0.18–0.87] P = 0.02), but with an increased risk of non-breast cancer-related mortality (RR = 1.79, [95% CI 1.06–3.04] P = 0.03). In particular, this risk of death is greater when &gt;3 cycles of A precede T in sequential schedules (RR 2.24, [1.2–4.21] P = 0.01). This meta-analysis suggests that A + T-based adjuvant chemotherapy is as toxic as A alone with no significant difference in non-breast cancer-related mortality. However, sequential A + T schedules are associated with less toxicity, but a significant increase in non-breast cancer-related mortality compared with control arms with a greater dose of A.","author":[{"dropping-particle":"","family":"Petrelli","given":"Fausto","non-dropping-particle":"","parse-names":false,"suffix":""},{"dropping-particle":"","family":"Borgonovo","given":"Karen","non-dropping-particle":"","parse-names":false,"suffix":""},{"dropping-particle":"","family":"Cabiddu","given":"Mary","non-dropping-particle":"","parse-names":false,"suffix":""},{"dropping-particle":"","family":"Lonati","given":"Veronica","non-dropping-particle":"","parse-names":false,"suffix":""},{"dropping-particle":"","family":"Barni","given":"Sandro","non-dropping-particle":"","parse-names":false,"suffix":""}],"container-title":"Breast Cancer Research and Treatment 2012 135:2","id":"ITEM-1","issue":"2","issued":{"date-parts":[["2012","6","12"]]},"page":"335-346","publisher":"Springer","title":"Mortality, leukemic risk, and cardiovascular toxicity of adjuvant anthracycline and taxane chemotherapy in breast cancer: a meta-analysis","type":"article-journal","volume":"135"},"uris":["http://www.mendeley.com/documents/?uuid=ba25b984-5c5e-340a-a181-5bfdade8597e"]}],"mendeley":{"formattedCitation":"&lt;sup&gt;12&lt;/sup&gt;","plainTextFormattedCitation":"12","previouslyFormattedCitation":"&lt;sup&gt;27&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12</w:t>
            </w:r>
            <w:r w:rsidRPr="009166E3">
              <w:rPr>
                <w:rFonts w:ascii="Arial" w:hAnsi="Arial" w:cs="Arial"/>
                <w:bCs/>
                <w:sz w:val="16"/>
                <w:szCs w:val="16"/>
              </w:rPr>
              <w:fldChar w:fldCharType="end"/>
            </w:r>
          </w:p>
        </w:tc>
      </w:tr>
      <w:tr w:rsidR="004A3C29" w:rsidRPr="009166E3" w14:paraId="40FEF8DD" w14:textId="77777777" w:rsidTr="00A46F82">
        <w:tc>
          <w:tcPr>
            <w:tcW w:w="2779" w:type="dxa"/>
            <w:tcBorders>
              <w:top w:val="single" w:sz="4" w:space="0" w:color="auto"/>
              <w:left w:val="nil"/>
              <w:bottom w:val="single" w:sz="4" w:space="0" w:color="auto"/>
              <w:right w:val="nil"/>
            </w:tcBorders>
          </w:tcPr>
          <w:p w14:paraId="0196274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Probability of death, recurrence-free</w:t>
            </w:r>
          </w:p>
        </w:tc>
        <w:tc>
          <w:tcPr>
            <w:tcW w:w="1123" w:type="dxa"/>
            <w:tcBorders>
              <w:top w:val="single" w:sz="4" w:space="0" w:color="auto"/>
              <w:left w:val="nil"/>
              <w:bottom w:val="single" w:sz="4" w:space="0" w:color="auto"/>
              <w:right w:val="nil"/>
            </w:tcBorders>
          </w:tcPr>
          <w:p w14:paraId="786D12E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See Table S7</w:t>
            </w:r>
          </w:p>
        </w:tc>
        <w:tc>
          <w:tcPr>
            <w:tcW w:w="1418" w:type="dxa"/>
            <w:tcBorders>
              <w:top w:val="single" w:sz="4" w:space="0" w:color="auto"/>
              <w:left w:val="nil"/>
              <w:bottom w:val="single" w:sz="4" w:space="0" w:color="auto"/>
              <w:right w:val="nil"/>
            </w:tcBorders>
          </w:tcPr>
          <w:p w14:paraId="0B7BE2E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2ABD281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35B6CDB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UK life tables</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{"citationItems":[{"id":"ITEM-1","itemData":{"URL":"https://www.ons.gov.uk/releases/nationallifetablesuk2016to2018","accessed":{"date-parts":[["2021","2","3"]]},"author":[{"dropping-particle":"","family":"Office for National Statistics","given":"","non-dropping-particle":"","parse-names":false,"suffix":""}],"id":"ITEM-1","issued":{"date-parts":[["2019"]]},"title":"National life tables 2016-2018, United Kingdom","type":"webpage"},"uris":["http://www.mendeley.com/documents/?uuid=9118b8f5-7fb0-4ec1-aba4-27665a534273"]}],"mendeley":{"formattedCitation":"&lt;sup&gt;13&lt;/sup&gt;","plainTextFormattedCitation":"13","previouslyFormattedCitation":"&lt;sup&gt;29&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13</w:t>
            </w:r>
            <w:r w:rsidRPr="009166E3">
              <w:rPr>
                <w:rFonts w:ascii="Arial" w:hAnsi="Arial" w:cs="Arial"/>
                <w:bCs/>
                <w:sz w:val="16"/>
                <w:szCs w:val="16"/>
              </w:rPr>
              <w:fldChar w:fldCharType="end"/>
            </w:r>
          </w:p>
        </w:tc>
      </w:tr>
      <w:tr w:rsidR="004A3C29" w:rsidRPr="009166E3" w14:paraId="7C00CDE0" w14:textId="77777777" w:rsidTr="00A46F82">
        <w:tc>
          <w:tcPr>
            <w:tcW w:w="2779" w:type="dxa"/>
            <w:tcBorders>
              <w:top w:val="single" w:sz="4" w:space="0" w:color="auto"/>
              <w:left w:val="nil"/>
              <w:bottom w:val="single" w:sz="4" w:space="0" w:color="auto"/>
              <w:right w:val="nil"/>
            </w:tcBorders>
          </w:tcPr>
          <w:p w14:paraId="109E1B2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Median overall survival after distant recurrence (months)</w:t>
            </w:r>
          </w:p>
        </w:tc>
        <w:tc>
          <w:tcPr>
            <w:tcW w:w="1123" w:type="dxa"/>
            <w:tcBorders>
              <w:top w:val="single" w:sz="4" w:space="0" w:color="auto"/>
              <w:left w:val="nil"/>
              <w:bottom w:val="single" w:sz="4" w:space="0" w:color="auto"/>
              <w:right w:val="nil"/>
            </w:tcBorders>
          </w:tcPr>
          <w:p w14:paraId="1C83FA4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46.7</w:t>
            </w:r>
          </w:p>
        </w:tc>
        <w:tc>
          <w:tcPr>
            <w:tcW w:w="1418" w:type="dxa"/>
            <w:tcBorders>
              <w:top w:val="single" w:sz="4" w:space="0" w:color="auto"/>
              <w:left w:val="nil"/>
              <w:bottom w:val="single" w:sz="4" w:space="0" w:color="auto"/>
              <w:right w:val="nil"/>
            </w:tcBorders>
          </w:tcPr>
          <w:p w14:paraId="0E25A3E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37,56</w:t>
            </w:r>
          </w:p>
        </w:tc>
        <w:tc>
          <w:tcPr>
            <w:tcW w:w="1799" w:type="dxa"/>
            <w:tcBorders>
              <w:top w:val="single" w:sz="4" w:space="0" w:color="auto"/>
              <w:left w:val="nil"/>
              <w:bottom w:val="single" w:sz="4" w:space="0" w:color="auto"/>
              <w:right w:val="nil"/>
            </w:tcBorders>
          </w:tcPr>
          <w:p w14:paraId="550E9A0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Lognormal (µ=46.</w:t>
            </w:r>
            <w:proofErr w:type="gramStart"/>
            <w:r w:rsidRPr="009166E3">
              <w:rPr>
                <w:rFonts w:ascii="Arial" w:hAnsi="Arial" w:cs="Arial"/>
                <w:bCs/>
                <w:sz w:val="16"/>
                <w:szCs w:val="16"/>
              </w:rPr>
              <w:t>7;σ</w:t>
            </w:r>
            <w:proofErr w:type="gramEnd"/>
            <w:r w:rsidRPr="009166E3">
              <w:rPr>
                <w:rFonts w:ascii="Arial" w:hAnsi="Arial" w:cs="Arial"/>
                <w:bCs/>
                <w:sz w:val="16"/>
                <w:szCs w:val="16"/>
              </w:rPr>
              <w:t>=0.1)</w:t>
            </w:r>
          </w:p>
        </w:tc>
        <w:tc>
          <w:tcPr>
            <w:tcW w:w="1907" w:type="dxa"/>
            <w:tcBorders>
              <w:top w:val="single" w:sz="4" w:space="0" w:color="auto"/>
              <w:left w:val="nil"/>
              <w:bottom w:val="single" w:sz="4" w:space="0" w:color="auto"/>
              <w:right w:val="nil"/>
            </w:tcBorders>
            <w:vAlign w:val="center"/>
          </w:tcPr>
          <w:p w14:paraId="2C38041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Sledge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{"citationItems":[{"id":"ITEM-1","itemData":{"DOI":"10.1001/JAMAONCOL.2019.4782","ISSN":"2374-2437","PMID":"31563959","abstract":"&lt;h3&gt;Importance&lt;/h3&gt;&lt;p&gt;Statistically significant overall survival (OS) benefits of CDK4 and CDK6 inhibitors in combination with fulvestrant for hormone receptor (HR)–positive, ERBB2 (formerly HER2)-negative advanced breast cancer (ABC) in patients regardless of menopausal status after prior endocrine therapy (ET) has not yet been demonstrated.&lt;/p&gt;&lt;h3&gt;Objective&lt;/h3&gt;&lt;p&gt;To compare the effect of abemaciclib plus fulvestrant vs placebo plus fulvestrant on OS at the prespecified interim of MONARCH 2 (338 events) in patients with HR-positive, ERBB2-negative advanced breast cancer that progressed during prior ET.&lt;/p&gt;&lt;h3&gt;Design, Setting, and Participants&lt;/h3&gt;&lt;p&gt;MONARCH 2 was a global, randomized, placebo-controlled, double-blind phase 3 trial of abemaciclib plus fulvestrant vs placebo plus fulvestrant for treatment of premenopausal or perimenopausal women (with ovarian suppression) and postmenopausal women with HR-positive, ERBB2-negative ABC that progressed during ET. Patients were enrolled between August 7, 2014, and December 29, 2015. Analyses for this report were conducted at the time of database lock on June 20, 2019.&lt;/p&gt;&lt;h3&gt;Interventions&lt;/h3&gt;&lt;p&gt;Patients were randomized 2:1 to receive abemaciclib or placebo, 150 mg, every 12 hours on a continuous schedule plus fulvestrant, 500 mg, per label. Randomization was stratified based on site of metastasis (visceral, bone only, or other) and resistance to prior ET (primary vs secondary).&lt;/p&gt;&lt;h3&gt;Main Outcomes and Measures&lt;/h3&gt;&lt;p&gt;The primary end point was investigator-assessed progression-free survival. Overall survival was a gated key secondary end point. The boundary&lt;i&gt;P&lt;/i&gt;value for the interim analysis was .02.&lt;/p&gt;&lt;h3&gt;Results&lt;/h3&gt;&lt;p&gt;Of 669 women enrolled, 446 (median [range] age, 59 [32-91] years) were randomized to the abemaciclib plus fulvestrant arm and 223 (median [range] age, 62 [32-87] years) were randomized to the placebo plus fulvestrant arm. At the prespecified interim, 338 deaths (77% of the planned 441 at the final analysis) were observed in the intent-to-treat population, with a median OS of 46.7 months for abemaciclib plus fulvestrant and 37.3 months for placebo plus fulvestrant (hazard ratio [HR], 0.757; 95% CI, 0.606-0.945;&lt;i&gt;P&lt;/i&gt; = .01). Improvement in OS was consistent across all stratification factors. Among stratification factors, more pronounced effects were observed in patients with visceral disease (HR, 0.675; 95% CI, 0.511-0.891) and primary resistance to prior ET (HR, 0.686; 95% CI, 0.451-1…","author":[{"dropping-particle":"","family":"Sledge","given":"George W.","non-dropping-particle":"","parse-names":false,"suffix":""},{"dropping-particle":"","family":"Toi","given":"Masakazu","non-dropping-particle":"","parse-names":false,"suffix":""},{"dropping-particle":"","family":"Neven","given":"Patrick","non-dropping-particle":"","parse-names":false,"suffix":""},{"dropping-particle":"","family":"Sohn","given":"Joohyuk","non-dropping-particle":"","parse-names":false,"suffix":""},{"dropping-particle":"","family":"Inoue","given":"Kenichi","non-dropping-particle":"","parse-names":false,"suffix":""},{"dropping-particle":"","family":"Pivot","given":"Xavier","non-dropping-particle":"","parse-names":false,"suffix":""},{"dropping-particle":"","family":"Burdaeva","given":"Olga","non-dropping-particle":"","parse-names":false,"suffix":""},{"dropping-particle":"","family":"Okera","given":"Meena","non-dropping-particle":"","parse-names":false,"suffix":""},{"dropping-particle":"","family":"Masuda","given":"Norikazu","non-dropping-particle":"","parse-names":false,"suffix":""},{"dropping-particle":"","family":"Kaufman","given":"Peter A.","non-dropping-particle":"","parse-names":false,"suffix":""},{"dropping-particle":"","family":"Koh","given":"Han","non-dropping-particle":"","parse-names":false,"suffix":""},{"dropping-particle":"","family":"Grischke","given":"Eva Maria","non-dropping-particle":"","parse-names":false,"suffix":""},{"dropping-particle":"","family":"Conte","given":"Pierfranco","non-dropping-particle":"","parse-names":false,"suffix":""},{"dropping-particle":"","family":"Lu","given":"Yi","non-dropping-particle":"","parse-names":false,"suffix":""},{"dropping-particle":"","family":"Barriga","given":"Susana","non-dropping-particle":"","parse-names":false,"suffix":""},{"dropping-particle":"","family":"Hurt","given":"Karla","non-dropping-particle":"","parse-names":false,"suffix":""},{"dropping-particle":"","family":"Frenzel","given":"Martin","non-dropping-particle":"","parse-names":false,"suffix":""},{"dropping-particle":"","family":"Johnston","given":"Stephen","non-dropping-particle":"","parse-names":false,"suffix":""},{"dropping-particle":"","family":"Llombart-Cussac","given":"Antonio","non-dropping-particle":"","parse-names":false,"suffix":""}],"container-title":"JAMA Oncology","id":"ITEM-1","issue":"1","issued":{"date-parts":[["2020","1","1"]]},"page":"116-124","publisher":"American Medical Association","title":"The Effect of Abemaciclib Plus Fulvestrant on Overall Survival in Hormone Receptor–Positive, ERBB2-Negative Breast Cancer That Progressed on Endocrine Therapy—MONARCH 2: A Randomized Clinical Trial","type":"article-journal","volume":"6"},"uris":["http://www.mendeley.com/documents/?uuid=6cec8761-bff6-3709-b856-c8a05f4189bd"]}],"mendeley":{"formattedCitation":"&lt;sup&gt;14&lt;/sup&gt;","plainTextFormattedCitation":"14","previouslyFormattedCitation":"&lt;sup&gt;30&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14</w:t>
            </w:r>
            <w:r w:rsidRPr="009166E3">
              <w:rPr>
                <w:rFonts w:ascii="Arial" w:hAnsi="Arial" w:cs="Arial"/>
                <w:bCs/>
                <w:sz w:val="16"/>
                <w:szCs w:val="16"/>
              </w:rPr>
              <w:fldChar w:fldCharType="end"/>
            </w:r>
          </w:p>
        </w:tc>
      </w:tr>
      <w:tr w:rsidR="004A3C29" w:rsidRPr="009166E3" w14:paraId="09FDF99E" w14:textId="77777777" w:rsidTr="00A46F82">
        <w:tc>
          <w:tcPr>
            <w:tcW w:w="2779" w:type="dxa"/>
            <w:tcBorders>
              <w:top w:val="single" w:sz="4" w:space="0" w:color="auto"/>
              <w:left w:val="nil"/>
              <w:bottom w:val="single" w:sz="4" w:space="0" w:color="auto"/>
              <w:right w:val="nil"/>
            </w:tcBorders>
          </w:tcPr>
          <w:p w14:paraId="45E6F21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Median overall survival after AML (months)</w:t>
            </w:r>
          </w:p>
        </w:tc>
        <w:tc>
          <w:tcPr>
            <w:tcW w:w="1123" w:type="dxa"/>
            <w:tcBorders>
              <w:top w:val="single" w:sz="4" w:space="0" w:color="auto"/>
              <w:left w:val="nil"/>
              <w:bottom w:val="single" w:sz="4" w:space="0" w:color="auto"/>
              <w:right w:val="nil"/>
            </w:tcBorders>
          </w:tcPr>
          <w:p w14:paraId="47E1ABB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9.6</w:t>
            </w:r>
          </w:p>
        </w:tc>
        <w:tc>
          <w:tcPr>
            <w:tcW w:w="1418" w:type="dxa"/>
            <w:tcBorders>
              <w:top w:val="single" w:sz="4" w:space="0" w:color="auto"/>
              <w:left w:val="nil"/>
              <w:bottom w:val="single" w:sz="4" w:space="0" w:color="auto"/>
              <w:right w:val="nil"/>
            </w:tcBorders>
          </w:tcPr>
          <w:p w14:paraId="3785DCD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7.6,11.5</w:t>
            </w:r>
          </w:p>
        </w:tc>
        <w:tc>
          <w:tcPr>
            <w:tcW w:w="1799" w:type="dxa"/>
            <w:tcBorders>
              <w:top w:val="single" w:sz="4" w:space="0" w:color="auto"/>
              <w:left w:val="nil"/>
              <w:bottom w:val="single" w:sz="4" w:space="0" w:color="auto"/>
              <w:right w:val="nil"/>
            </w:tcBorders>
          </w:tcPr>
          <w:p w14:paraId="25759E3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Lognormal (µ=9.6; σ=0.1)</w:t>
            </w:r>
          </w:p>
        </w:tc>
        <w:tc>
          <w:tcPr>
            <w:tcW w:w="1907" w:type="dxa"/>
            <w:tcBorders>
              <w:top w:val="single" w:sz="4" w:space="0" w:color="auto"/>
              <w:left w:val="nil"/>
              <w:bottom w:val="single" w:sz="4" w:space="0" w:color="auto"/>
              <w:right w:val="nil"/>
            </w:tcBorders>
            <w:vAlign w:val="center"/>
          </w:tcPr>
          <w:p w14:paraId="2C4263D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NICE TA552</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Excellence","given":"","non-dropping-particle":"","parse-names":false,"suffix":""}],"id":"ITEM-1","issued":{"date-parts":[["2018"]]},"title":"Liposomal cytarabine–daunorubicin for untreated acute myeloid leukaemia","type":"report"},"uris":["http://www.mendeley.com/documents/?uuid=99a6a527-7b01-40d3-a38a-cf6b8834e97e"]}],"mendeley":{"formattedCitation":"&lt;sup&gt;15&lt;/sup&gt;","plainTextFormattedCitation":"15","previouslyFormattedCitation":"&lt;sup&gt;31&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15</w:t>
            </w:r>
            <w:r w:rsidRPr="009166E3">
              <w:rPr>
                <w:rFonts w:ascii="Arial" w:hAnsi="Arial" w:cs="Arial"/>
                <w:bCs/>
                <w:sz w:val="16"/>
                <w:szCs w:val="16"/>
              </w:rPr>
              <w:fldChar w:fldCharType="end"/>
            </w:r>
          </w:p>
        </w:tc>
      </w:tr>
      <w:tr w:rsidR="004A3C29" w:rsidRPr="009166E3" w14:paraId="74753216" w14:textId="77777777" w:rsidTr="00A46F82">
        <w:tc>
          <w:tcPr>
            <w:tcW w:w="2779" w:type="dxa"/>
            <w:tcBorders>
              <w:top w:val="single" w:sz="4" w:space="0" w:color="auto"/>
              <w:left w:val="nil"/>
              <w:bottom w:val="single" w:sz="4" w:space="0" w:color="auto"/>
              <w:right w:val="nil"/>
            </w:tcBorders>
            <w:shd w:val="clear" w:color="auto" w:fill="D0CECE" w:themeFill="background2" w:themeFillShade="E6"/>
          </w:tcPr>
          <w:p w14:paraId="6F5DDE3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Health state utility values</w:t>
            </w:r>
          </w:p>
        </w:tc>
        <w:tc>
          <w:tcPr>
            <w:tcW w:w="1123" w:type="dxa"/>
            <w:tcBorders>
              <w:top w:val="single" w:sz="4" w:space="0" w:color="auto"/>
              <w:left w:val="nil"/>
              <w:bottom w:val="single" w:sz="4" w:space="0" w:color="auto"/>
              <w:right w:val="nil"/>
            </w:tcBorders>
            <w:shd w:val="clear" w:color="auto" w:fill="D0CECE" w:themeFill="background2" w:themeFillShade="E6"/>
          </w:tcPr>
          <w:p w14:paraId="7F21D5B0" w14:textId="77777777" w:rsidR="004A3C29" w:rsidRPr="009166E3" w:rsidRDefault="004A3C29" w:rsidP="00A46F82">
            <w:pPr>
              <w:rPr>
                <w:rFonts w:ascii="Arial" w:hAnsi="Arial" w:cs="Arial"/>
                <w:bCs/>
                <w:sz w:val="16"/>
                <w:szCs w:val="16"/>
              </w:rPr>
            </w:pPr>
          </w:p>
        </w:tc>
        <w:tc>
          <w:tcPr>
            <w:tcW w:w="1418" w:type="dxa"/>
            <w:tcBorders>
              <w:top w:val="single" w:sz="4" w:space="0" w:color="auto"/>
              <w:left w:val="nil"/>
              <w:bottom w:val="single" w:sz="4" w:space="0" w:color="auto"/>
              <w:right w:val="nil"/>
            </w:tcBorders>
            <w:shd w:val="clear" w:color="auto" w:fill="D0CECE" w:themeFill="background2" w:themeFillShade="E6"/>
          </w:tcPr>
          <w:p w14:paraId="500FC3B0" w14:textId="77777777" w:rsidR="004A3C29" w:rsidRPr="009166E3" w:rsidRDefault="004A3C29" w:rsidP="00A46F82">
            <w:pPr>
              <w:rPr>
                <w:rFonts w:ascii="Arial" w:hAnsi="Arial" w:cs="Arial"/>
                <w:bCs/>
                <w:sz w:val="16"/>
                <w:szCs w:val="16"/>
              </w:rPr>
            </w:pPr>
          </w:p>
        </w:tc>
        <w:tc>
          <w:tcPr>
            <w:tcW w:w="1799" w:type="dxa"/>
            <w:tcBorders>
              <w:top w:val="single" w:sz="4" w:space="0" w:color="auto"/>
              <w:left w:val="nil"/>
              <w:bottom w:val="single" w:sz="4" w:space="0" w:color="auto"/>
              <w:right w:val="nil"/>
            </w:tcBorders>
            <w:shd w:val="clear" w:color="auto" w:fill="D0CECE" w:themeFill="background2" w:themeFillShade="E6"/>
          </w:tcPr>
          <w:p w14:paraId="07D30F6E" w14:textId="77777777" w:rsidR="004A3C29" w:rsidRPr="009166E3" w:rsidRDefault="004A3C29" w:rsidP="00A46F82">
            <w:pPr>
              <w:rPr>
                <w:rFonts w:ascii="Arial" w:hAnsi="Arial" w:cs="Arial"/>
                <w:bCs/>
                <w:sz w:val="16"/>
                <w:szCs w:val="16"/>
              </w:rPr>
            </w:pPr>
          </w:p>
        </w:tc>
        <w:tc>
          <w:tcPr>
            <w:tcW w:w="1907" w:type="dxa"/>
            <w:tcBorders>
              <w:top w:val="single" w:sz="4" w:space="0" w:color="auto"/>
              <w:left w:val="nil"/>
              <w:bottom w:val="single" w:sz="4" w:space="0" w:color="auto"/>
              <w:right w:val="nil"/>
            </w:tcBorders>
            <w:shd w:val="clear" w:color="auto" w:fill="D0CECE" w:themeFill="background2" w:themeFillShade="E6"/>
            <w:vAlign w:val="center"/>
          </w:tcPr>
          <w:p w14:paraId="4703B64B" w14:textId="77777777" w:rsidR="004A3C29" w:rsidRPr="009166E3" w:rsidRDefault="004A3C29" w:rsidP="00A46F82">
            <w:pPr>
              <w:rPr>
                <w:rFonts w:ascii="Arial" w:hAnsi="Arial" w:cs="Arial"/>
                <w:bCs/>
                <w:sz w:val="16"/>
                <w:szCs w:val="16"/>
              </w:rPr>
            </w:pPr>
          </w:p>
        </w:tc>
      </w:tr>
      <w:tr w:rsidR="004A3C29" w:rsidRPr="009166E3" w14:paraId="34DB9FE6" w14:textId="77777777" w:rsidTr="00A46F82">
        <w:tc>
          <w:tcPr>
            <w:tcW w:w="2779" w:type="dxa"/>
            <w:tcBorders>
              <w:top w:val="single" w:sz="4" w:space="0" w:color="auto"/>
              <w:left w:val="nil"/>
              <w:bottom w:val="single" w:sz="4" w:space="0" w:color="auto"/>
              <w:right w:val="nil"/>
            </w:tcBorders>
          </w:tcPr>
          <w:p w14:paraId="4F0F63D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Recurrence-free</w:t>
            </w:r>
          </w:p>
        </w:tc>
        <w:tc>
          <w:tcPr>
            <w:tcW w:w="1123" w:type="dxa"/>
            <w:tcBorders>
              <w:top w:val="single" w:sz="4" w:space="0" w:color="auto"/>
              <w:left w:val="nil"/>
              <w:bottom w:val="single" w:sz="4" w:space="0" w:color="auto"/>
              <w:right w:val="nil"/>
            </w:tcBorders>
          </w:tcPr>
          <w:p w14:paraId="1C75EDA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0.824</w:t>
            </w:r>
          </w:p>
        </w:tc>
        <w:tc>
          <w:tcPr>
            <w:tcW w:w="1418" w:type="dxa"/>
            <w:tcBorders>
              <w:top w:val="single" w:sz="4" w:space="0" w:color="auto"/>
              <w:left w:val="nil"/>
              <w:bottom w:val="single" w:sz="4" w:space="0" w:color="auto"/>
              <w:right w:val="nil"/>
            </w:tcBorders>
          </w:tcPr>
          <w:p w14:paraId="732BACA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0.785,0.857</w:t>
            </w:r>
          </w:p>
        </w:tc>
        <w:tc>
          <w:tcPr>
            <w:tcW w:w="1799" w:type="dxa"/>
            <w:tcBorders>
              <w:top w:val="single" w:sz="4" w:space="0" w:color="auto"/>
              <w:left w:val="nil"/>
              <w:bottom w:val="single" w:sz="4" w:space="0" w:color="auto"/>
              <w:right w:val="nil"/>
            </w:tcBorders>
          </w:tcPr>
          <w:p w14:paraId="6D8BACA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353;β</w:t>
            </w:r>
            <w:proofErr w:type="gramEnd"/>
            <w:r w:rsidRPr="009166E3">
              <w:rPr>
                <w:rFonts w:ascii="Arial" w:hAnsi="Arial" w:cs="Arial"/>
                <w:bCs/>
                <w:sz w:val="16"/>
                <w:szCs w:val="16"/>
              </w:rPr>
              <w:t>=75)</w:t>
            </w:r>
          </w:p>
        </w:tc>
        <w:tc>
          <w:tcPr>
            <w:tcW w:w="1907" w:type="dxa"/>
            <w:vMerge w:val="restart"/>
            <w:tcBorders>
              <w:top w:val="single" w:sz="4" w:space="0" w:color="auto"/>
              <w:left w:val="nil"/>
              <w:right w:val="nil"/>
            </w:tcBorders>
            <w:vAlign w:val="center"/>
          </w:tcPr>
          <w:p w14:paraId="226C6E99" w14:textId="77777777" w:rsidR="004A3C29" w:rsidRPr="009166E3" w:rsidRDefault="004A3C29" w:rsidP="00A46F82">
            <w:pPr>
              <w:rPr>
                <w:rFonts w:ascii="Arial" w:hAnsi="Arial" w:cs="Arial"/>
                <w:bCs/>
                <w:sz w:val="16"/>
                <w:szCs w:val="16"/>
              </w:rPr>
            </w:pPr>
            <w:proofErr w:type="spellStart"/>
            <w:r w:rsidRPr="009166E3">
              <w:rPr>
                <w:rFonts w:ascii="Arial" w:hAnsi="Arial" w:cs="Arial"/>
                <w:bCs/>
                <w:sz w:val="16"/>
                <w:szCs w:val="16"/>
              </w:rPr>
              <w:t>Lidgren</w:t>
            </w:r>
            <w:proofErr w:type="spellEnd"/>
            <w:r w:rsidRPr="009166E3">
              <w:rPr>
                <w:rFonts w:ascii="Arial" w:hAnsi="Arial" w:cs="Arial"/>
                <w:bCs/>
                <w:sz w:val="16"/>
                <w:szCs w:val="16"/>
              </w:rPr>
              <w:t xml:space="preserve">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{"citationItems":[{"id":"ITEM-1","itemData":{"DOI":"10.1007/s11136-007-9202-8","ISSN":"09629343","abstract":"Objectives: The aim of this study was to describe the health related quality of life (HRQoL) in different breast cancer disease states using preference-based measures. Material and Methods: A total of 361 consecutive breast cancer patients attending the breast cancer outpatient clinic at Karolinska University hospital Solna for outpatient visits between April and May 2005 were included in the study. The EQ-5D self classifier and a direct Time Trade Off (TTO) question were used to estimate the HRQoL in different breast cancer disease states. Results: Patients in their first year after a primary breast cancer had a mean EQ-5D index value of 0.696 (95% confidence interval (CI): 0.634-0.747)). Patients in their first year after a recurrence had a mean EQ-5D index value of 0.779 (CI: 0.700-0.849). Patients who had not had a primary breast cancer diagnosis or a recurrence during the previous year had a mean EQ-5D index value of 0.779 (CI: 0.745-0.811). Patients with metastatic disease reported the lowest HRQoL values, and had a mean EQ-5D index value of 0.685 (CI: 0.620-0.735). The main driver behind the reduction in HRQoL was pain and discomfort as well as anxiety and depression. TTO values were higher for all diseases states compared to the EQ-5D index values. Conclusion: This study shows that breast cancer is associated with a reduction in HRQoL. This effect is most pronounced for patients with metastatic disease. © 2007 Springer Science+Business Media B.V.","author":[{"dropping-particle":"","family":"Lidgren","given":"Mathias","non-dropping-particle":"","parse-names":false,"suffix":""},{"dropping-particle":"","family":"Wilking","given":"Nils","non-dropping-particle":"","parse-names":false,"suffix":""},{"dropping-particle":"","family":"Jönsson","given":"Bengt","non-dropping-particle":"","parse-names":false,"suffix":""},{"dropping-particle":"","family":"Rehnberg","given":"Clas","non-dropping-particle":"","parse-names":false,"suffix":""}],"container-title":"Quality of Life Research","id":"ITEM-1","issue":"6","issued":{"date-parts":[["2007","8"]]},"page":"1073-1081","publisher":"Qual Life Res","title":"Health related quality of life in different states of breast cancer","type":"article-journal","volume":"16"},"uris":["http://www.mendeley.com/documents/?uuid=632837db-948d-3bdf-ab01-8fa7cf55eb6d"]}],"mendeley":{"formattedCitation":"&lt;sup&gt;16&lt;/sup&gt;","plainTextFormattedCitation":"16","previouslyFormattedCitation":"&lt;sup&gt;33&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16</w:t>
            </w:r>
            <w:r w:rsidRPr="009166E3">
              <w:rPr>
                <w:rFonts w:ascii="Arial" w:hAnsi="Arial" w:cs="Arial"/>
                <w:bCs/>
                <w:sz w:val="16"/>
                <w:szCs w:val="16"/>
              </w:rPr>
              <w:fldChar w:fldCharType="end"/>
            </w:r>
          </w:p>
        </w:tc>
      </w:tr>
      <w:tr w:rsidR="004A3C29" w:rsidRPr="009166E3" w14:paraId="6A5C8AEF" w14:textId="77777777" w:rsidTr="00A46F82">
        <w:tc>
          <w:tcPr>
            <w:tcW w:w="2779" w:type="dxa"/>
            <w:tcBorders>
              <w:top w:val="single" w:sz="4" w:space="0" w:color="auto"/>
              <w:left w:val="nil"/>
              <w:bottom w:val="single" w:sz="4" w:space="0" w:color="auto"/>
              <w:right w:val="nil"/>
            </w:tcBorders>
          </w:tcPr>
          <w:p w14:paraId="68921CD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Distant recurrence</w:t>
            </w:r>
          </w:p>
        </w:tc>
        <w:tc>
          <w:tcPr>
            <w:tcW w:w="1123" w:type="dxa"/>
            <w:tcBorders>
              <w:top w:val="single" w:sz="4" w:space="0" w:color="auto"/>
              <w:left w:val="nil"/>
              <w:bottom w:val="single" w:sz="4" w:space="0" w:color="auto"/>
              <w:right w:val="nil"/>
            </w:tcBorders>
          </w:tcPr>
          <w:p w14:paraId="486A09C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0.685</w:t>
            </w:r>
          </w:p>
        </w:tc>
        <w:tc>
          <w:tcPr>
            <w:tcW w:w="1418" w:type="dxa"/>
            <w:tcBorders>
              <w:top w:val="single" w:sz="4" w:space="0" w:color="auto"/>
              <w:left w:val="nil"/>
              <w:bottom w:val="single" w:sz="4" w:space="0" w:color="auto"/>
              <w:right w:val="nil"/>
            </w:tcBorders>
          </w:tcPr>
          <w:p w14:paraId="2704DED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0.620,0.735</w:t>
            </w:r>
          </w:p>
        </w:tc>
        <w:tc>
          <w:tcPr>
            <w:tcW w:w="1799" w:type="dxa"/>
            <w:tcBorders>
              <w:top w:val="single" w:sz="4" w:space="0" w:color="auto"/>
              <w:left w:val="nil"/>
              <w:bottom w:val="single" w:sz="4" w:space="0" w:color="auto"/>
              <w:right w:val="nil"/>
            </w:tcBorders>
          </w:tcPr>
          <w:p w14:paraId="00E4F07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171;β</w:t>
            </w:r>
            <w:proofErr w:type="gramEnd"/>
            <w:r w:rsidRPr="009166E3">
              <w:rPr>
                <w:rFonts w:ascii="Arial" w:hAnsi="Arial" w:cs="Arial"/>
                <w:bCs/>
                <w:sz w:val="16"/>
                <w:szCs w:val="16"/>
              </w:rPr>
              <w:t>=79)</w:t>
            </w:r>
          </w:p>
        </w:tc>
        <w:tc>
          <w:tcPr>
            <w:tcW w:w="1907" w:type="dxa"/>
            <w:vMerge/>
            <w:tcBorders>
              <w:left w:val="nil"/>
              <w:bottom w:val="single" w:sz="4" w:space="0" w:color="auto"/>
              <w:right w:val="nil"/>
            </w:tcBorders>
            <w:vAlign w:val="center"/>
          </w:tcPr>
          <w:p w14:paraId="69EAA8D9" w14:textId="77777777" w:rsidR="004A3C29" w:rsidRPr="009166E3" w:rsidRDefault="004A3C29" w:rsidP="00A46F82">
            <w:pPr>
              <w:rPr>
                <w:rFonts w:ascii="Arial" w:hAnsi="Arial" w:cs="Arial"/>
                <w:bCs/>
                <w:sz w:val="16"/>
                <w:szCs w:val="16"/>
              </w:rPr>
            </w:pPr>
          </w:p>
        </w:tc>
      </w:tr>
      <w:tr w:rsidR="004A3C29" w:rsidRPr="009166E3" w14:paraId="089876B6" w14:textId="77777777" w:rsidTr="00A46F82">
        <w:tc>
          <w:tcPr>
            <w:tcW w:w="2779" w:type="dxa"/>
            <w:tcBorders>
              <w:top w:val="single" w:sz="4" w:space="0" w:color="auto"/>
              <w:left w:val="nil"/>
              <w:bottom w:val="single" w:sz="4" w:space="0" w:color="auto"/>
              <w:right w:val="nil"/>
            </w:tcBorders>
          </w:tcPr>
          <w:p w14:paraId="7B4AF30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AML</w:t>
            </w:r>
          </w:p>
        </w:tc>
        <w:tc>
          <w:tcPr>
            <w:tcW w:w="1123" w:type="dxa"/>
            <w:tcBorders>
              <w:top w:val="single" w:sz="4" w:space="0" w:color="auto"/>
              <w:left w:val="nil"/>
              <w:bottom w:val="single" w:sz="4" w:space="0" w:color="auto"/>
              <w:right w:val="nil"/>
            </w:tcBorders>
          </w:tcPr>
          <w:p w14:paraId="055A253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0.550</w:t>
            </w:r>
          </w:p>
        </w:tc>
        <w:tc>
          <w:tcPr>
            <w:tcW w:w="1418" w:type="dxa"/>
            <w:tcBorders>
              <w:top w:val="single" w:sz="4" w:space="0" w:color="auto"/>
              <w:left w:val="nil"/>
              <w:bottom w:val="single" w:sz="4" w:space="0" w:color="auto"/>
              <w:right w:val="nil"/>
            </w:tcBorders>
          </w:tcPr>
          <w:p w14:paraId="6E52888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0.504,0.596</w:t>
            </w:r>
          </w:p>
        </w:tc>
        <w:tc>
          <w:tcPr>
            <w:tcW w:w="1799" w:type="dxa"/>
            <w:tcBorders>
              <w:top w:val="single" w:sz="4" w:space="0" w:color="auto"/>
              <w:left w:val="nil"/>
              <w:bottom w:val="single" w:sz="4" w:space="0" w:color="auto"/>
              <w:right w:val="nil"/>
            </w:tcBorders>
          </w:tcPr>
          <w:p w14:paraId="6F4C327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257;β</w:t>
            </w:r>
            <w:proofErr w:type="gramEnd"/>
            <w:r w:rsidRPr="009166E3">
              <w:rPr>
                <w:rFonts w:ascii="Arial" w:hAnsi="Arial" w:cs="Arial"/>
                <w:bCs/>
                <w:sz w:val="16"/>
                <w:szCs w:val="16"/>
              </w:rPr>
              <w:t>=210)</w:t>
            </w:r>
          </w:p>
        </w:tc>
        <w:tc>
          <w:tcPr>
            <w:tcW w:w="1907" w:type="dxa"/>
            <w:tcBorders>
              <w:top w:val="single" w:sz="4" w:space="0" w:color="auto"/>
              <w:left w:val="nil"/>
              <w:bottom w:val="single" w:sz="4" w:space="0" w:color="auto"/>
              <w:right w:val="nil"/>
            </w:tcBorders>
            <w:vAlign w:val="center"/>
          </w:tcPr>
          <w:p w14:paraId="59395C5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NICE TA552</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Excellence","given":"","non-dropping-particle":"","parse-names":false,"suffix":""}],"id":"ITEM-1","issued":{"date-parts":[["2018"]]},"title":"Liposomal cytarabine–daunorubicin for untreated acute myeloid leukaemia","type":"report"},"uris":["http://www.mendeley.com/documents/?uuid=99a6a527-7b01-40d3-a38a-cf6b8834e97e"]}],"mendeley":{"formattedCitation":"&lt;sup&gt;15&lt;/sup&gt;","plainTextFormattedCitation":"15","previouslyFormattedCitation":"&lt;sup&gt;31&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15</w:t>
            </w:r>
            <w:r w:rsidRPr="009166E3">
              <w:rPr>
                <w:rFonts w:ascii="Arial" w:hAnsi="Arial" w:cs="Arial"/>
                <w:bCs/>
                <w:sz w:val="16"/>
                <w:szCs w:val="16"/>
              </w:rPr>
              <w:fldChar w:fldCharType="end"/>
            </w:r>
          </w:p>
        </w:tc>
      </w:tr>
      <w:tr w:rsidR="004A3C29" w:rsidRPr="009166E3" w14:paraId="4FF2BB50" w14:textId="77777777" w:rsidTr="00A46F82">
        <w:tc>
          <w:tcPr>
            <w:tcW w:w="2779" w:type="dxa"/>
            <w:tcBorders>
              <w:top w:val="single" w:sz="4" w:space="0" w:color="auto"/>
              <w:left w:val="nil"/>
              <w:bottom w:val="single" w:sz="4" w:space="0" w:color="auto"/>
              <w:right w:val="nil"/>
            </w:tcBorders>
            <w:shd w:val="clear" w:color="auto" w:fill="D0CECE" w:themeFill="background2" w:themeFillShade="E6"/>
          </w:tcPr>
          <w:p w14:paraId="5C0ED65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Utility decrements</w:t>
            </w:r>
          </w:p>
        </w:tc>
        <w:tc>
          <w:tcPr>
            <w:tcW w:w="1123" w:type="dxa"/>
            <w:tcBorders>
              <w:top w:val="single" w:sz="4" w:space="0" w:color="auto"/>
              <w:left w:val="nil"/>
              <w:bottom w:val="single" w:sz="4" w:space="0" w:color="auto"/>
              <w:right w:val="nil"/>
            </w:tcBorders>
            <w:shd w:val="clear" w:color="auto" w:fill="D0CECE" w:themeFill="background2" w:themeFillShade="E6"/>
          </w:tcPr>
          <w:p w14:paraId="4040D617" w14:textId="77777777" w:rsidR="004A3C29" w:rsidRPr="009166E3" w:rsidRDefault="004A3C29" w:rsidP="00A46F82">
            <w:pPr>
              <w:rPr>
                <w:rFonts w:ascii="Arial" w:hAnsi="Arial" w:cs="Arial"/>
                <w:bCs/>
                <w:sz w:val="16"/>
                <w:szCs w:val="16"/>
              </w:rPr>
            </w:pPr>
          </w:p>
        </w:tc>
        <w:tc>
          <w:tcPr>
            <w:tcW w:w="1418" w:type="dxa"/>
            <w:tcBorders>
              <w:top w:val="single" w:sz="4" w:space="0" w:color="auto"/>
              <w:left w:val="nil"/>
              <w:bottom w:val="single" w:sz="4" w:space="0" w:color="auto"/>
              <w:right w:val="nil"/>
            </w:tcBorders>
            <w:shd w:val="clear" w:color="auto" w:fill="D0CECE" w:themeFill="background2" w:themeFillShade="E6"/>
          </w:tcPr>
          <w:p w14:paraId="12620314" w14:textId="77777777" w:rsidR="004A3C29" w:rsidRPr="009166E3" w:rsidRDefault="004A3C29" w:rsidP="00A46F82">
            <w:pPr>
              <w:rPr>
                <w:rFonts w:ascii="Arial" w:hAnsi="Arial" w:cs="Arial"/>
                <w:bCs/>
                <w:sz w:val="16"/>
                <w:szCs w:val="16"/>
              </w:rPr>
            </w:pPr>
          </w:p>
        </w:tc>
        <w:tc>
          <w:tcPr>
            <w:tcW w:w="1799" w:type="dxa"/>
            <w:tcBorders>
              <w:top w:val="single" w:sz="4" w:space="0" w:color="auto"/>
              <w:left w:val="nil"/>
              <w:bottom w:val="single" w:sz="4" w:space="0" w:color="auto"/>
              <w:right w:val="nil"/>
            </w:tcBorders>
            <w:shd w:val="clear" w:color="auto" w:fill="D0CECE" w:themeFill="background2" w:themeFillShade="E6"/>
          </w:tcPr>
          <w:p w14:paraId="551CDE1F" w14:textId="77777777" w:rsidR="004A3C29" w:rsidRPr="009166E3" w:rsidRDefault="004A3C29" w:rsidP="00A46F82">
            <w:pPr>
              <w:rPr>
                <w:rFonts w:ascii="Arial" w:hAnsi="Arial" w:cs="Arial"/>
                <w:bCs/>
                <w:sz w:val="16"/>
                <w:szCs w:val="16"/>
              </w:rPr>
            </w:pPr>
          </w:p>
        </w:tc>
        <w:tc>
          <w:tcPr>
            <w:tcW w:w="1907" w:type="dxa"/>
            <w:tcBorders>
              <w:top w:val="single" w:sz="4" w:space="0" w:color="auto"/>
              <w:left w:val="nil"/>
              <w:bottom w:val="single" w:sz="4" w:space="0" w:color="auto"/>
              <w:right w:val="nil"/>
            </w:tcBorders>
            <w:shd w:val="clear" w:color="auto" w:fill="D0CECE" w:themeFill="background2" w:themeFillShade="E6"/>
            <w:vAlign w:val="center"/>
          </w:tcPr>
          <w:p w14:paraId="4F822C85" w14:textId="77777777" w:rsidR="004A3C29" w:rsidRPr="009166E3" w:rsidRDefault="004A3C29" w:rsidP="00A46F82">
            <w:pPr>
              <w:rPr>
                <w:rFonts w:ascii="Arial" w:hAnsi="Arial" w:cs="Arial"/>
                <w:bCs/>
                <w:sz w:val="16"/>
                <w:szCs w:val="16"/>
              </w:rPr>
            </w:pPr>
          </w:p>
        </w:tc>
      </w:tr>
      <w:tr w:rsidR="004A3C29" w:rsidRPr="009166E3" w14:paraId="47201DED" w14:textId="77777777" w:rsidTr="00A46F82">
        <w:tc>
          <w:tcPr>
            <w:tcW w:w="2779" w:type="dxa"/>
            <w:tcBorders>
              <w:top w:val="single" w:sz="4" w:space="0" w:color="auto"/>
              <w:left w:val="nil"/>
              <w:bottom w:val="single" w:sz="4" w:space="0" w:color="auto"/>
              <w:right w:val="nil"/>
            </w:tcBorders>
          </w:tcPr>
          <w:p w14:paraId="2E08D37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Local recurrence</w:t>
            </w:r>
          </w:p>
        </w:tc>
        <w:tc>
          <w:tcPr>
            <w:tcW w:w="1123" w:type="dxa"/>
            <w:tcBorders>
              <w:top w:val="single" w:sz="4" w:space="0" w:color="auto"/>
              <w:left w:val="nil"/>
              <w:bottom w:val="single" w:sz="4" w:space="0" w:color="auto"/>
              <w:right w:val="nil"/>
            </w:tcBorders>
          </w:tcPr>
          <w:p w14:paraId="23A5492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0.108</w:t>
            </w:r>
          </w:p>
        </w:tc>
        <w:tc>
          <w:tcPr>
            <w:tcW w:w="1418" w:type="dxa"/>
            <w:tcBorders>
              <w:top w:val="single" w:sz="4" w:space="0" w:color="auto"/>
              <w:left w:val="nil"/>
              <w:bottom w:val="single" w:sz="4" w:space="0" w:color="auto"/>
              <w:right w:val="nil"/>
            </w:tcBorders>
          </w:tcPr>
          <w:p w14:paraId="16F5587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0.028,0.188</w:t>
            </w:r>
          </w:p>
        </w:tc>
        <w:tc>
          <w:tcPr>
            <w:tcW w:w="1799" w:type="dxa"/>
            <w:tcBorders>
              <w:top w:val="single" w:sz="4" w:space="0" w:color="auto"/>
              <w:left w:val="nil"/>
              <w:bottom w:val="single" w:sz="4" w:space="0" w:color="auto"/>
              <w:right w:val="nil"/>
            </w:tcBorders>
          </w:tcPr>
          <w:p w14:paraId="5D4F45D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6;β</w:t>
            </w:r>
            <w:proofErr w:type="gramEnd"/>
            <w:r w:rsidRPr="009166E3">
              <w:rPr>
                <w:rFonts w:ascii="Arial" w:hAnsi="Arial" w:cs="Arial"/>
                <w:bCs/>
                <w:sz w:val="16"/>
                <w:szCs w:val="16"/>
              </w:rPr>
              <w:t>=53)</w:t>
            </w:r>
          </w:p>
        </w:tc>
        <w:tc>
          <w:tcPr>
            <w:tcW w:w="1907" w:type="dxa"/>
            <w:tcBorders>
              <w:top w:val="single" w:sz="4" w:space="0" w:color="auto"/>
              <w:left w:val="nil"/>
              <w:bottom w:val="single" w:sz="4" w:space="0" w:color="auto"/>
              <w:right w:val="nil"/>
            </w:tcBorders>
            <w:vAlign w:val="center"/>
          </w:tcPr>
          <w:p w14:paraId="4536171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Campbell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{"citationItems":[{"id":"ITEM-1","itemData":{"DOI":"10.1016/j.ejca.2011.06.019","ISSN":"09598049","abstract":"Background: The risk of recurrence following surgery in women with early breast cancer varies, depending upon prognostic factors. Adjuvant chemotherapy reduces this risk; however, increasingly effective regimens are associated with higher costs and toxicity profiles, making it likely that different regimens may be cost-effective for women with differing prognoses. To investigate this we performed a cost-effectiveness analysis of four treatment strategies: (1) no chemotherapy, (2) chemotherapy using cyclophosphamide, methotrexate, and fluorouracil (CMF) (a first generation regimen), (3) chemotherapy using Epirubicin-CMF (E-CMF) or fluorouracil, epirubicin, and cyclophosphamide (FEC60) (a second generation regimens), and (4) chemotherapy with FEC60 followed by docetaxel (FEC-D) (a third generation regimen). These adjuvant chemotherapy regimens were used in three large UK-led randomised controlled trials (RCTs). Methods: A Markov model was used to simulate the natural progression of early breast cancer and the impact of chemotherapy on modifying this process. The probability of a first recurrent event within the model was estimated for women with different prognostic risk profiles using a parametric regression-based survival model incorporating established prognostic factors. Other probabilities, treatment effects, costs and quality of life weights were estimated primarily using data from the three UK-led RCTs, a meta-analysis of all relevant RCTs, and other published literature. The model predicted the lifetime costs, quality adjusted life years (QALYs) and cost-effectiveness of the four strategies for women with differing prognoses. Sensitivity analyses investigated the impact of uncertain parameters and model assumptions. Findings: For women with an average to high risk of recurrence (based upon prognostic factors and any other adjuvant therapies received), FEC-D appeared most cost-effective assuming a threshold of £20,000 per QALY for the National Health Service (NHS). For younger low risk women, E-CMF/FEC60 tended to be the optimal strategy and, for some older low risk women, the model suggested a policy of no chemotherapy was cost-effective. For no patient group was CMF chemotherapy the preferred option. Sensitivity analyses demonstrated cost-effectiveness results to be particularly sensitive to the treatment effect estimate for FEC-D and the future price of docetaxel. Interpretation: To our knowledge, this analysis is the first cost-effectiveness co…","author":[{"dropping-particle":"","family":"Campbell","given":"H. E.","non-dropping-particle":"","parse-names":false,"suffix":""},{"dropping-particle":"","family":"Epstein","given":"D.","non-dropping-particle":"","parse-names":false,"suffix":""},{"dropping-particle":"","family":"Bloomfield","given":"D.","non-dropping-particle":"","parse-names":false,"suffix":""},{"dropping-particle":"","family":"Griffin","given":"S.","non-dropping-particle":"","parse-names":false,"suffix":""},{"dropping-particle":"","family":"Manca","given":"A.","non-dropping-particle":"","parse-names":false,"suffix":""},{"dropping-particle":"","family":"Yarnold","given":"J.","non-dropping-particle":"","parse-names":false,"suffix":""},{"dropping-particle":"","family":"Bliss","given":"J.","non-dropping-particle":"","parse-names":false,"suffix":""},{"dropping-particle":"","family":"Johnson","given":"L.","non-dropping-particle":"","parse-names":false,"suffix":""},{"dropping-particle":"","family":"Earl","given":"H.","non-dropping-particle":"","parse-names":false,"suffix":""},{"dropping-particle":"","family":"Poole","given":"C.","non-dropping-particle":"","parse-names":false,"suffix":""},{"dropping-particle":"","family":"Hiller","given":"L.","non-dropping-particle":"","parse-names":false,"suffix":""},{"dropping-particle":"","family":"Dunn","given":"J.","non-dropping-particle":"","parse-names":false,"suffix":""},{"dropping-particle":"","family":"Hopwood","given":"P.","non-dropping-particle":"","parse-names":false,"suffix":""},{"dropping-particle":"","family":"Barrett-Lee","given":"P.","non-dropping-particle":"","parse-names":false,"suffix":""},{"dropping-particle":"","family":"Ellis","given":"P.","non-dropping-particle":"","parse-names":false,"suffix":""},{"dropping-particle":"","family":"Cameron","given":"D.","non-dropping-particle":"","parse-names":false,"suffix":""},{"dropping-particle":"","family":"Harris","given":"A. L.","non-dropping-particle":"","parse-names":false,"suffix":""},{"dropping-particle":"","family":"Gray","given":"A. M.","non-dropping-particle":"","parse-names":false,"suffix":""},{"dropping-particle":"","family":"Sculpher","given":"M. J.","non-dropping-particle":"","parse-names":false,"suffix":""}],"container-title":"European Journal of Cancer","id":"ITEM-1","issue":"17","issued":{"date-parts":[["2011","11"]]},"page":"2517-2530","publisher":"Eur J Cancer","title":"The cost-effectiveness of adjuvant chemotherapy for early breast cancer: A comparison of no chemotherapy and first, second, and third generation regimens for patients with differing prognoses","type":"article-journal","volume":"47"},"uris":["http://www.mendeley.com/documents/?uuid=058e529c-fd53-31ee-8358-4152d47dad4d"]}],"mendeley":{"formattedCitation":"&lt;sup&gt;17&lt;/sup&gt;","plainTextFormattedCitation":"17","previouslyFormattedCitation":"&lt;sup&gt;34&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17</w:t>
            </w:r>
            <w:r w:rsidRPr="009166E3">
              <w:rPr>
                <w:rFonts w:ascii="Arial" w:hAnsi="Arial" w:cs="Arial"/>
                <w:bCs/>
                <w:sz w:val="16"/>
                <w:szCs w:val="16"/>
              </w:rPr>
              <w:fldChar w:fldCharType="end"/>
            </w:r>
          </w:p>
        </w:tc>
      </w:tr>
      <w:tr w:rsidR="004A3C29" w:rsidRPr="009166E3" w14:paraId="0E56E12B" w14:textId="77777777" w:rsidTr="00A46F82">
        <w:tc>
          <w:tcPr>
            <w:tcW w:w="2779" w:type="dxa"/>
            <w:tcBorders>
              <w:top w:val="single" w:sz="4" w:space="0" w:color="auto"/>
              <w:left w:val="nil"/>
              <w:bottom w:val="single" w:sz="4" w:space="0" w:color="auto"/>
              <w:right w:val="nil"/>
            </w:tcBorders>
          </w:tcPr>
          <w:p w14:paraId="3628E7C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Chemotherapy</w:t>
            </w:r>
          </w:p>
        </w:tc>
        <w:tc>
          <w:tcPr>
            <w:tcW w:w="1123" w:type="dxa"/>
            <w:tcBorders>
              <w:top w:val="single" w:sz="4" w:space="0" w:color="auto"/>
              <w:left w:val="nil"/>
              <w:bottom w:val="single" w:sz="4" w:space="0" w:color="auto"/>
              <w:right w:val="nil"/>
            </w:tcBorders>
          </w:tcPr>
          <w:p w14:paraId="5A4FF56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0.038</w:t>
            </w:r>
          </w:p>
        </w:tc>
        <w:tc>
          <w:tcPr>
            <w:tcW w:w="1418" w:type="dxa"/>
            <w:tcBorders>
              <w:top w:val="single" w:sz="4" w:space="0" w:color="auto"/>
              <w:left w:val="nil"/>
              <w:bottom w:val="single" w:sz="4" w:space="0" w:color="auto"/>
              <w:right w:val="nil"/>
            </w:tcBorders>
          </w:tcPr>
          <w:p w14:paraId="48879C1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0.030,0.046</w:t>
            </w:r>
          </w:p>
        </w:tc>
        <w:tc>
          <w:tcPr>
            <w:tcW w:w="1799" w:type="dxa"/>
            <w:tcBorders>
              <w:top w:val="single" w:sz="4" w:space="0" w:color="auto"/>
              <w:left w:val="nil"/>
              <w:bottom w:val="single" w:sz="4" w:space="0" w:color="auto"/>
              <w:right w:val="nil"/>
            </w:tcBorders>
          </w:tcPr>
          <w:p w14:paraId="157CB08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Beta (α=</w:t>
            </w:r>
            <w:proofErr w:type="gramStart"/>
            <w:r w:rsidRPr="009166E3">
              <w:rPr>
                <w:rFonts w:ascii="Arial" w:hAnsi="Arial" w:cs="Arial"/>
                <w:bCs/>
                <w:sz w:val="16"/>
                <w:szCs w:val="16"/>
              </w:rPr>
              <w:t>92;β</w:t>
            </w:r>
            <w:proofErr w:type="gramEnd"/>
            <w:r w:rsidRPr="009166E3">
              <w:rPr>
                <w:rFonts w:ascii="Arial" w:hAnsi="Arial" w:cs="Arial"/>
                <w:bCs/>
                <w:sz w:val="16"/>
                <w:szCs w:val="16"/>
              </w:rPr>
              <w:t>=2338)</w:t>
            </w:r>
          </w:p>
        </w:tc>
        <w:tc>
          <w:tcPr>
            <w:tcW w:w="1907" w:type="dxa"/>
            <w:tcBorders>
              <w:top w:val="single" w:sz="4" w:space="0" w:color="auto"/>
              <w:left w:val="nil"/>
              <w:bottom w:val="single" w:sz="4" w:space="0" w:color="auto"/>
              <w:right w:val="nil"/>
            </w:tcBorders>
            <w:vAlign w:val="center"/>
          </w:tcPr>
          <w:p w14:paraId="6B8CA9B1" w14:textId="77777777" w:rsidR="004A3C29" w:rsidRPr="009166E3" w:rsidRDefault="004A3C29" w:rsidP="00A46F82">
            <w:pPr>
              <w:rPr>
                <w:rFonts w:ascii="Arial" w:hAnsi="Arial" w:cs="Arial"/>
                <w:bCs/>
                <w:sz w:val="16"/>
                <w:szCs w:val="16"/>
              </w:rPr>
            </w:pPr>
            <w:proofErr w:type="spellStart"/>
            <w:r w:rsidRPr="009166E3">
              <w:rPr>
                <w:rFonts w:ascii="Arial" w:hAnsi="Arial" w:cs="Arial"/>
                <w:bCs/>
                <w:sz w:val="16"/>
                <w:szCs w:val="16"/>
              </w:rPr>
              <w:t>Lidgren</w:t>
            </w:r>
            <w:proofErr w:type="spellEnd"/>
            <w:r w:rsidRPr="009166E3">
              <w:rPr>
                <w:rFonts w:ascii="Arial" w:hAnsi="Arial" w:cs="Arial"/>
                <w:bCs/>
                <w:sz w:val="16"/>
                <w:szCs w:val="16"/>
              </w:rPr>
              <w:t xml:space="preserve">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{"citationItems":[{"id":"ITEM-1","itemData":{"DOI":"10.1007/s11136-007-9202-8","ISSN":"09629343","abstract":"Objectives: The aim of this study was to describe the health related quality of life (HRQoL) in different breast cancer disease states using preference-based measures. Material and Methods: A total of 361 consecutive breast cancer patients attending the breast cancer outpatient clinic at Karolinska University hospital Solna for outpatient visits between April and May 2005 were included in the study. The EQ-5D self classifier and a direct Time Trade Off (TTO) question were used to estimate the HRQoL in different breast cancer disease states. Results: Patients in their first year after a primary breast cancer had a mean EQ-5D index value of 0.696 (95% confidence interval (CI): 0.634-0.747)). Patients in their first year after a recurrence had a mean EQ-5D index value of 0.779 (CI: 0.700-0.849). Patients who had not had a primary breast cancer diagnosis or a recurrence during the previous year had a mean EQ-5D index value of 0.779 (CI: 0.745-0.811). Patients with metastatic disease reported the lowest HRQoL values, and had a mean EQ-5D index value of 0.685 (CI: 0.620-0.735). The main driver behind the reduction in HRQoL was pain and discomfort as well as anxiety and depression. TTO values were higher for all diseases states compared to the EQ-5D index values. Conclusion: This study shows that breast cancer is associated with a reduction in HRQoL. This effect is most pronounced for patients with metastatic disease. © 2007 Springer Science+Business Media B.V.","author":[{"dropping-particle":"","family":"Lidgren","given":"Mathias","non-dropping-particle":"","parse-names":false,"suffix":""},{"dropping-particle":"","family":"Wilking","given":"Nils","non-dropping-particle":"","parse-names":false,"suffix":""},{"dropping-particle":"","family":"Jönsson","given":"Bengt","non-dropping-particle":"","parse-names":false,"suffix":""},{"dropping-particle":"","family":"Rehnberg","given":"Clas","non-dropping-particle":"","parse-names":false,"suffix":""}],"container-title":"Quality of Life Research","id":"ITEM-1","issue":"6","issued":{"date-parts":[["2007","8"]]},"page":"1073-1081","publisher":"Qual Life Res","title":"Health related quality of life in different states of breast cancer","type":"article-journal","volume":"16"},"uris":["http://www.mendeley.com/documents/?uuid=632837db-948d-3bdf-ab01-8fa7cf55eb6d"]}],"mendeley":{"formattedCitation":"&lt;sup&gt;16&lt;/sup&gt;","plainTextFormattedCitation":"16","previouslyFormattedCitation":"&lt;sup&gt;33&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16</w:t>
            </w:r>
            <w:r w:rsidRPr="009166E3">
              <w:rPr>
                <w:rFonts w:ascii="Arial" w:hAnsi="Arial" w:cs="Arial"/>
                <w:bCs/>
                <w:sz w:val="16"/>
                <w:szCs w:val="16"/>
              </w:rPr>
              <w:fldChar w:fldCharType="end"/>
            </w:r>
          </w:p>
        </w:tc>
      </w:tr>
      <w:tr w:rsidR="004A3C29" w:rsidRPr="009166E3" w14:paraId="46E4856F" w14:textId="77777777" w:rsidTr="00A46F82">
        <w:tc>
          <w:tcPr>
            <w:tcW w:w="2779" w:type="dxa"/>
            <w:tcBorders>
              <w:top w:val="single" w:sz="4" w:space="0" w:color="auto"/>
              <w:left w:val="nil"/>
              <w:bottom w:val="single" w:sz="4" w:space="0" w:color="auto"/>
              <w:right w:val="nil"/>
            </w:tcBorders>
            <w:shd w:val="clear" w:color="auto" w:fill="D0CECE" w:themeFill="background2" w:themeFillShade="E6"/>
          </w:tcPr>
          <w:p w14:paraId="3608D77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Unit costs</w:t>
            </w:r>
          </w:p>
        </w:tc>
        <w:tc>
          <w:tcPr>
            <w:tcW w:w="1123" w:type="dxa"/>
            <w:tcBorders>
              <w:top w:val="single" w:sz="4" w:space="0" w:color="auto"/>
              <w:left w:val="nil"/>
              <w:bottom w:val="single" w:sz="4" w:space="0" w:color="auto"/>
              <w:right w:val="nil"/>
            </w:tcBorders>
            <w:shd w:val="clear" w:color="auto" w:fill="D0CECE" w:themeFill="background2" w:themeFillShade="E6"/>
          </w:tcPr>
          <w:p w14:paraId="0C3E7D1F" w14:textId="77777777" w:rsidR="004A3C29" w:rsidRPr="009166E3" w:rsidRDefault="004A3C29" w:rsidP="00A46F82">
            <w:pPr>
              <w:rPr>
                <w:rFonts w:ascii="Arial" w:hAnsi="Arial" w:cs="Arial"/>
                <w:bCs/>
                <w:sz w:val="16"/>
                <w:szCs w:val="16"/>
              </w:rPr>
            </w:pPr>
          </w:p>
        </w:tc>
        <w:tc>
          <w:tcPr>
            <w:tcW w:w="1418" w:type="dxa"/>
            <w:tcBorders>
              <w:top w:val="single" w:sz="4" w:space="0" w:color="auto"/>
              <w:left w:val="nil"/>
              <w:bottom w:val="single" w:sz="4" w:space="0" w:color="auto"/>
              <w:right w:val="nil"/>
            </w:tcBorders>
            <w:shd w:val="clear" w:color="auto" w:fill="D0CECE" w:themeFill="background2" w:themeFillShade="E6"/>
          </w:tcPr>
          <w:p w14:paraId="5452CB07" w14:textId="77777777" w:rsidR="004A3C29" w:rsidRPr="009166E3" w:rsidRDefault="004A3C29" w:rsidP="00A46F82">
            <w:pPr>
              <w:rPr>
                <w:rFonts w:ascii="Arial" w:hAnsi="Arial" w:cs="Arial"/>
                <w:bCs/>
                <w:sz w:val="16"/>
                <w:szCs w:val="16"/>
              </w:rPr>
            </w:pPr>
          </w:p>
        </w:tc>
        <w:tc>
          <w:tcPr>
            <w:tcW w:w="1799" w:type="dxa"/>
            <w:tcBorders>
              <w:top w:val="single" w:sz="4" w:space="0" w:color="auto"/>
              <w:left w:val="nil"/>
              <w:bottom w:val="single" w:sz="4" w:space="0" w:color="auto"/>
              <w:right w:val="nil"/>
            </w:tcBorders>
            <w:shd w:val="clear" w:color="auto" w:fill="D0CECE" w:themeFill="background2" w:themeFillShade="E6"/>
          </w:tcPr>
          <w:p w14:paraId="0743B14D" w14:textId="77777777" w:rsidR="004A3C29" w:rsidRPr="009166E3" w:rsidRDefault="004A3C29" w:rsidP="00A46F82">
            <w:pPr>
              <w:rPr>
                <w:rFonts w:ascii="Arial" w:hAnsi="Arial" w:cs="Arial"/>
                <w:bCs/>
                <w:sz w:val="16"/>
                <w:szCs w:val="16"/>
              </w:rPr>
            </w:pPr>
          </w:p>
        </w:tc>
        <w:tc>
          <w:tcPr>
            <w:tcW w:w="1907" w:type="dxa"/>
            <w:tcBorders>
              <w:top w:val="single" w:sz="4" w:space="0" w:color="auto"/>
              <w:left w:val="nil"/>
              <w:bottom w:val="single" w:sz="4" w:space="0" w:color="auto"/>
              <w:right w:val="nil"/>
            </w:tcBorders>
            <w:shd w:val="clear" w:color="auto" w:fill="D0CECE" w:themeFill="background2" w:themeFillShade="E6"/>
            <w:vAlign w:val="center"/>
          </w:tcPr>
          <w:p w14:paraId="4AF57DB6" w14:textId="77777777" w:rsidR="004A3C29" w:rsidRPr="009166E3" w:rsidRDefault="004A3C29" w:rsidP="00A46F82">
            <w:pPr>
              <w:rPr>
                <w:rFonts w:ascii="Arial" w:hAnsi="Arial" w:cs="Arial"/>
                <w:bCs/>
                <w:sz w:val="16"/>
                <w:szCs w:val="16"/>
              </w:rPr>
            </w:pPr>
          </w:p>
        </w:tc>
      </w:tr>
      <w:tr w:rsidR="004A3C29" w:rsidRPr="009166E3" w14:paraId="002B9ACF" w14:textId="77777777" w:rsidTr="00A46F82">
        <w:tc>
          <w:tcPr>
            <w:tcW w:w="2779" w:type="dxa"/>
            <w:tcBorders>
              <w:top w:val="single" w:sz="4" w:space="0" w:color="auto"/>
              <w:left w:val="nil"/>
              <w:bottom w:val="single" w:sz="4" w:space="0" w:color="auto"/>
              <w:right w:val="nil"/>
            </w:tcBorders>
          </w:tcPr>
          <w:p w14:paraId="47DFD6C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Test cost Oncotype DX</w:t>
            </w:r>
          </w:p>
        </w:tc>
        <w:tc>
          <w:tcPr>
            <w:tcW w:w="1123" w:type="dxa"/>
            <w:tcBorders>
              <w:top w:val="single" w:sz="4" w:space="0" w:color="auto"/>
              <w:left w:val="nil"/>
              <w:bottom w:val="single" w:sz="4" w:space="0" w:color="auto"/>
              <w:right w:val="nil"/>
            </w:tcBorders>
          </w:tcPr>
          <w:p w14:paraId="713E856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£2,580</w:t>
            </w:r>
          </w:p>
        </w:tc>
        <w:tc>
          <w:tcPr>
            <w:tcW w:w="1418" w:type="dxa"/>
            <w:tcBorders>
              <w:top w:val="single" w:sz="4" w:space="0" w:color="auto"/>
              <w:left w:val="nil"/>
              <w:bottom w:val="single" w:sz="4" w:space="0" w:color="auto"/>
              <w:right w:val="nil"/>
            </w:tcBorders>
          </w:tcPr>
          <w:p w14:paraId="068F96D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4D9B277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5445431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NICE DG34</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Excellence","given":"","non-dropping-particle":"","parse-names":false,"suffix":""}],"id":"ITEM-1","issued":{"date-parts":[["2018"]]},"title":"Tumour profiling tests to guide adjuvant chemotherapy decisions in early breast cancer","type":"report"},"uris":["http://www.mendeley.com/documents/?uuid=75b15e5a-1669-4574-8f4f-b8c0246f9df2"]}],"mendeley":{"formattedCitation":"&lt;sup&gt;8&lt;/sup&gt;","plainTextFormattedCitation":"8","previouslyFormattedCitation":"&lt;sup&gt;22&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8</w:t>
            </w:r>
            <w:r w:rsidRPr="009166E3">
              <w:rPr>
                <w:rFonts w:ascii="Arial" w:hAnsi="Arial" w:cs="Arial"/>
                <w:bCs/>
                <w:sz w:val="16"/>
                <w:szCs w:val="16"/>
              </w:rPr>
              <w:fldChar w:fldCharType="end"/>
            </w:r>
          </w:p>
        </w:tc>
      </w:tr>
      <w:tr w:rsidR="004A3C29" w:rsidRPr="009166E3" w14:paraId="65D0ADC2" w14:textId="77777777" w:rsidTr="00A46F82">
        <w:tc>
          <w:tcPr>
            <w:tcW w:w="2779" w:type="dxa"/>
            <w:tcBorders>
              <w:top w:val="single" w:sz="4" w:space="0" w:color="auto"/>
              <w:left w:val="nil"/>
              <w:bottom w:val="single" w:sz="4" w:space="0" w:color="auto"/>
              <w:right w:val="nil"/>
            </w:tcBorders>
          </w:tcPr>
          <w:p w14:paraId="23DE955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 xml:space="preserve">Early </w:t>
            </w:r>
            <w:r>
              <w:rPr>
                <w:rFonts w:ascii="Arial" w:hAnsi="Arial" w:cs="Arial"/>
                <w:bCs/>
                <w:sz w:val="16"/>
                <w:szCs w:val="16"/>
              </w:rPr>
              <w:t>breast cancer</w:t>
            </w:r>
            <w:r w:rsidRPr="009166E3">
              <w:rPr>
                <w:rFonts w:ascii="Arial" w:hAnsi="Arial" w:cs="Arial"/>
                <w:bCs/>
                <w:sz w:val="16"/>
                <w:szCs w:val="16"/>
              </w:rPr>
              <w:t xml:space="preserve"> chemotherapy</w:t>
            </w:r>
          </w:p>
        </w:tc>
        <w:tc>
          <w:tcPr>
            <w:tcW w:w="1123" w:type="dxa"/>
            <w:tcBorders>
              <w:top w:val="single" w:sz="4" w:space="0" w:color="auto"/>
              <w:left w:val="nil"/>
              <w:bottom w:val="single" w:sz="4" w:space="0" w:color="auto"/>
              <w:right w:val="nil"/>
            </w:tcBorders>
          </w:tcPr>
          <w:p w14:paraId="2D13456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See Table S2</w:t>
            </w:r>
          </w:p>
        </w:tc>
        <w:tc>
          <w:tcPr>
            <w:tcW w:w="1418" w:type="dxa"/>
            <w:tcBorders>
              <w:top w:val="single" w:sz="4" w:space="0" w:color="auto"/>
              <w:left w:val="nil"/>
              <w:bottom w:val="single" w:sz="4" w:space="0" w:color="auto"/>
              <w:right w:val="nil"/>
            </w:tcBorders>
          </w:tcPr>
          <w:p w14:paraId="5759734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1DA7565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37A8E7C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N/A</w:t>
            </w:r>
          </w:p>
        </w:tc>
      </w:tr>
      <w:tr w:rsidR="004A3C29" w:rsidRPr="009166E3" w14:paraId="67221936" w14:textId="77777777" w:rsidTr="00A46F82">
        <w:tc>
          <w:tcPr>
            <w:tcW w:w="2779" w:type="dxa"/>
            <w:tcBorders>
              <w:top w:val="single" w:sz="4" w:space="0" w:color="auto"/>
              <w:left w:val="nil"/>
              <w:bottom w:val="single" w:sz="4" w:space="0" w:color="auto"/>
              <w:right w:val="nil"/>
            </w:tcBorders>
          </w:tcPr>
          <w:p w14:paraId="11A6DDF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 xml:space="preserve">Early </w:t>
            </w:r>
            <w:r>
              <w:rPr>
                <w:rFonts w:ascii="Arial" w:hAnsi="Arial" w:cs="Arial"/>
                <w:bCs/>
                <w:sz w:val="16"/>
                <w:szCs w:val="16"/>
              </w:rPr>
              <w:t>breast cancer</w:t>
            </w:r>
            <w:r w:rsidRPr="009166E3">
              <w:rPr>
                <w:rFonts w:ascii="Arial" w:hAnsi="Arial" w:cs="Arial"/>
                <w:bCs/>
                <w:sz w:val="16"/>
                <w:szCs w:val="16"/>
              </w:rPr>
              <w:t xml:space="preserve"> endocrine therapy</w:t>
            </w:r>
          </w:p>
        </w:tc>
        <w:tc>
          <w:tcPr>
            <w:tcW w:w="1123" w:type="dxa"/>
            <w:tcBorders>
              <w:top w:val="single" w:sz="4" w:space="0" w:color="auto"/>
              <w:left w:val="nil"/>
              <w:bottom w:val="single" w:sz="4" w:space="0" w:color="auto"/>
              <w:right w:val="nil"/>
            </w:tcBorders>
          </w:tcPr>
          <w:p w14:paraId="499E3B8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See Table S2</w:t>
            </w:r>
          </w:p>
        </w:tc>
        <w:tc>
          <w:tcPr>
            <w:tcW w:w="1418" w:type="dxa"/>
            <w:tcBorders>
              <w:top w:val="single" w:sz="4" w:space="0" w:color="auto"/>
              <w:left w:val="nil"/>
              <w:bottom w:val="single" w:sz="4" w:space="0" w:color="auto"/>
              <w:right w:val="nil"/>
            </w:tcBorders>
          </w:tcPr>
          <w:p w14:paraId="565F5C8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236C70E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1233C53B"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N/A</w:t>
            </w:r>
          </w:p>
        </w:tc>
      </w:tr>
      <w:tr w:rsidR="004A3C29" w:rsidRPr="009166E3" w14:paraId="51F9EC4F" w14:textId="77777777" w:rsidTr="00A46F82">
        <w:tc>
          <w:tcPr>
            <w:tcW w:w="2779" w:type="dxa"/>
            <w:tcBorders>
              <w:top w:val="single" w:sz="4" w:space="0" w:color="auto"/>
              <w:left w:val="nil"/>
              <w:bottom w:val="single" w:sz="4" w:space="0" w:color="auto"/>
              <w:right w:val="nil"/>
            </w:tcBorders>
          </w:tcPr>
          <w:p w14:paraId="222E0FF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Drug admin pharmacy cost</w:t>
            </w:r>
          </w:p>
        </w:tc>
        <w:tc>
          <w:tcPr>
            <w:tcW w:w="1123" w:type="dxa"/>
            <w:tcBorders>
              <w:top w:val="single" w:sz="4" w:space="0" w:color="auto"/>
              <w:left w:val="nil"/>
              <w:bottom w:val="single" w:sz="4" w:space="0" w:color="auto"/>
              <w:right w:val="nil"/>
            </w:tcBorders>
          </w:tcPr>
          <w:p w14:paraId="5C2797C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£45</w:t>
            </w:r>
          </w:p>
        </w:tc>
        <w:tc>
          <w:tcPr>
            <w:tcW w:w="1418" w:type="dxa"/>
            <w:tcBorders>
              <w:top w:val="single" w:sz="4" w:space="0" w:color="auto"/>
              <w:left w:val="nil"/>
              <w:bottom w:val="single" w:sz="4" w:space="0" w:color="auto"/>
              <w:right w:val="nil"/>
            </w:tcBorders>
          </w:tcPr>
          <w:p w14:paraId="75F587D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36,£</w:t>
            </w:r>
            <w:proofErr w:type="gramEnd"/>
            <w:r w:rsidRPr="009166E3">
              <w:rPr>
                <w:rFonts w:ascii="Arial" w:hAnsi="Arial" w:cs="Arial"/>
                <w:bCs/>
                <w:sz w:val="16"/>
                <w:szCs w:val="16"/>
              </w:rPr>
              <w:t>54</w:t>
            </w:r>
          </w:p>
        </w:tc>
        <w:tc>
          <w:tcPr>
            <w:tcW w:w="1799" w:type="dxa"/>
            <w:tcBorders>
              <w:top w:val="single" w:sz="4" w:space="0" w:color="auto"/>
              <w:left w:val="nil"/>
              <w:bottom w:val="single" w:sz="4" w:space="0" w:color="auto"/>
              <w:right w:val="nil"/>
            </w:tcBorders>
          </w:tcPr>
          <w:p w14:paraId="67698DA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=0.5)</w:t>
            </w:r>
          </w:p>
        </w:tc>
        <w:tc>
          <w:tcPr>
            <w:tcW w:w="1907" w:type="dxa"/>
            <w:tcBorders>
              <w:top w:val="single" w:sz="4" w:space="0" w:color="auto"/>
              <w:left w:val="nil"/>
              <w:bottom w:val="single" w:sz="4" w:space="0" w:color="auto"/>
              <w:right w:val="nil"/>
            </w:tcBorders>
            <w:vAlign w:val="center"/>
          </w:tcPr>
          <w:p w14:paraId="576B7F2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Ward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{"citationItems":[{"id":"ITEM-1","itemData":{"DOI":"10.3310/hta17440","ISSN":"20464924","abstract":"Background: Gene expression profiling (GEP) and expanded immunohistochemistry (IHC) tests aim to improve decision-making relating to adjuvant chemotherapy for women with early breast cancer. Objective: The aim of this report is to assess the clinical effectiveness and costeffectiveness of nine GEP and expanded IHC tests compared with current prognostic tools in guiding the use of adjuvant chemotherapy in patients with early breast cancer in England and Wales. The nine tests are BluePrint, Breast Cancer Index (BCI), IHC4, MammaPrint, Mammostrat, NPI plus (NPI+), OncotypeDX, PAM50 and Randox Breast Cancer Array. Data sources: Databases searched included MEDLINE, MEDLINE In-Process &amp; Other Non-Indexed Citations, EMBASE and The Cochrane Library. Databases were searched from January 2009 to May 2011 for the OncotypeDX and MammaPrint tests and from January 2002 to May 2011 for the other tests. Review methods: A systematic review of the evidence on clinical effectiveness (analytical validity, clinical validity and clinical utility) and cost-effectiveness was conducted. An economic model was developed to evaluate the cost-effectiveness of adjuvant chemotherapy treatment guided by four of the nine test (OncotypeDX, IHC4, MammaPrint and Mammostrat) compared with current clinical practice in England and Wales, using clinicopathological parameters, in women with oestrogen receptor-positive (ER+), lymph node-negative (LN-), human epidermal growth factor receptor type 2-negative (HER2-) early breast cancer. Results: The literature searches for clinical effectiveness identified 5993 citations, of which 32 full-text papers or abstracts (30 studies) satisfied the criteria for the effectiveness review. A narrative synthesis was performed. Evidence for OncotypeDX supported the prognostic capability of the test. There was some evidence on the impact of the test on decision-making and to support the case that OncotypeDX predicts chemotherapy benefit; however, few studies were UK based and limitations in relation to study design were identified. Evidence for MammaPrint demonstrated that the test score was a strong independent prognostic factor, but the evidence is non-UK based and is based on small sample sizes. Evidence on the Mammostrat test showed that the test was an independent prognostic tool for women with ER+, tamoxifen-treated breast cancer. The three studies appeared to be of reasonable quality and provided data from a UK setting (one study). One large study report…","author":[{"dropping-particle":"","family":"Ward","given":"S.","non-dropping-particle":"","parse-names":false,"suffix":""},{"dropping-particle":"","family":"Scope","given":"A.","non-dropping-particle":"","parse-names":false,"suffix":""},{"dropping-particle":"","family":"Rafia","given":"R.","non-dropping-particle":"","parse-names":false,"suffix":""},{"dropping-particle":"","family":"Pandor","given":"A.","non-dropping-particle":"","parse-names":false,"suffix":""},{"dropping-particle":"","family":"Harnan","given":"S.","non-dropping-particle":"","parse-names":false,"suffix":""},{"dropping-particle":"","family":"Evans","given":"P.","non-dropping-particle":"","parse-names":false,"suffix":""},{"dropping-particle":"","family":"Wyld","given":"L.","non-dropping-particle":"","parse-names":false,"suffix":""}],"container-title":"Health Technology Assessment","id":"ITEM-1","issue":"44","issued":{"date-parts":[["2013"]]},"publisher":"NIHR Journals Library","title":"Gene expression profiling and expanded immunohistochemistry tests to guide the use of adjuvant chemotherapy in breast cancer management: A systematic review and cost-effectiveness analysis","type":"article-journal","volume":"17"},"uris":["http://www.mendeley.com/documents/?uuid=4a1350f4-8e48-31fa-91d2-61e266d3f395"]}],"mendeley":{"formattedCitation":"&lt;sup&gt;18&lt;/sup&gt;","plainTextFormattedCitation":"18","previouslyFormattedCitation":"&lt;sup&gt;24&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18</w:t>
            </w:r>
            <w:r w:rsidRPr="009166E3">
              <w:rPr>
                <w:rFonts w:ascii="Arial" w:hAnsi="Arial" w:cs="Arial"/>
                <w:bCs/>
                <w:sz w:val="16"/>
                <w:szCs w:val="16"/>
              </w:rPr>
              <w:fldChar w:fldCharType="end"/>
            </w:r>
          </w:p>
        </w:tc>
      </w:tr>
      <w:tr w:rsidR="004A3C29" w:rsidRPr="009166E3" w14:paraId="7289E58D" w14:textId="77777777" w:rsidTr="00A46F82">
        <w:tc>
          <w:tcPr>
            <w:tcW w:w="2779" w:type="dxa"/>
            <w:tcBorders>
              <w:top w:val="single" w:sz="4" w:space="0" w:color="auto"/>
              <w:left w:val="nil"/>
              <w:bottom w:val="single" w:sz="4" w:space="0" w:color="auto"/>
              <w:right w:val="nil"/>
            </w:tcBorders>
          </w:tcPr>
          <w:p w14:paraId="7BEB772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First admin IV</w:t>
            </w:r>
          </w:p>
        </w:tc>
        <w:tc>
          <w:tcPr>
            <w:tcW w:w="1123" w:type="dxa"/>
            <w:tcBorders>
              <w:top w:val="single" w:sz="4" w:space="0" w:color="auto"/>
              <w:left w:val="nil"/>
              <w:bottom w:val="single" w:sz="4" w:space="0" w:color="auto"/>
              <w:right w:val="nil"/>
            </w:tcBorders>
          </w:tcPr>
          <w:p w14:paraId="1347E97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£478</w:t>
            </w:r>
          </w:p>
        </w:tc>
        <w:tc>
          <w:tcPr>
            <w:tcW w:w="1418" w:type="dxa"/>
            <w:tcBorders>
              <w:top w:val="single" w:sz="4" w:space="0" w:color="auto"/>
              <w:left w:val="nil"/>
              <w:bottom w:val="single" w:sz="4" w:space="0" w:color="auto"/>
              <w:right w:val="nil"/>
            </w:tcBorders>
          </w:tcPr>
          <w:p w14:paraId="48D363B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383,£</w:t>
            </w:r>
            <w:proofErr w:type="gramEnd"/>
            <w:r w:rsidRPr="009166E3">
              <w:rPr>
                <w:rFonts w:ascii="Arial" w:hAnsi="Arial" w:cs="Arial"/>
                <w:bCs/>
                <w:sz w:val="16"/>
                <w:szCs w:val="16"/>
              </w:rPr>
              <w:t>574</w:t>
            </w:r>
          </w:p>
        </w:tc>
        <w:tc>
          <w:tcPr>
            <w:tcW w:w="1799" w:type="dxa"/>
            <w:tcBorders>
              <w:top w:val="single" w:sz="4" w:space="0" w:color="auto"/>
              <w:left w:val="nil"/>
              <w:bottom w:val="single" w:sz="4" w:space="0" w:color="auto"/>
              <w:right w:val="nil"/>
            </w:tcBorders>
          </w:tcPr>
          <w:p w14:paraId="70A4A71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=5.0)</w:t>
            </w:r>
          </w:p>
        </w:tc>
        <w:tc>
          <w:tcPr>
            <w:tcW w:w="1907" w:type="dxa"/>
            <w:tcBorders>
              <w:top w:val="single" w:sz="4" w:space="0" w:color="auto"/>
              <w:left w:val="nil"/>
              <w:bottom w:val="single" w:sz="4" w:space="0" w:color="auto"/>
              <w:right w:val="nil"/>
            </w:tcBorders>
            <w:vAlign w:val="center"/>
          </w:tcPr>
          <w:p w14:paraId="77AAE7C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NHS Reference costs 2019/20: SB13Z</w:t>
            </w:r>
          </w:p>
        </w:tc>
      </w:tr>
      <w:tr w:rsidR="004A3C29" w:rsidRPr="009166E3" w14:paraId="6BBD96C7" w14:textId="77777777" w:rsidTr="00A46F82">
        <w:tc>
          <w:tcPr>
            <w:tcW w:w="2779" w:type="dxa"/>
            <w:tcBorders>
              <w:top w:val="single" w:sz="4" w:space="0" w:color="auto"/>
              <w:left w:val="nil"/>
              <w:bottom w:val="single" w:sz="4" w:space="0" w:color="auto"/>
              <w:right w:val="nil"/>
            </w:tcBorders>
          </w:tcPr>
          <w:p w14:paraId="2F38379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Subsequent admin IV</w:t>
            </w:r>
          </w:p>
        </w:tc>
        <w:tc>
          <w:tcPr>
            <w:tcW w:w="1123" w:type="dxa"/>
            <w:tcBorders>
              <w:top w:val="single" w:sz="4" w:space="0" w:color="auto"/>
              <w:left w:val="nil"/>
              <w:bottom w:val="single" w:sz="4" w:space="0" w:color="auto"/>
              <w:right w:val="nil"/>
            </w:tcBorders>
          </w:tcPr>
          <w:p w14:paraId="1AB9DFA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£341</w:t>
            </w:r>
          </w:p>
        </w:tc>
        <w:tc>
          <w:tcPr>
            <w:tcW w:w="1418" w:type="dxa"/>
            <w:tcBorders>
              <w:top w:val="single" w:sz="4" w:space="0" w:color="auto"/>
              <w:left w:val="nil"/>
              <w:bottom w:val="single" w:sz="4" w:space="0" w:color="auto"/>
              <w:right w:val="nil"/>
            </w:tcBorders>
          </w:tcPr>
          <w:p w14:paraId="67C5887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273,£</w:t>
            </w:r>
            <w:proofErr w:type="gramEnd"/>
            <w:r w:rsidRPr="009166E3">
              <w:rPr>
                <w:rFonts w:ascii="Arial" w:hAnsi="Arial" w:cs="Arial"/>
                <w:bCs/>
                <w:sz w:val="16"/>
                <w:szCs w:val="16"/>
              </w:rPr>
              <w:t>410</w:t>
            </w:r>
          </w:p>
        </w:tc>
        <w:tc>
          <w:tcPr>
            <w:tcW w:w="1799" w:type="dxa"/>
            <w:tcBorders>
              <w:top w:val="single" w:sz="4" w:space="0" w:color="auto"/>
              <w:left w:val="nil"/>
              <w:bottom w:val="single" w:sz="4" w:space="0" w:color="auto"/>
              <w:right w:val="nil"/>
            </w:tcBorders>
          </w:tcPr>
          <w:p w14:paraId="2011410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=3.6)</w:t>
            </w:r>
          </w:p>
        </w:tc>
        <w:tc>
          <w:tcPr>
            <w:tcW w:w="1907" w:type="dxa"/>
            <w:tcBorders>
              <w:top w:val="single" w:sz="4" w:space="0" w:color="auto"/>
              <w:left w:val="nil"/>
              <w:bottom w:val="single" w:sz="4" w:space="0" w:color="auto"/>
              <w:right w:val="nil"/>
            </w:tcBorders>
            <w:vAlign w:val="center"/>
          </w:tcPr>
          <w:p w14:paraId="50F896C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NHS Reference costs 2019/20: SB15Z</w:t>
            </w:r>
          </w:p>
        </w:tc>
      </w:tr>
      <w:tr w:rsidR="004A3C29" w:rsidRPr="009166E3" w14:paraId="02BA2588" w14:textId="77777777" w:rsidTr="00A46F82">
        <w:tc>
          <w:tcPr>
            <w:tcW w:w="2779" w:type="dxa"/>
            <w:tcBorders>
              <w:top w:val="single" w:sz="4" w:space="0" w:color="auto"/>
              <w:left w:val="nil"/>
              <w:bottom w:val="single" w:sz="4" w:space="0" w:color="auto"/>
              <w:right w:val="nil"/>
            </w:tcBorders>
          </w:tcPr>
          <w:p w14:paraId="634E308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Intramuscular admin</w:t>
            </w:r>
          </w:p>
        </w:tc>
        <w:tc>
          <w:tcPr>
            <w:tcW w:w="1123" w:type="dxa"/>
            <w:tcBorders>
              <w:top w:val="single" w:sz="4" w:space="0" w:color="auto"/>
              <w:left w:val="nil"/>
              <w:bottom w:val="single" w:sz="4" w:space="0" w:color="auto"/>
              <w:right w:val="nil"/>
            </w:tcBorders>
          </w:tcPr>
          <w:p w14:paraId="49A7810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£239</w:t>
            </w:r>
          </w:p>
        </w:tc>
        <w:tc>
          <w:tcPr>
            <w:tcW w:w="1418" w:type="dxa"/>
            <w:tcBorders>
              <w:top w:val="single" w:sz="4" w:space="0" w:color="auto"/>
              <w:left w:val="nil"/>
              <w:bottom w:val="single" w:sz="4" w:space="0" w:color="auto"/>
              <w:right w:val="nil"/>
            </w:tcBorders>
          </w:tcPr>
          <w:p w14:paraId="3A0DE44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191,£</w:t>
            </w:r>
            <w:proofErr w:type="gramEnd"/>
            <w:r w:rsidRPr="009166E3">
              <w:rPr>
                <w:rFonts w:ascii="Arial" w:hAnsi="Arial" w:cs="Arial"/>
                <w:bCs/>
                <w:sz w:val="16"/>
                <w:szCs w:val="16"/>
              </w:rPr>
              <w:t>287</w:t>
            </w:r>
          </w:p>
        </w:tc>
        <w:tc>
          <w:tcPr>
            <w:tcW w:w="1799" w:type="dxa"/>
            <w:tcBorders>
              <w:top w:val="single" w:sz="4" w:space="0" w:color="auto"/>
              <w:left w:val="nil"/>
              <w:bottom w:val="single" w:sz="4" w:space="0" w:color="auto"/>
              <w:right w:val="nil"/>
            </w:tcBorders>
          </w:tcPr>
          <w:p w14:paraId="41FB3F8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=2.5)</w:t>
            </w:r>
          </w:p>
        </w:tc>
        <w:tc>
          <w:tcPr>
            <w:tcW w:w="1907" w:type="dxa"/>
            <w:tcBorders>
              <w:top w:val="single" w:sz="4" w:space="0" w:color="auto"/>
              <w:left w:val="nil"/>
              <w:bottom w:val="single" w:sz="4" w:space="0" w:color="auto"/>
              <w:right w:val="nil"/>
            </w:tcBorders>
            <w:vAlign w:val="center"/>
          </w:tcPr>
          <w:p w14:paraId="5EBFE4D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 xml:space="preserve">NICE TA563 </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Excellence","given":"","non-dropping-particle":"","parse-names":false,"suffix":""}],"id":"ITEM-1","issued":{"date-parts":[["2019"]]},"title":"Abemaciclib with an aromatose inhibitor for previously untreated, hormone receptor-positive, HER2-negative, locally advanced or metastatic breast cancer","type":"report"},"uris":["http://www.mendeley.com/documents/?uuid=e438141c-2d74-4605-a0b6-1b01fcebab26"]}],"mendeley":{"formattedCitation":"&lt;sup&gt;6&lt;/sup&gt;","plainTextFormattedCitation":"6","previouslyFormattedCitation":"&lt;sup&gt;42&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6</w:t>
            </w:r>
            <w:r w:rsidRPr="009166E3">
              <w:rPr>
                <w:rFonts w:ascii="Arial" w:hAnsi="Arial" w:cs="Arial"/>
                <w:bCs/>
                <w:sz w:val="16"/>
                <w:szCs w:val="16"/>
              </w:rPr>
              <w:fldChar w:fldCharType="end"/>
            </w:r>
          </w:p>
        </w:tc>
      </w:tr>
      <w:tr w:rsidR="004A3C29" w:rsidRPr="009166E3" w14:paraId="65FEBE8E" w14:textId="77777777" w:rsidTr="00A46F82">
        <w:tc>
          <w:tcPr>
            <w:tcW w:w="2779" w:type="dxa"/>
            <w:tcBorders>
              <w:top w:val="single" w:sz="4" w:space="0" w:color="auto"/>
              <w:left w:val="nil"/>
              <w:bottom w:val="single" w:sz="4" w:space="0" w:color="auto"/>
              <w:right w:val="nil"/>
            </w:tcBorders>
          </w:tcPr>
          <w:p w14:paraId="3A3E92B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Oral admin</w:t>
            </w:r>
          </w:p>
        </w:tc>
        <w:tc>
          <w:tcPr>
            <w:tcW w:w="1123" w:type="dxa"/>
            <w:tcBorders>
              <w:top w:val="single" w:sz="4" w:space="0" w:color="auto"/>
              <w:left w:val="nil"/>
              <w:bottom w:val="single" w:sz="4" w:space="0" w:color="auto"/>
              <w:right w:val="nil"/>
            </w:tcBorders>
          </w:tcPr>
          <w:p w14:paraId="0D8E8AA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£0.00</w:t>
            </w:r>
          </w:p>
        </w:tc>
        <w:tc>
          <w:tcPr>
            <w:tcW w:w="1418" w:type="dxa"/>
            <w:tcBorders>
              <w:top w:val="single" w:sz="4" w:space="0" w:color="auto"/>
              <w:left w:val="nil"/>
              <w:bottom w:val="single" w:sz="4" w:space="0" w:color="auto"/>
              <w:right w:val="nil"/>
            </w:tcBorders>
          </w:tcPr>
          <w:p w14:paraId="306A57A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7AB073FB"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5E5E62B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Assumption</w:t>
            </w:r>
          </w:p>
        </w:tc>
      </w:tr>
      <w:tr w:rsidR="004A3C29" w:rsidRPr="009166E3" w14:paraId="3E779478" w14:textId="77777777" w:rsidTr="00A46F82">
        <w:tc>
          <w:tcPr>
            <w:tcW w:w="2779" w:type="dxa"/>
            <w:tcBorders>
              <w:top w:val="single" w:sz="4" w:space="0" w:color="auto"/>
              <w:left w:val="nil"/>
              <w:bottom w:val="single" w:sz="4" w:space="0" w:color="auto"/>
              <w:right w:val="nil"/>
            </w:tcBorders>
          </w:tcPr>
          <w:p w14:paraId="78E13BE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Recurrence-free years 6+</w:t>
            </w:r>
          </w:p>
        </w:tc>
        <w:tc>
          <w:tcPr>
            <w:tcW w:w="1123" w:type="dxa"/>
            <w:tcBorders>
              <w:top w:val="single" w:sz="4" w:space="0" w:color="auto"/>
              <w:left w:val="nil"/>
              <w:bottom w:val="single" w:sz="4" w:space="0" w:color="auto"/>
              <w:right w:val="nil"/>
            </w:tcBorders>
          </w:tcPr>
          <w:p w14:paraId="73C30EF6"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£0</w:t>
            </w:r>
          </w:p>
        </w:tc>
        <w:tc>
          <w:tcPr>
            <w:tcW w:w="1418" w:type="dxa"/>
            <w:tcBorders>
              <w:top w:val="single" w:sz="4" w:space="0" w:color="auto"/>
              <w:left w:val="nil"/>
              <w:bottom w:val="single" w:sz="4" w:space="0" w:color="auto"/>
              <w:right w:val="nil"/>
            </w:tcBorders>
          </w:tcPr>
          <w:p w14:paraId="1D21E6A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389B900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42F14F2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N/A</w:t>
            </w:r>
          </w:p>
        </w:tc>
      </w:tr>
      <w:tr w:rsidR="004A3C29" w:rsidRPr="009166E3" w14:paraId="37C676FE" w14:textId="77777777" w:rsidTr="00A46F82">
        <w:tc>
          <w:tcPr>
            <w:tcW w:w="2779" w:type="dxa"/>
            <w:tcBorders>
              <w:top w:val="single" w:sz="4" w:space="0" w:color="auto"/>
              <w:left w:val="nil"/>
              <w:bottom w:val="single" w:sz="4" w:space="0" w:color="auto"/>
              <w:right w:val="nil"/>
            </w:tcBorders>
          </w:tcPr>
          <w:p w14:paraId="0C8783A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Local recurrence</w:t>
            </w:r>
          </w:p>
        </w:tc>
        <w:tc>
          <w:tcPr>
            <w:tcW w:w="1123" w:type="dxa"/>
            <w:tcBorders>
              <w:top w:val="single" w:sz="4" w:space="0" w:color="auto"/>
              <w:left w:val="nil"/>
              <w:bottom w:val="single" w:sz="4" w:space="0" w:color="auto"/>
              <w:right w:val="nil"/>
            </w:tcBorders>
          </w:tcPr>
          <w:p w14:paraId="45D18EA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£23,099</w:t>
            </w:r>
          </w:p>
        </w:tc>
        <w:tc>
          <w:tcPr>
            <w:tcW w:w="1418" w:type="dxa"/>
            <w:tcBorders>
              <w:top w:val="single" w:sz="4" w:space="0" w:color="auto"/>
              <w:left w:val="nil"/>
              <w:bottom w:val="single" w:sz="4" w:space="0" w:color="auto"/>
              <w:right w:val="nil"/>
            </w:tcBorders>
          </w:tcPr>
          <w:p w14:paraId="135999D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12,372,£</w:t>
            </w:r>
            <w:proofErr w:type="gramEnd"/>
            <w:r w:rsidRPr="009166E3">
              <w:rPr>
                <w:rFonts w:ascii="Arial" w:hAnsi="Arial" w:cs="Arial"/>
                <w:bCs/>
                <w:sz w:val="16"/>
                <w:szCs w:val="16"/>
              </w:rPr>
              <w:t>33,826</w:t>
            </w:r>
          </w:p>
        </w:tc>
        <w:tc>
          <w:tcPr>
            <w:tcW w:w="1799" w:type="dxa"/>
            <w:tcBorders>
              <w:top w:val="single" w:sz="4" w:space="0" w:color="auto"/>
              <w:left w:val="nil"/>
              <w:bottom w:val="single" w:sz="4" w:space="0" w:color="auto"/>
              <w:right w:val="nil"/>
            </w:tcBorders>
          </w:tcPr>
          <w:p w14:paraId="6F6FC7C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18;θ</w:t>
            </w:r>
            <w:proofErr w:type="gramEnd"/>
            <w:r w:rsidRPr="009166E3">
              <w:rPr>
                <w:rFonts w:ascii="Arial" w:hAnsi="Arial" w:cs="Arial"/>
                <w:bCs/>
                <w:sz w:val="16"/>
                <w:szCs w:val="16"/>
              </w:rPr>
              <w:t>=1297)</w:t>
            </w:r>
          </w:p>
        </w:tc>
        <w:tc>
          <w:tcPr>
            <w:tcW w:w="1907" w:type="dxa"/>
            <w:tcBorders>
              <w:top w:val="single" w:sz="4" w:space="0" w:color="auto"/>
              <w:left w:val="nil"/>
              <w:bottom w:val="single" w:sz="4" w:space="0" w:color="auto"/>
              <w:right w:val="nil"/>
            </w:tcBorders>
            <w:vAlign w:val="center"/>
          </w:tcPr>
          <w:p w14:paraId="2E4F6AF1" w14:textId="77777777" w:rsidR="004A3C29" w:rsidRPr="009166E3" w:rsidRDefault="004A3C29" w:rsidP="00A46F82">
            <w:pPr>
              <w:rPr>
                <w:rFonts w:ascii="Arial" w:hAnsi="Arial" w:cs="Arial"/>
                <w:bCs/>
                <w:sz w:val="16"/>
                <w:szCs w:val="16"/>
              </w:rPr>
            </w:pPr>
            <w:proofErr w:type="spellStart"/>
            <w:r w:rsidRPr="009166E3">
              <w:rPr>
                <w:rFonts w:ascii="Arial" w:hAnsi="Arial" w:cs="Arial"/>
                <w:bCs/>
                <w:sz w:val="16"/>
                <w:szCs w:val="16"/>
              </w:rPr>
              <w:t>Karnon</w:t>
            </w:r>
            <w:proofErr w:type="spellEnd"/>
            <w:r w:rsidRPr="009166E3">
              <w:rPr>
                <w:rFonts w:ascii="Arial" w:hAnsi="Arial" w:cs="Arial"/>
                <w:bCs/>
                <w:sz w:val="16"/>
                <w:szCs w:val="16"/>
              </w:rPr>
              <w:t xml:space="preserve"> et al. </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{"citationItems":[{"id":"ITEM-1","itemData":{"DOI":"10.1038/sj.bjc.6603887","ISSN":"00070920","abstract":"Cost pressures and the need to demonstrate cost-effectiveness of new interventions require consideration of the costs of treating disease. This study presents analyses of resource use data covering 199 postmenopausal women who experienced a breast cancer recurrent event between 1991 and 2004 and were treated at the Western General Hospital, Edinburgh. Aggregate (5-year) treatment costs for alternative recurrent events were estimated, as well as the annual costs incurred by patients experiencing contralateral, locoregional, or distant recurrence, who remained alive without further recurrence for a year. The 95% confidence intervals for the 5-year costs of recurrence ranged from £10 000 to £37 000 for locoregional recurrence, and £14 500-£20 000 for distant recurrence. No evidence of significant variations in these costs across time periods between 1991 and 2004 was identified. Annual costs for patients remaining in the same health state showed high initial costs for contralateral and locoregional recurrence, with low costs in subsequent years, while costs associated with distant recurrence declined at a slower rate and plateaued at 4-5 years post-diagnosis. The cost estimates presented in this paper not only inform the magnitude of the resource consequences of breast cancer recurrences, but they are also better suited to informing cost-effectiveness analyses, which have a far greater role in allocating health-care resources. © 2007 Cancer Research UK.","author":[{"dropping-particle":"","family":"Karnon","given":"J.","non-dropping-particle":"","parse-names":false,"suffix":""},{"dropping-particle":"","family":"Kerr","given":"G. R.","non-dropping-particle":"","parse-names":false,"suffix":""},{"dropping-particle":"","family":"Jack","given":"W.","non-dropping-particle":"","parse-names":false,"suffix":""},{"dropping-particle":"","family":"Papo","given":"N. L.","non-dropping-particle":"","parse-names":false,"suffix":""},{"dropping-particle":"","family":"Cameron","given":"D. A.","non-dropping-particle":"","parse-names":false,"suffix":""}],"container-title":"British Journal of Cancer","id":"ITEM-1","issue":"4","issued":{"date-parts":[["2007","8","14"]]},"page":"479-485","publisher":"Br J Cancer","title":"Health care costs for the treatment of breast cancer recurrent events: Estimates from a UK-based patient-level analysis","type":"article-journal","volume":"97"},"uris":["http://www.mendeley.com/documents/?uuid=15d4114c-6800-3ed9-baed-5eec777b426c"]}],"mendeley":{"formattedCitation":"&lt;sup&gt;19&lt;/sup&gt;","plainTextFormattedCitation":"19","previouslyFormattedCitation":"&lt;sup&gt;59&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19</w:t>
            </w:r>
            <w:r w:rsidRPr="009166E3">
              <w:rPr>
                <w:rFonts w:ascii="Arial" w:hAnsi="Arial" w:cs="Arial"/>
                <w:bCs/>
                <w:sz w:val="16"/>
                <w:szCs w:val="16"/>
              </w:rPr>
              <w:fldChar w:fldCharType="end"/>
            </w:r>
          </w:p>
        </w:tc>
      </w:tr>
      <w:tr w:rsidR="004A3C29" w:rsidRPr="009166E3" w14:paraId="3F321E38" w14:textId="77777777" w:rsidTr="00A46F82">
        <w:tc>
          <w:tcPr>
            <w:tcW w:w="2779" w:type="dxa"/>
            <w:tcBorders>
              <w:top w:val="single" w:sz="4" w:space="0" w:color="auto"/>
              <w:left w:val="nil"/>
              <w:bottom w:val="single" w:sz="4" w:space="0" w:color="auto"/>
              <w:right w:val="nil"/>
            </w:tcBorders>
          </w:tcPr>
          <w:p w14:paraId="53CFC72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Distant recurrence disease management</w:t>
            </w:r>
          </w:p>
        </w:tc>
        <w:tc>
          <w:tcPr>
            <w:tcW w:w="1123" w:type="dxa"/>
            <w:tcBorders>
              <w:top w:val="single" w:sz="4" w:space="0" w:color="auto"/>
              <w:left w:val="nil"/>
              <w:bottom w:val="single" w:sz="4" w:space="0" w:color="auto"/>
              <w:right w:val="nil"/>
            </w:tcBorders>
          </w:tcPr>
          <w:p w14:paraId="651773E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£3,900</w:t>
            </w:r>
          </w:p>
        </w:tc>
        <w:tc>
          <w:tcPr>
            <w:tcW w:w="1418" w:type="dxa"/>
            <w:tcBorders>
              <w:top w:val="single" w:sz="4" w:space="0" w:color="auto"/>
              <w:left w:val="nil"/>
              <w:bottom w:val="single" w:sz="4" w:space="0" w:color="auto"/>
              <w:right w:val="nil"/>
            </w:tcBorders>
          </w:tcPr>
          <w:p w14:paraId="4FC5B41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3,120,£</w:t>
            </w:r>
            <w:proofErr w:type="gramEnd"/>
            <w:r w:rsidRPr="009166E3">
              <w:rPr>
                <w:rFonts w:ascii="Arial" w:hAnsi="Arial" w:cs="Arial"/>
                <w:bCs/>
                <w:sz w:val="16"/>
                <w:szCs w:val="16"/>
              </w:rPr>
              <w:t>4,680</w:t>
            </w:r>
          </w:p>
        </w:tc>
        <w:tc>
          <w:tcPr>
            <w:tcW w:w="1799" w:type="dxa"/>
            <w:tcBorders>
              <w:top w:val="single" w:sz="4" w:space="0" w:color="auto"/>
              <w:left w:val="nil"/>
              <w:bottom w:val="single" w:sz="4" w:space="0" w:color="auto"/>
              <w:right w:val="nil"/>
            </w:tcBorders>
          </w:tcPr>
          <w:p w14:paraId="6E99B98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=41)</w:t>
            </w:r>
          </w:p>
        </w:tc>
        <w:tc>
          <w:tcPr>
            <w:tcW w:w="1907" w:type="dxa"/>
            <w:tcBorders>
              <w:top w:val="single" w:sz="4" w:space="0" w:color="auto"/>
              <w:left w:val="nil"/>
              <w:bottom w:val="single" w:sz="4" w:space="0" w:color="auto"/>
              <w:right w:val="nil"/>
            </w:tcBorders>
            <w:vAlign w:val="center"/>
          </w:tcPr>
          <w:p w14:paraId="1A6F699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 xml:space="preserve">NICE TA563 </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Excellence","given":"","non-dropping-particle":"","parse-names":false,"suffix":""}],"id":"ITEM-1","issued":{"date-parts":[["2019"]]},"title":"Abemaciclib with an aromatose inhibitor for previously untreated, hormone receptor-positive, HER2-negative, locally advanced or metastatic breast cancer","type":"report"},"uris":["http://www.mendeley.com/documents/?uuid=e438141c-2d74-4605-a0b6-1b01fcebab26"]}],"mendeley":{"formattedCitation":"&lt;sup&gt;6&lt;/sup&gt;","plainTextFormattedCitation":"6","previouslyFormattedCitation":"&lt;sup&gt;42&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6</w:t>
            </w:r>
            <w:r w:rsidRPr="009166E3">
              <w:rPr>
                <w:rFonts w:ascii="Arial" w:hAnsi="Arial" w:cs="Arial"/>
                <w:bCs/>
                <w:sz w:val="16"/>
                <w:szCs w:val="16"/>
              </w:rPr>
              <w:fldChar w:fldCharType="end"/>
            </w:r>
          </w:p>
        </w:tc>
      </w:tr>
      <w:tr w:rsidR="004A3C29" w:rsidRPr="009166E3" w14:paraId="1C2823E2" w14:textId="77777777" w:rsidTr="00A46F82">
        <w:tc>
          <w:tcPr>
            <w:tcW w:w="2779" w:type="dxa"/>
            <w:tcBorders>
              <w:top w:val="single" w:sz="4" w:space="0" w:color="auto"/>
              <w:left w:val="nil"/>
              <w:bottom w:val="single" w:sz="4" w:space="0" w:color="auto"/>
              <w:right w:val="nil"/>
            </w:tcBorders>
          </w:tcPr>
          <w:p w14:paraId="00BE20D1"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Distant recurrence metastatic BC chemo-endocrine therapy</w:t>
            </w:r>
          </w:p>
        </w:tc>
        <w:tc>
          <w:tcPr>
            <w:tcW w:w="1123" w:type="dxa"/>
            <w:tcBorders>
              <w:top w:val="single" w:sz="4" w:space="0" w:color="auto"/>
              <w:left w:val="nil"/>
              <w:bottom w:val="single" w:sz="4" w:space="0" w:color="auto"/>
              <w:right w:val="nil"/>
            </w:tcBorders>
          </w:tcPr>
          <w:p w14:paraId="18FD969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£8,828</w:t>
            </w:r>
          </w:p>
        </w:tc>
        <w:tc>
          <w:tcPr>
            <w:tcW w:w="1418" w:type="dxa"/>
            <w:tcBorders>
              <w:top w:val="single" w:sz="4" w:space="0" w:color="auto"/>
              <w:left w:val="nil"/>
              <w:bottom w:val="single" w:sz="4" w:space="0" w:color="auto"/>
              <w:right w:val="nil"/>
            </w:tcBorders>
          </w:tcPr>
          <w:p w14:paraId="53860BB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799" w:type="dxa"/>
            <w:tcBorders>
              <w:top w:val="single" w:sz="4" w:space="0" w:color="auto"/>
              <w:left w:val="nil"/>
              <w:bottom w:val="single" w:sz="4" w:space="0" w:color="auto"/>
              <w:right w:val="nil"/>
            </w:tcBorders>
          </w:tcPr>
          <w:p w14:paraId="587B9AE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Not varied</w:t>
            </w:r>
          </w:p>
        </w:tc>
        <w:tc>
          <w:tcPr>
            <w:tcW w:w="1907" w:type="dxa"/>
            <w:tcBorders>
              <w:top w:val="single" w:sz="4" w:space="0" w:color="auto"/>
              <w:left w:val="nil"/>
              <w:bottom w:val="single" w:sz="4" w:space="0" w:color="auto"/>
              <w:right w:val="nil"/>
            </w:tcBorders>
            <w:vAlign w:val="center"/>
          </w:tcPr>
          <w:p w14:paraId="18F222A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See Table S5</w:t>
            </w:r>
          </w:p>
        </w:tc>
      </w:tr>
      <w:tr w:rsidR="004A3C29" w:rsidRPr="009166E3" w14:paraId="6659B04B" w14:textId="77777777" w:rsidTr="00A46F82">
        <w:tc>
          <w:tcPr>
            <w:tcW w:w="2779" w:type="dxa"/>
            <w:tcBorders>
              <w:top w:val="single" w:sz="4" w:space="0" w:color="auto"/>
              <w:left w:val="nil"/>
              <w:bottom w:val="single" w:sz="4" w:space="0" w:color="auto"/>
              <w:right w:val="nil"/>
            </w:tcBorders>
          </w:tcPr>
          <w:p w14:paraId="4AF545F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AML cost in first model cycle</w:t>
            </w:r>
          </w:p>
        </w:tc>
        <w:tc>
          <w:tcPr>
            <w:tcW w:w="1123" w:type="dxa"/>
            <w:tcBorders>
              <w:top w:val="single" w:sz="4" w:space="0" w:color="auto"/>
              <w:left w:val="nil"/>
              <w:bottom w:val="single" w:sz="4" w:space="0" w:color="auto"/>
              <w:right w:val="nil"/>
            </w:tcBorders>
          </w:tcPr>
          <w:p w14:paraId="3E898BF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£42,852</w:t>
            </w:r>
          </w:p>
        </w:tc>
        <w:tc>
          <w:tcPr>
            <w:tcW w:w="1418" w:type="dxa"/>
            <w:tcBorders>
              <w:top w:val="single" w:sz="4" w:space="0" w:color="auto"/>
              <w:left w:val="nil"/>
              <w:bottom w:val="single" w:sz="4" w:space="0" w:color="auto"/>
              <w:right w:val="nil"/>
            </w:tcBorders>
          </w:tcPr>
          <w:p w14:paraId="3DCB52E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34,282,£</w:t>
            </w:r>
            <w:proofErr w:type="gramEnd"/>
            <w:r w:rsidRPr="009166E3">
              <w:rPr>
                <w:rFonts w:ascii="Arial" w:hAnsi="Arial" w:cs="Arial"/>
                <w:bCs/>
                <w:sz w:val="16"/>
                <w:szCs w:val="16"/>
              </w:rPr>
              <w:t>51,422</w:t>
            </w:r>
          </w:p>
        </w:tc>
        <w:tc>
          <w:tcPr>
            <w:tcW w:w="1799" w:type="dxa"/>
            <w:tcBorders>
              <w:top w:val="single" w:sz="4" w:space="0" w:color="auto"/>
              <w:left w:val="nil"/>
              <w:bottom w:val="single" w:sz="4" w:space="0" w:color="auto"/>
              <w:right w:val="nil"/>
            </w:tcBorders>
          </w:tcPr>
          <w:p w14:paraId="3C384F6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=446)</w:t>
            </w:r>
          </w:p>
        </w:tc>
        <w:tc>
          <w:tcPr>
            <w:tcW w:w="1907" w:type="dxa"/>
            <w:tcBorders>
              <w:top w:val="single" w:sz="4" w:space="0" w:color="auto"/>
              <w:left w:val="nil"/>
              <w:bottom w:val="single" w:sz="4" w:space="0" w:color="auto"/>
              <w:right w:val="nil"/>
            </w:tcBorders>
            <w:vAlign w:val="center"/>
          </w:tcPr>
          <w:p w14:paraId="574AA99C" w14:textId="77777777" w:rsidR="004A3C29" w:rsidRPr="009166E3" w:rsidRDefault="004A3C29" w:rsidP="00A46F82">
            <w:pPr>
              <w:rPr>
                <w:rFonts w:ascii="Arial" w:hAnsi="Arial" w:cs="Arial"/>
                <w:bCs/>
                <w:sz w:val="16"/>
                <w:szCs w:val="16"/>
              </w:rPr>
            </w:pPr>
            <w:proofErr w:type="spellStart"/>
            <w:r w:rsidRPr="009166E3">
              <w:rPr>
                <w:rFonts w:ascii="Arial" w:hAnsi="Arial" w:cs="Arial"/>
                <w:bCs/>
                <w:sz w:val="16"/>
                <w:szCs w:val="16"/>
              </w:rPr>
              <w:t>Zeidan</w:t>
            </w:r>
            <w:proofErr w:type="spellEnd"/>
            <w:r w:rsidRPr="009166E3">
              <w:rPr>
                <w:rFonts w:ascii="Arial" w:hAnsi="Arial" w:cs="Arial"/>
                <w:bCs/>
                <w:sz w:val="16"/>
                <w:szCs w:val="16"/>
              </w:rPr>
              <w:t xml:space="preserve">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{"citationItems":[{"id":"ITEM-1","itemData":{"DOI":"10.1586/17474086.2016.1112735","ISSN":"17474094","PMID":"26568358","abstract":"The economic burden associated with acute myeloid leukemia (AML) is poorly defined and understudied. The goal of this study is estimate the direct cost of illness for AML in the United States (US) ...","author":[{"dropping-particle":"","family":"Zeidan","given":"Amer M.","non-dropping-particle":"","parse-names":false,"suffix":""},{"dropping-particle":"","family":"Mahmoud","given":"Dalia","non-dropping-particle":"","parse-names":false,"suffix":""},{"dropping-particle":"","family":"Kucmin-Bemelmans","given":"Izabela T.","non-dropping-particle":"","parse-names":false,"suffix":""},{"dropping-particle":"","family":"Alleman","given":"Cathelijne J.M.","non-dropping-particle":"","parse-names":false,"suffix":""},{"dropping-particle":"","family":"Hensen","given":"Marja","non-dropping-particle":"","parse-names":false,"suffix":""},{"dropping-particle":"","family":"Skikne","given":"Barry","non-dropping-particle":"","parse-names":false,"suffix":""},{"dropping-particle":"","family":"Douglas Smith","given":"B.","non-dropping-particle":"","parse-names":false,"suffix":""}],"container-title":"http://dx.doi.org/10.1586/17474086.2016.1112735","id":"ITEM-1","issue":"1","issued":{"date-parts":[["2015","1","1"]]},"page":"79-89","publisher":"Taylor &amp; Francis","title":"Economic burden associated with acute myeloid leukemia treatment","type":"article-journal","volume":"9"},"uris":["http://www.mendeley.com/documents/?uuid=5d5236f0-b229-3cbb-91bf-00446504c768"]}],"mendeley":{"formattedCitation":"&lt;sup&gt;20&lt;/sup&gt;","plainTextFormattedCitation":"20","previouslyFormattedCitation":"&lt;sup&gt;45&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20</w:t>
            </w:r>
            <w:r w:rsidRPr="009166E3">
              <w:rPr>
                <w:rFonts w:ascii="Arial" w:hAnsi="Arial" w:cs="Arial"/>
                <w:bCs/>
                <w:sz w:val="16"/>
                <w:szCs w:val="16"/>
              </w:rPr>
              <w:fldChar w:fldCharType="end"/>
            </w:r>
          </w:p>
        </w:tc>
      </w:tr>
      <w:tr w:rsidR="004A3C29" w:rsidRPr="009166E3" w14:paraId="71652EA2" w14:textId="77777777" w:rsidTr="00A46F82">
        <w:tc>
          <w:tcPr>
            <w:tcW w:w="2779" w:type="dxa"/>
            <w:tcBorders>
              <w:top w:val="single" w:sz="4" w:space="0" w:color="auto"/>
              <w:left w:val="nil"/>
              <w:bottom w:val="single" w:sz="4" w:space="0" w:color="auto"/>
              <w:right w:val="nil"/>
            </w:tcBorders>
          </w:tcPr>
          <w:p w14:paraId="19CD194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lastRenderedPageBreak/>
              <w:t>AML cost in subsequent cycles</w:t>
            </w:r>
          </w:p>
        </w:tc>
        <w:tc>
          <w:tcPr>
            <w:tcW w:w="1123" w:type="dxa"/>
            <w:tcBorders>
              <w:top w:val="single" w:sz="4" w:space="0" w:color="auto"/>
              <w:left w:val="nil"/>
              <w:bottom w:val="single" w:sz="4" w:space="0" w:color="auto"/>
              <w:right w:val="nil"/>
            </w:tcBorders>
          </w:tcPr>
          <w:p w14:paraId="6C50293C"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£4,210</w:t>
            </w:r>
          </w:p>
        </w:tc>
        <w:tc>
          <w:tcPr>
            <w:tcW w:w="1418" w:type="dxa"/>
            <w:tcBorders>
              <w:top w:val="single" w:sz="4" w:space="0" w:color="auto"/>
              <w:left w:val="nil"/>
              <w:bottom w:val="single" w:sz="4" w:space="0" w:color="auto"/>
              <w:right w:val="nil"/>
            </w:tcBorders>
          </w:tcPr>
          <w:p w14:paraId="5A4ADE94"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3,368,£</w:t>
            </w:r>
            <w:proofErr w:type="gramEnd"/>
            <w:r w:rsidRPr="009166E3">
              <w:rPr>
                <w:rFonts w:ascii="Arial" w:hAnsi="Arial" w:cs="Arial"/>
                <w:bCs/>
                <w:sz w:val="16"/>
                <w:szCs w:val="16"/>
              </w:rPr>
              <w:t>5,052</w:t>
            </w:r>
          </w:p>
        </w:tc>
        <w:tc>
          <w:tcPr>
            <w:tcW w:w="1799" w:type="dxa"/>
            <w:tcBorders>
              <w:top w:val="single" w:sz="4" w:space="0" w:color="auto"/>
              <w:left w:val="nil"/>
              <w:bottom w:val="single" w:sz="4" w:space="0" w:color="auto"/>
              <w:right w:val="nil"/>
            </w:tcBorders>
          </w:tcPr>
          <w:p w14:paraId="0549B04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=44)</w:t>
            </w:r>
          </w:p>
        </w:tc>
        <w:tc>
          <w:tcPr>
            <w:tcW w:w="1907" w:type="dxa"/>
            <w:tcBorders>
              <w:top w:val="single" w:sz="4" w:space="0" w:color="auto"/>
              <w:left w:val="nil"/>
              <w:bottom w:val="single" w:sz="4" w:space="0" w:color="auto"/>
              <w:right w:val="nil"/>
            </w:tcBorders>
            <w:vAlign w:val="center"/>
          </w:tcPr>
          <w:p w14:paraId="76FD6052" w14:textId="77777777" w:rsidR="004A3C29" w:rsidRPr="009166E3" w:rsidRDefault="004A3C29" w:rsidP="00A46F82">
            <w:pPr>
              <w:rPr>
                <w:rFonts w:ascii="Arial" w:hAnsi="Arial" w:cs="Arial"/>
                <w:bCs/>
                <w:sz w:val="16"/>
                <w:szCs w:val="16"/>
              </w:rPr>
            </w:pPr>
            <w:proofErr w:type="spellStart"/>
            <w:r w:rsidRPr="009166E3">
              <w:rPr>
                <w:rFonts w:ascii="Arial" w:hAnsi="Arial" w:cs="Arial"/>
                <w:bCs/>
                <w:sz w:val="16"/>
                <w:szCs w:val="16"/>
              </w:rPr>
              <w:t>Zeidan</w:t>
            </w:r>
            <w:proofErr w:type="spellEnd"/>
            <w:r w:rsidRPr="009166E3">
              <w:rPr>
                <w:rFonts w:ascii="Arial" w:hAnsi="Arial" w:cs="Arial"/>
                <w:bCs/>
                <w:sz w:val="16"/>
                <w:szCs w:val="16"/>
              </w:rPr>
              <w:t xml:space="preserve"> et al.</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{"citationItems":[{"id":"ITEM-1","itemData":{"DOI":"10.1586/17474086.2016.1112735","ISSN":"17474094","PMID":"26568358","abstract":"The economic burden associated with acute myeloid leukemia (AML) is poorly defined and understudied. The goal of this study is estimate the direct cost of illness for AML in the United States (US) ...","author":[{"dropping-particle":"","family":"Zeidan","given":"Amer M.","non-dropping-particle":"","parse-names":false,"suffix":""},{"dropping-particle":"","family":"Mahmoud","given":"Dalia","non-dropping-particle":"","parse-names":false,"suffix":""},{"dropping-particle":"","family":"Kucmin-Bemelmans","given":"Izabela T.","non-dropping-particle":"","parse-names":false,"suffix":""},{"dropping-particle":"","family":"Alleman","given":"Cathelijne J.M.","non-dropping-particle":"","parse-names":false,"suffix":""},{"dropping-particle":"","family":"Hensen","given":"Marja","non-dropping-particle":"","parse-names":false,"suffix":""},{"dropping-particle":"","family":"Skikne","given":"Barry","non-dropping-particle":"","parse-names":false,"suffix":""},{"dropping-particle":"","family":"Douglas Smith","given":"B.","non-dropping-particle":"","parse-names":false,"suffix":""}],"container-title":"http://dx.doi.org/10.1586/17474086.2016.1112735","id":"ITEM-1","issue":"1","issued":{"date-parts":[["2015","1","1"]]},"page":"79-89","publisher":"Taylor &amp; Francis","title":"Economic burden associated with acute myeloid leukemia treatment","type":"article-journal","volume":"9"},"uris":["http://www.mendeley.com/documents/?uuid=5d5236f0-b229-3cbb-91bf-00446504c768"]}],"mendeley":{"formattedCitation":"&lt;sup&gt;20&lt;/sup&gt;","plainTextFormattedCitation":"20","previouslyFormattedCitation":"&lt;sup&gt;45&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20</w:t>
            </w:r>
            <w:r w:rsidRPr="009166E3">
              <w:rPr>
                <w:rFonts w:ascii="Arial" w:hAnsi="Arial" w:cs="Arial"/>
                <w:bCs/>
                <w:sz w:val="16"/>
                <w:szCs w:val="16"/>
              </w:rPr>
              <w:fldChar w:fldCharType="end"/>
            </w:r>
          </w:p>
        </w:tc>
      </w:tr>
      <w:tr w:rsidR="004A3C29" w:rsidRPr="009166E3" w14:paraId="47D625E7" w14:textId="77777777" w:rsidTr="00A46F82">
        <w:tc>
          <w:tcPr>
            <w:tcW w:w="2779" w:type="dxa"/>
            <w:tcBorders>
              <w:top w:val="single" w:sz="4" w:space="0" w:color="auto"/>
              <w:left w:val="nil"/>
              <w:bottom w:val="single" w:sz="4" w:space="0" w:color="auto"/>
              <w:right w:val="nil"/>
            </w:tcBorders>
          </w:tcPr>
          <w:p w14:paraId="51BAFF0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Terminal care</w:t>
            </w:r>
          </w:p>
        </w:tc>
        <w:tc>
          <w:tcPr>
            <w:tcW w:w="1123" w:type="dxa"/>
            <w:tcBorders>
              <w:top w:val="single" w:sz="4" w:space="0" w:color="auto"/>
              <w:left w:val="nil"/>
              <w:bottom w:val="single" w:sz="4" w:space="0" w:color="auto"/>
              <w:right w:val="nil"/>
            </w:tcBorders>
          </w:tcPr>
          <w:p w14:paraId="0DD5907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£4,916</w:t>
            </w:r>
          </w:p>
        </w:tc>
        <w:tc>
          <w:tcPr>
            <w:tcW w:w="1418" w:type="dxa"/>
            <w:tcBorders>
              <w:top w:val="single" w:sz="4" w:space="0" w:color="auto"/>
              <w:left w:val="nil"/>
              <w:bottom w:val="single" w:sz="4" w:space="0" w:color="auto"/>
              <w:right w:val="nil"/>
            </w:tcBorders>
          </w:tcPr>
          <w:p w14:paraId="551433E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3,933,£</w:t>
            </w:r>
            <w:proofErr w:type="gramEnd"/>
            <w:r w:rsidRPr="009166E3">
              <w:rPr>
                <w:rFonts w:ascii="Arial" w:hAnsi="Arial" w:cs="Arial"/>
                <w:bCs/>
                <w:sz w:val="16"/>
                <w:szCs w:val="16"/>
              </w:rPr>
              <w:t>5,899</w:t>
            </w:r>
          </w:p>
        </w:tc>
        <w:tc>
          <w:tcPr>
            <w:tcW w:w="1799" w:type="dxa"/>
            <w:tcBorders>
              <w:top w:val="single" w:sz="4" w:space="0" w:color="auto"/>
              <w:left w:val="nil"/>
              <w:bottom w:val="single" w:sz="4" w:space="0" w:color="auto"/>
              <w:right w:val="nil"/>
            </w:tcBorders>
          </w:tcPr>
          <w:p w14:paraId="0317AC0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=51)</w:t>
            </w:r>
          </w:p>
        </w:tc>
        <w:tc>
          <w:tcPr>
            <w:tcW w:w="1907" w:type="dxa"/>
            <w:tcBorders>
              <w:top w:val="single" w:sz="4" w:space="0" w:color="auto"/>
              <w:left w:val="nil"/>
              <w:bottom w:val="single" w:sz="4" w:space="0" w:color="auto"/>
              <w:right w:val="nil"/>
            </w:tcBorders>
            <w:vAlign w:val="center"/>
          </w:tcPr>
          <w:p w14:paraId="3E2FB8E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 xml:space="preserve">Hinde et al. </w:t>
            </w:r>
            <w:r w:rsidRPr="009166E3">
              <w:rPr>
                <w:rFonts w:ascii="Arial" w:hAnsi="Arial" w:cs="Arial"/>
                <w:bCs/>
                <w:sz w:val="16"/>
                <w:szCs w:val="16"/>
              </w:rPr>
              <w:fldChar w:fldCharType="begin" w:fldLock="1"/>
            </w:r>
            <w:r w:rsidRPr="009166E3">
              <w:rPr>
                <w:rFonts w:ascii="Arial" w:hAnsi="Arial" w:cs="Arial"/>
                <w:bCs/>
                <w:sz w:val="16"/>
                <w:szCs w:val="16"/>
              </w:rPr>
              <w:instrText>ADDIN CSL_CITATION {"citationItems":[{"id":"ITEM-1","itemData":{"DOI":"10.1016/j.hlpt.2018.12.001","ISSN":"22118845","abstract":"Background: Adjuvant chemotherapy in breast cancer patients post resection has been estimated to reduce mortality rates by up to 30%. However, the heterogeneous nature of the disease and patients implies that not all patients should receive the treatment. Many existing prognostic tools, may not definitively estimate the most effective treatment strategy, resulting in an indeterminate risk classification. In such cases gene expression profiling tests can aid the treatment decision. Methods: This study evaluated the cost-effectiveness of EndoPredict in patients with indeterminate risk classification. A mathematical model was constructed to determine how the change in treatment decisions impacted the long term health of the population, and the future cost implications to the NHS. Results: EndoPredict was found to lead to 36.9% of patients having a change in treatment decision. As a result its use was found to result in an increase in population health but also in total costs, resulting in an incremental cost-effectiveness ratio of £26,836 per quality adjusted life year. This was subject to significant parametric and structural uncertainty. Conclusion: While EndoPredict was found to be more expensive overall, its ability to affect a more optimal allocation of chemotherapy, resulted in long term health gains, however, they were insufficient to justify the high cost of EndoPredict.","author":[{"dropping-particle":"","family":"Hinde","given":"Sebastian","non-dropping-particle":"","parse-names":false,"suffix":""},{"dropping-particle":"","family":"Theriou","given":"Chloi","non-dropping-particle":"","parse-names":false,"suffix":""},{"dropping-particle":"","family":"May","given":"Shirley","non-dropping-particle":"","parse-names":false,"suffix":""},{"dropping-particle":"","family":"Matthews","given":"Lucy","non-dropping-particle":"","parse-names":false,"suffix":""},{"dropping-particle":"","family":"Arbon","given":"Amy","non-dropping-particle":"","parse-names":false,"suffix":""},{"dropping-particle":"","family":"Fallowfield","given":"Lesley","non-dropping-particle":"","parse-names":false,"suffix":""},{"dropping-particle":"","family":"Bloomfield","given":"David","non-dropping-particle":"","parse-names":false,"suffix":""}],"container-title":"Health Policy and Technology","id":"ITEM-1","issue":"1","issued":{"date-parts":[["2019","3","1"]]},"page":"75-83","publisher":"Elsevier B.V.","title":"The cost-effectiveness of EndoPredict to inform adjuvant chemotherapy decisions in early breast cancer","type":"article-journal","volume":"8"},"uris":["http://www.mendeley.com/documents/?uuid=083b6803-4c3f-31b3-9da6-0464db209fd0"]}],"mendeley":{"formattedCitation":"&lt;sup&gt;1&lt;/sup&gt;","plainTextFormattedCitation":"1","previouslyFormattedCitation":"&lt;sup&gt;56&lt;/sup&gt;"},"properties":{"noteIndex":0},"schema":"https://github.com/citation-style-language/schema/raw/master/csl-citation.json"}</w:instrText>
            </w:r>
            <w:r w:rsidRPr="009166E3">
              <w:rPr>
                <w:rFonts w:ascii="Arial" w:hAnsi="Arial" w:cs="Arial"/>
                <w:bCs/>
                <w:sz w:val="16"/>
                <w:szCs w:val="16"/>
              </w:rPr>
              <w:fldChar w:fldCharType="separate"/>
            </w:r>
            <w:r w:rsidRPr="009166E3">
              <w:rPr>
                <w:rFonts w:ascii="Arial" w:hAnsi="Arial" w:cs="Arial"/>
                <w:bCs/>
                <w:noProof/>
                <w:sz w:val="16"/>
                <w:szCs w:val="16"/>
                <w:vertAlign w:val="superscript"/>
              </w:rPr>
              <w:t>1</w:t>
            </w:r>
            <w:r w:rsidRPr="009166E3">
              <w:rPr>
                <w:rFonts w:ascii="Arial" w:hAnsi="Arial" w:cs="Arial"/>
                <w:bCs/>
                <w:sz w:val="16"/>
                <w:szCs w:val="16"/>
              </w:rPr>
              <w:fldChar w:fldCharType="end"/>
            </w:r>
          </w:p>
        </w:tc>
      </w:tr>
      <w:tr w:rsidR="004A3C29" w:rsidRPr="009166E3" w14:paraId="7723884F" w14:textId="77777777" w:rsidTr="00A46F82">
        <w:tc>
          <w:tcPr>
            <w:tcW w:w="2779" w:type="dxa"/>
            <w:tcBorders>
              <w:top w:val="single" w:sz="4" w:space="0" w:color="auto"/>
              <w:left w:val="nil"/>
              <w:bottom w:val="single" w:sz="4" w:space="0" w:color="auto"/>
              <w:right w:val="nil"/>
            </w:tcBorders>
          </w:tcPr>
          <w:p w14:paraId="7D78FC89"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Outpatient visit</w:t>
            </w:r>
          </w:p>
        </w:tc>
        <w:tc>
          <w:tcPr>
            <w:tcW w:w="1123" w:type="dxa"/>
            <w:tcBorders>
              <w:top w:val="single" w:sz="4" w:space="0" w:color="auto"/>
              <w:left w:val="nil"/>
              <w:bottom w:val="single" w:sz="4" w:space="0" w:color="auto"/>
              <w:right w:val="nil"/>
            </w:tcBorders>
          </w:tcPr>
          <w:p w14:paraId="257D0A0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£200</w:t>
            </w:r>
          </w:p>
        </w:tc>
        <w:tc>
          <w:tcPr>
            <w:tcW w:w="1418" w:type="dxa"/>
            <w:tcBorders>
              <w:top w:val="single" w:sz="4" w:space="0" w:color="auto"/>
              <w:left w:val="nil"/>
              <w:bottom w:val="single" w:sz="4" w:space="0" w:color="auto"/>
              <w:right w:val="nil"/>
            </w:tcBorders>
          </w:tcPr>
          <w:p w14:paraId="48F5BA7B"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160,£</w:t>
            </w:r>
            <w:proofErr w:type="gramEnd"/>
            <w:r w:rsidRPr="009166E3">
              <w:rPr>
                <w:rFonts w:ascii="Arial" w:hAnsi="Arial" w:cs="Arial"/>
                <w:bCs/>
                <w:sz w:val="16"/>
                <w:szCs w:val="16"/>
              </w:rPr>
              <w:t>240</w:t>
            </w:r>
          </w:p>
        </w:tc>
        <w:tc>
          <w:tcPr>
            <w:tcW w:w="1799" w:type="dxa"/>
            <w:tcBorders>
              <w:top w:val="single" w:sz="4" w:space="0" w:color="auto"/>
              <w:left w:val="nil"/>
              <w:bottom w:val="single" w:sz="4" w:space="0" w:color="auto"/>
              <w:right w:val="nil"/>
            </w:tcBorders>
          </w:tcPr>
          <w:p w14:paraId="15FFCCA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=2.1)</w:t>
            </w:r>
          </w:p>
        </w:tc>
        <w:tc>
          <w:tcPr>
            <w:tcW w:w="1907" w:type="dxa"/>
            <w:tcBorders>
              <w:top w:val="single" w:sz="4" w:space="0" w:color="auto"/>
              <w:left w:val="nil"/>
              <w:bottom w:val="single" w:sz="4" w:space="0" w:color="auto"/>
              <w:right w:val="nil"/>
            </w:tcBorders>
            <w:vAlign w:val="center"/>
          </w:tcPr>
          <w:p w14:paraId="115B5048" w14:textId="77777777" w:rsidR="004A3C29" w:rsidRPr="009166E3" w:rsidRDefault="004A3C29" w:rsidP="00A46F82">
            <w:pPr>
              <w:rPr>
                <w:rFonts w:ascii="Arial" w:hAnsi="Arial" w:cs="Arial"/>
                <w:bCs/>
                <w:sz w:val="16"/>
                <w:szCs w:val="16"/>
              </w:rPr>
            </w:pPr>
            <w:r w:rsidRPr="009166E3">
              <w:rPr>
                <w:rFonts w:ascii="Arial" w:eastAsia="Times New Roman" w:hAnsi="Arial" w:cs="Arial"/>
                <w:bCs/>
                <w:sz w:val="16"/>
                <w:szCs w:val="16"/>
                <w:lang w:eastAsia="en-GB"/>
              </w:rPr>
              <w:t>NHS Reference costs 2019/20: service code 370</w:t>
            </w:r>
          </w:p>
        </w:tc>
      </w:tr>
      <w:tr w:rsidR="004A3C29" w:rsidRPr="009166E3" w14:paraId="1A54CDD4" w14:textId="77777777" w:rsidTr="00A46F82">
        <w:tc>
          <w:tcPr>
            <w:tcW w:w="2779" w:type="dxa"/>
            <w:tcBorders>
              <w:top w:val="single" w:sz="4" w:space="0" w:color="auto"/>
              <w:left w:val="nil"/>
              <w:bottom w:val="single" w:sz="4" w:space="0" w:color="auto"/>
              <w:right w:val="nil"/>
            </w:tcBorders>
          </w:tcPr>
          <w:p w14:paraId="29313AB5"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LFT</w:t>
            </w:r>
          </w:p>
        </w:tc>
        <w:tc>
          <w:tcPr>
            <w:tcW w:w="1123" w:type="dxa"/>
            <w:tcBorders>
              <w:top w:val="single" w:sz="4" w:space="0" w:color="auto"/>
              <w:left w:val="nil"/>
              <w:bottom w:val="single" w:sz="4" w:space="0" w:color="auto"/>
              <w:right w:val="nil"/>
            </w:tcBorders>
          </w:tcPr>
          <w:p w14:paraId="60A5FCE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£1.10</w:t>
            </w:r>
          </w:p>
        </w:tc>
        <w:tc>
          <w:tcPr>
            <w:tcW w:w="3217" w:type="dxa"/>
            <w:gridSpan w:val="2"/>
            <w:tcBorders>
              <w:top w:val="single" w:sz="4" w:space="0" w:color="auto"/>
              <w:left w:val="nil"/>
              <w:bottom w:val="single" w:sz="4" w:space="0" w:color="auto"/>
              <w:right w:val="nil"/>
            </w:tcBorders>
          </w:tcPr>
          <w:p w14:paraId="5AE4313D"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Varied in “Total drug admin tests”</w:t>
            </w:r>
          </w:p>
        </w:tc>
        <w:tc>
          <w:tcPr>
            <w:tcW w:w="1907" w:type="dxa"/>
            <w:vMerge w:val="restart"/>
            <w:tcBorders>
              <w:top w:val="single" w:sz="4" w:space="0" w:color="auto"/>
              <w:left w:val="nil"/>
              <w:bottom w:val="single" w:sz="4" w:space="0" w:color="auto"/>
              <w:right w:val="nil"/>
            </w:tcBorders>
            <w:vAlign w:val="center"/>
          </w:tcPr>
          <w:p w14:paraId="7F41CCA5" w14:textId="77777777" w:rsidR="004A3C29" w:rsidRPr="009166E3" w:rsidRDefault="004A3C29" w:rsidP="00A46F82">
            <w:pPr>
              <w:rPr>
                <w:rFonts w:ascii="Arial" w:hAnsi="Arial" w:cs="Arial"/>
                <w:bCs/>
                <w:sz w:val="16"/>
                <w:szCs w:val="16"/>
              </w:rPr>
            </w:pPr>
            <w:r w:rsidRPr="009166E3">
              <w:rPr>
                <w:rFonts w:ascii="Arial" w:eastAsia="Times New Roman" w:hAnsi="Arial" w:cs="Arial"/>
                <w:bCs/>
                <w:sz w:val="16"/>
                <w:szCs w:val="16"/>
                <w:lang w:eastAsia="en-GB"/>
              </w:rPr>
              <w:t>NHS Reference costs 2019/20: DAPS04</w:t>
            </w:r>
          </w:p>
        </w:tc>
      </w:tr>
      <w:tr w:rsidR="004A3C29" w:rsidRPr="009166E3" w14:paraId="18F85EA5" w14:textId="77777777" w:rsidTr="00A46F82">
        <w:tc>
          <w:tcPr>
            <w:tcW w:w="2779" w:type="dxa"/>
            <w:tcBorders>
              <w:top w:val="single" w:sz="4" w:space="0" w:color="auto"/>
              <w:left w:val="nil"/>
              <w:bottom w:val="single" w:sz="4" w:space="0" w:color="auto"/>
              <w:right w:val="nil"/>
            </w:tcBorders>
          </w:tcPr>
          <w:p w14:paraId="4269097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U&amp;E</w:t>
            </w:r>
          </w:p>
        </w:tc>
        <w:tc>
          <w:tcPr>
            <w:tcW w:w="1123" w:type="dxa"/>
            <w:tcBorders>
              <w:top w:val="single" w:sz="4" w:space="0" w:color="auto"/>
              <w:left w:val="nil"/>
              <w:bottom w:val="single" w:sz="4" w:space="0" w:color="auto"/>
              <w:right w:val="nil"/>
            </w:tcBorders>
          </w:tcPr>
          <w:p w14:paraId="529D170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£1.10</w:t>
            </w:r>
          </w:p>
        </w:tc>
        <w:tc>
          <w:tcPr>
            <w:tcW w:w="3217" w:type="dxa"/>
            <w:gridSpan w:val="2"/>
            <w:tcBorders>
              <w:top w:val="single" w:sz="4" w:space="0" w:color="auto"/>
              <w:left w:val="nil"/>
              <w:bottom w:val="single" w:sz="4" w:space="0" w:color="auto"/>
              <w:right w:val="nil"/>
            </w:tcBorders>
          </w:tcPr>
          <w:p w14:paraId="6F8A8BD0"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Varied in “Total drug admin tests”</w:t>
            </w:r>
          </w:p>
        </w:tc>
        <w:tc>
          <w:tcPr>
            <w:tcW w:w="1907" w:type="dxa"/>
            <w:vMerge/>
            <w:tcBorders>
              <w:top w:val="single" w:sz="4" w:space="0" w:color="auto"/>
              <w:left w:val="nil"/>
              <w:bottom w:val="single" w:sz="4" w:space="0" w:color="auto"/>
              <w:right w:val="nil"/>
            </w:tcBorders>
            <w:vAlign w:val="center"/>
          </w:tcPr>
          <w:p w14:paraId="3122A3F3" w14:textId="77777777" w:rsidR="004A3C29" w:rsidRPr="009166E3" w:rsidRDefault="004A3C29" w:rsidP="00A46F82">
            <w:pPr>
              <w:rPr>
                <w:rFonts w:ascii="Arial" w:hAnsi="Arial" w:cs="Arial"/>
                <w:bCs/>
                <w:sz w:val="16"/>
                <w:szCs w:val="16"/>
              </w:rPr>
            </w:pPr>
          </w:p>
        </w:tc>
      </w:tr>
      <w:tr w:rsidR="004A3C29" w:rsidRPr="009166E3" w14:paraId="4A68A768" w14:textId="77777777" w:rsidTr="00A46F82">
        <w:tc>
          <w:tcPr>
            <w:tcW w:w="2779" w:type="dxa"/>
            <w:tcBorders>
              <w:top w:val="single" w:sz="4" w:space="0" w:color="auto"/>
              <w:left w:val="nil"/>
              <w:bottom w:val="single" w:sz="4" w:space="0" w:color="auto"/>
              <w:right w:val="nil"/>
            </w:tcBorders>
          </w:tcPr>
          <w:p w14:paraId="0B53B0B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FBC</w:t>
            </w:r>
          </w:p>
        </w:tc>
        <w:tc>
          <w:tcPr>
            <w:tcW w:w="1123" w:type="dxa"/>
            <w:tcBorders>
              <w:top w:val="single" w:sz="4" w:space="0" w:color="auto"/>
              <w:left w:val="nil"/>
              <w:bottom w:val="single" w:sz="4" w:space="0" w:color="auto"/>
              <w:right w:val="nil"/>
            </w:tcBorders>
          </w:tcPr>
          <w:p w14:paraId="24AF2EF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£2.79</w:t>
            </w:r>
          </w:p>
        </w:tc>
        <w:tc>
          <w:tcPr>
            <w:tcW w:w="3217" w:type="dxa"/>
            <w:gridSpan w:val="2"/>
            <w:tcBorders>
              <w:top w:val="single" w:sz="4" w:space="0" w:color="auto"/>
              <w:left w:val="nil"/>
              <w:bottom w:val="single" w:sz="4" w:space="0" w:color="auto"/>
              <w:right w:val="nil"/>
            </w:tcBorders>
          </w:tcPr>
          <w:p w14:paraId="6FAA0622"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Varied in “Total drug admin tests”</w:t>
            </w:r>
          </w:p>
        </w:tc>
        <w:tc>
          <w:tcPr>
            <w:tcW w:w="1907" w:type="dxa"/>
            <w:tcBorders>
              <w:top w:val="single" w:sz="4" w:space="0" w:color="auto"/>
              <w:left w:val="nil"/>
              <w:bottom w:val="single" w:sz="4" w:space="0" w:color="auto"/>
              <w:right w:val="nil"/>
            </w:tcBorders>
            <w:vAlign w:val="center"/>
          </w:tcPr>
          <w:p w14:paraId="68BA33F8" w14:textId="77777777" w:rsidR="004A3C29" w:rsidRPr="009166E3" w:rsidRDefault="004A3C29" w:rsidP="00A46F82">
            <w:pPr>
              <w:rPr>
                <w:rFonts w:ascii="Arial" w:hAnsi="Arial" w:cs="Arial"/>
                <w:bCs/>
                <w:sz w:val="16"/>
                <w:szCs w:val="16"/>
              </w:rPr>
            </w:pPr>
            <w:r w:rsidRPr="009166E3">
              <w:rPr>
                <w:rFonts w:ascii="Arial" w:eastAsia="Times New Roman" w:hAnsi="Arial" w:cs="Arial"/>
                <w:bCs/>
                <w:sz w:val="16"/>
                <w:szCs w:val="16"/>
                <w:lang w:eastAsia="en-GB"/>
              </w:rPr>
              <w:t>NHS Reference costs 2019/20: DAPS05</w:t>
            </w:r>
          </w:p>
        </w:tc>
      </w:tr>
      <w:tr w:rsidR="004A3C29" w:rsidRPr="009166E3" w14:paraId="1B6968B7" w14:textId="77777777" w:rsidTr="00A46F82">
        <w:tc>
          <w:tcPr>
            <w:tcW w:w="2779" w:type="dxa"/>
            <w:tcBorders>
              <w:top w:val="single" w:sz="4" w:space="0" w:color="auto"/>
              <w:left w:val="nil"/>
              <w:bottom w:val="single" w:sz="4" w:space="0" w:color="auto"/>
              <w:right w:val="nil"/>
            </w:tcBorders>
          </w:tcPr>
          <w:p w14:paraId="2BEB135B"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ECG (in 25% of patients)</w:t>
            </w:r>
          </w:p>
        </w:tc>
        <w:tc>
          <w:tcPr>
            <w:tcW w:w="1123" w:type="dxa"/>
            <w:tcBorders>
              <w:top w:val="single" w:sz="4" w:space="0" w:color="auto"/>
              <w:left w:val="nil"/>
              <w:bottom w:val="single" w:sz="4" w:space="0" w:color="auto"/>
              <w:right w:val="nil"/>
            </w:tcBorders>
          </w:tcPr>
          <w:p w14:paraId="745243F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£49</w:t>
            </w:r>
          </w:p>
        </w:tc>
        <w:tc>
          <w:tcPr>
            <w:tcW w:w="3217" w:type="dxa"/>
            <w:gridSpan w:val="2"/>
            <w:tcBorders>
              <w:top w:val="single" w:sz="4" w:space="0" w:color="auto"/>
              <w:left w:val="nil"/>
              <w:bottom w:val="single" w:sz="4" w:space="0" w:color="auto"/>
              <w:right w:val="nil"/>
            </w:tcBorders>
          </w:tcPr>
          <w:p w14:paraId="1306B75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Varied in “Total drug admin tests”</w:t>
            </w:r>
          </w:p>
        </w:tc>
        <w:tc>
          <w:tcPr>
            <w:tcW w:w="1907" w:type="dxa"/>
            <w:tcBorders>
              <w:top w:val="single" w:sz="4" w:space="0" w:color="auto"/>
              <w:left w:val="nil"/>
              <w:bottom w:val="single" w:sz="4" w:space="0" w:color="auto"/>
              <w:right w:val="nil"/>
            </w:tcBorders>
            <w:vAlign w:val="center"/>
          </w:tcPr>
          <w:p w14:paraId="03B3950B" w14:textId="77777777" w:rsidR="004A3C29" w:rsidRPr="009166E3" w:rsidRDefault="004A3C29" w:rsidP="00A46F82">
            <w:pPr>
              <w:rPr>
                <w:rFonts w:ascii="Arial" w:hAnsi="Arial" w:cs="Arial"/>
                <w:bCs/>
                <w:sz w:val="16"/>
                <w:szCs w:val="16"/>
              </w:rPr>
            </w:pPr>
            <w:r w:rsidRPr="009166E3">
              <w:rPr>
                <w:rFonts w:ascii="Arial" w:eastAsia="Times New Roman" w:hAnsi="Arial" w:cs="Arial"/>
                <w:bCs/>
                <w:sz w:val="16"/>
                <w:szCs w:val="16"/>
                <w:lang w:eastAsia="en-GB"/>
              </w:rPr>
              <w:t>NHS Reference costs 2019/20: EY51Z</w:t>
            </w:r>
          </w:p>
        </w:tc>
      </w:tr>
      <w:tr w:rsidR="004A3C29" w:rsidRPr="009166E3" w14:paraId="27496975" w14:textId="77777777" w:rsidTr="00A46F82">
        <w:tc>
          <w:tcPr>
            <w:tcW w:w="2779" w:type="dxa"/>
            <w:tcBorders>
              <w:top w:val="single" w:sz="4" w:space="0" w:color="auto"/>
              <w:left w:val="nil"/>
              <w:bottom w:val="single" w:sz="4" w:space="0" w:color="auto"/>
              <w:right w:val="nil"/>
            </w:tcBorders>
          </w:tcPr>
          <w:p w14:paraId="35E3044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Total drug admin tests</w:t>
            </w:r>
          </w:p>
        </w:tc>
        <w:tc>
          <w:tcPr>
            <w:tcW w:w="1123" w:type="dxa"/>
            <w:tcBorders>
              <w:top w:val="single" w:sz="4" w:space="0" w:color="auto"/>
              <w:left w:val="nil"/>
              <w:bottom w:val="single" w:sz="4" w:space="0" w:color="auto"/>
              <w:right w:val="nil"/>
            </w:tcBorders>
          </w:tcPr>
          <w:p w14:paraId="612802CA"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£32</w:t>
            </w:r>
          </w:p>
        </w:tc>
        <w:tc>
          <w:tcPr>
            <w:tcW w:w="1418" w:type="dxa"/>
            <w:tcBorders>
              <w:top w:val="single" w:sz="4" w:space="0" w:color="auto"/>
              <w:left w:val="nil"/>
              <w:bottom w:val="single" w:sz="4" w:space="0" w:color="auto"/>
              <w:right w:val="nil"/>
            </w:tcBorders>
          </w:tcPr>
          <w:p w14:paraId="56FFE7E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25,£</w:t>
            </w:r>
            <w:proofErr w:type="gramEnd"/>
            <w:r w:rsidRPr="009166E3">
              <w:rPr>
                <w:rFonts w:ascii="Arial" w:hAnsi="Arial" w:cs="Arial"/>
                <w:bCs/>
                <w:sz w:val="16"/>
                <w:szCs w:val="16"/>
              </w:rPr>
              <w:t>38</w:t>
            </w:r>
          </w:p>
        </w:tc>
        <w:tc>
          <w:tcPr>
            <w:tcW w:w="1799" w:type="dxa"/>
            <w:tcBorders>
              <w:top w:val="single" w:sz="4" w:space="0" w:color="auto"/>
              <w:left w:val="nil"/>
              <w:bottom w:val="single" w:sz="4" w:space="0" w:color="auto"/>
              <w:right w:val="nil"/>
            </w:tcBorders>
          </w:tcPr>
          <w:p w14:paraId="32709808"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=0.3)</w:t>
            </w:r>
          </w:p>
        </w:tc>
        <w:tc>
          <w:tcPr>
            <w:tcW w:w="1907" w:type="dxa"/>
            <w:tcBorders>
              <w:top w:val="single" w:sz="4" w:space="0" w:color="auto"/>
              <w:left w:val="nil"/>
              <w:bottom w:val="single" w:sz="4" w:space="0" w:color="auto"/>
              <w:right w:val="nil"/>
            </w:tcBorders>
            <w:vAlign w:val="center"/>
          </w:tcPr>
          <w:p w14:paraId="24854233" w14:textId="77777777" w:rsidR="004A3C29" w:rsidRPr="009166E3" w:rsidRDefault="004A3C29" w:rsidP="00A46F82">
            <w:pPr>
              <w:rPr>
                <w:rFonts w:ascii="Arial" w:eastAsia="Times New Roman" w:hAnsi="Arial" w:cs="Arial"/>
                <w:bCs/>
                <w:sz w:val="16"/>
                <w:szCs w:val="16"/>
                <w:lang w:eastAsia="en-GB"/>
              </w:rPr>
            </w:pPr>
            <w:r w:rsidRPr="009166E3">
              <w:rPr>
                <w:rFonts w:ascii="Arial" w:eastAsia="Times New Roman" w:hAnsi="Arial" w:cs="Arial"/>
                <w:bCs/>
                <w:sz w:val="16"/>
                <w:szCs w:val="16"/>
                <w:lang w:eastAsia="en-GB"/>
              </w:rPr>
              <w:t>Sum of test unit costs</w:t>
            </w:r>
          </w:p>
        </w:tc>
      </w:tr>
      <w:tr w:rsidR="004A3C29" w:rsidRPr="009166E3" w14:paraId="7780CAAF" w14:textId="77777777" w:rsidTr="00A46F82">
        <w:tc>
          <w:tcPr>
            <w:tcW w:w="2779" w:type="dxa"/>
            <w:tcBorders>
              <w:top w:val="single" w:sz="4" w:space="0" w:color="auto"/>
              <w:left w:val="nil"/>
              <w:bottom w:val="single" w:sz="4" w:space="0" w:color="auto"/>
              <w:right w:val="nil"/>
            </w:tcBorders>
          </w:tcPr>
          <w:p w14:paraId="465F798E"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Mammogram</w:t>
            </w:r>
          </w:p>
        </w:tc>
        <w:tc>
          <w:tcPr>
            <w:tcW w:w="1123" w:type="dxa"/>
            <w:tcBorders>
              <w:top w:val="single" w:sz="4" w:space="0" w:color="auto"/>
              <w:left w:val="nil"/>
              <w:bottom w:val="single" w:sz="4" w:space="0" w:color="auto"/>
              <w:right w:val="nil"/>
            </w:tcBorders>
          </w:tcPr>
          <w:p w14:paraId="57C7246F"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£56</w:t>
            </w:r>
          </w:p>
        </w:tc>
        <w:tc>
          <w:tcPr>
            <w:tcW w:w="1418" w:type="dxa"/>
            <w:tcBorders>
              <w:top w:val="single" w:sz="4" w:space="0" w:color="auto"/>
              <w:left w:val="nil"/>
              <w:bottom w:val="single" w:sz="4" w:space="0" w:color="auto"/>
              <w:right w:val="nil"/>
            </w:tcBorders>
          </w:tcPr>
          <w:p w14:paraId="0DCDAD17"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w:t>
            </w:r>
            <w:proofErr w:type="gramStart"/>
            <w:r w:rsidRPr="009166E3">
              <w:rPr>
                <w:rFonts w:ascii="Arial" w:hAnsi="Arial" w:cs="Arial"/>
                <w:bCs/>
                <w:sz w:val="16"/>
                <w:szCs w:val="16"/>
              </w:rPr>
              <w:t>45,£</w:t>
            </w:r>
            <w:proofErr w:type="gramEnd"/>
            <w:r w:rsidRPr="009166E3">
              <w:rPr>
                <w:rFonts w:ascii="Arial" w:hAnsi="Arial" w:cs="Arial"/>
                <w:bCs/>
                <w:sz w:val="16"/>
                <w:szCs w:val="16"/>
              </w:rPr>
              <w:t>67</w:t>
            </w:r>
          </w:p>
        </w:tc>
        <w:tc>
          <w:tcPr>
            <w:tcW w:w="1799" w:type="dxa"/>
            <w:tcBorders>
              <w:top w:val="single" w:sz="4" w:space="0" w:color="auto"/>
              <w:left w:val="nil"/>
              <w:bottom w:val="single" w:sz="4" w:space="0" w:color="auto"/>
              <w:right w:val="nil"/>
            </w:tcBorders>
          </w:tcPr>
          <w:p w14:paraId="2675FB03" w14:textId="77777777" w:rsidR="004A3C29" w:rsidRPr="009166E3" w:rsidRDefault="004A3C29" w:rsidP="00A46F82">
            <w:pPr>
              <w:rPr>
                <w:rFonts w:ascii="Arial" w:hAnsi="Arial" w:cs="Arial"/>
                <w:bCs/>
                <w:sz w:val="16"/>
                <w:szCs w:val="16"/>
              </w:rPr>
            </w:pPr>
            <w:r w:rsidRPr="009166E3">
              <w:rPr>
                <w:rFonts w:ascii="Arial" w:hAnsi="Arial" w:cs="Arial"/>
                <w:bCs/>
                <w:sz w:val="16"/>
                <w:szCs w:val="16"/>
              </w:rPr>
              <w:t>Gamma (k=</w:t>
            </w:r>
            <w:proofErr w:type="gramStart"/>
            <w:r w:rsidRPr="009166E3">
              <w:rPr>
                <w:rFonts w:ascii="Arial" w:hAnsi="Arial" w:cs="Arial"/>
                <w:bCs/>
                <w:sz w:val="16"/>
                <w:szCs w:val="16"/>
              </w:rPr>
              <w:t>96,θ</w:t>
            </w:r>
            <w:proofErr w:type="gramEnd"/>
            <w:r w:rsidRPr="009166E3">
              <w:rPr>
                <w:rFonts w:ascii="Arial" w:hAnsi="Arial" w:cs="Arial"/>
                <w:bCs/>
                <w:sz w:val="16"/>
                <w:szCs w:val="16"/>
              </w:rPr>
              <w:t>=1)</w:t>
            </w:r>
          </w:p>
        </w:tc>
        <w:tc>
          <w:tcPr>
            <w:tcW w:w="1907" w:type="dxa"/>
            <w:tcBorders>
              <w:top w:val="single" w:sz="4" w:space="0" w:color="auto"/>
              <w:left w:val="nil"/>
              <w:bottom w:val="single" w:sz="4" w:space="0" w:color="auto"/>
              <w:right w:val="nil"/>
            </w:tcBorders>
            <w:vAlign w:val="center"/>
          </w:tcPr>
          <w:p w14:paraId="172B69A6" w14:textId="77777777" w:rsidR="004A3C29" w:rsidRPr="009166E3" w:rsidRDefault="004A3C29" w:rsidP="00A46F82">
            <w:pPr>
              <w:rPr>
                <w:rFonts w:ascii="Arial" w:eastAsia="Times New Roman" w:hAnsi="Arial" w:cs="Arial"/>
                <w:bCs/>
                <w:sz w:val="16"/>
                <w:szCs w:val="16"/>
                <w:lang w:eastAsia="en-GB"/>
              </w:rPr>
            </w:pPr>
            <w:r w:rsidRPr="009166E3">
              <w:rPr>
                <w:rFonts w:ascii="Arial" w:eastAsia="Times New Roman" w:hAnsi="Arial" w:cs="Arial"/>
                <w:bCs/>
                <w:sz w:val="16"/>
                <w:szCs w:val="16"/>
                <w:lang w:eastAsia="en-GB"/>
              </w:rPr>
              <w:t>Campbell et al.</w:t>
            </w:r>
            <w:r w:rsidRPr="009166E3">
              <w:rPr>
                <w:rFonts w:ascii="Arial" w:eastAsia="Times New Roman" w:hAnsi="Arial" w:cs="Arial"/>
                <w:bCs/>
                <w:sz w:val="16"/>
                <w:szCs w:val="16"/>
                <w:lang w:eastAsia="en-GB"/>
              </w:rPr>
              <w:fldChar w:fldCharType="begin" w:fldLock="1"/>
            </w:r>
            <w:r w:rsidRPr="009166E3">
              <w:rPr>
                <w:rFonts w:ascii="Arial" w:eastAsia="Times New Roman" w:hAnsi="Arial" w:cs="Arial"/>
                <w:bCs/>
                <w:sz w:val="16"/>
                <w:szCs w:val="16"/>
                <w:lang w:eastAsia="en-GB"/>
              </w:rPr>
              <w:instrText>ADDIN CSL_CITATION {"citationItems":[{"id":"ITEM-1","itemData":{"DOI":"10.1016/j.ejca.2011.06.019","ISSN":"09598049","abstract":"Background: The risk of recurrence following surgery in women with early breast cancer varies, depending upon prognostic factors. Adjuvant chemotherapy reduces this risk; however, increasingly effective regimens are associated with higher costs and toxicity profiles, making it likely that different regimens may be cost-effective for women with differing prognoses. To investigate this we performed a cost-effectiveness analysis of four treatment strategies: (1) no chemotherapy, (2) chemotherapy using cyclophosphamide, methotrexate, and fluorouracil (CMF) (a first generation regimen), (3) chemotherapy using Epirubicin-CMF (E-CMF) or fluorouracil, epirubicin, and cyclophosphamide (FEC60) (a second generation regimens), and (4) chemotherapy with FEC60 followed by docetaxel (FEC-D) (a third generation regimen). These adjuvant chemotherapy regimens were used in three large UK-led randomised controlled trials (RCTs). Methods: A Markov model was used to simulate the natural progression of early breast cancer and the impact of chemotherapy on modifying this process. The probability of a first recurrent event within the model was estimated for women with different prognostic risk profiles using a parametric regression-based survival model incorporating established prognostic factors. Other probabilities, treatment effects, costs and quality of life weights were estimated primarily using data from the three UK-led RCTs, a meta-analysis of all relevant RCTs, and other published literature. The model predicted the lifetime costs, quality adjusted life years (QALYs) and cost-effectiveness of the four strategies for women with differing prognoses. Sensitivity analyses investigated the impact of uncertain parameters and model assumptions. Findings: For women with an average to high risk of recurrence (based upon prognostic factors and any other adjuvant therapies received), FEC-D appeared most cost-effective assuming a threshold of £20,000 per QALY for the National Health Service (NHS). For younger low risk women, E-CMF/FEC60 tended to be the optimal strategy and, for some older low risk women, the model suggested a policy of no chemotherapy was cost-effective. For no patient group was CMF chemotherapy the preferred option. Sensitivity analyses demonstrated cost-effectiveness results to be particularly sensitive to the treatment effect estimate for FEC-D and the future price of docetaxel. Interpretation: To our knowledge, this analysis is the first cost-effectiveness co…","author":[{"dropping-particle":"","family":"Campbell","given":"H. E.","non-dropping-particle":"","parse-names":false,"suffix":""},{"dropping-particle":"","family":"Epstein","given":"D.","non-dropping-particle":"","parse-names":false,"suffix":""},{"dropping-particle":"","family":"Bloomfield","given":"D.","non-dropping-particle":"","parse-names":false,"suffix":""},{"dropping-particle":"","family":"Griffin","given":"S.","non-dropping-particle":"","parse-names":false,"suffix":""},{"dropping-particle":"","family":"Manca","given":"A.","non-dropping-particle":"","parse-names":false,"suffix":""},{"dropping-particle":"","family":"Yarnold","given":"J.","non-dropping-particle":"","parse-names":false,"suffix":""},{"dropping-particle":"","family":"Bliss","given":"J.","non-dropping-particle":"","parse-names":false,"suffix":""},{"dropping-particle":"","family":"Johnson","given":"L.","non-dropping-particle":"","parse-names":false,"suffix":""},{"dropping-particle":"","family":"Earl","given":"H.","non-dropping-particle":"","parse-names":false,"suffix":""},{"dropping-particle":"","family":"Poole","given":"C.","non-dropping-particle":"","parse-names":false,"suffix":""},{"dropping-particle":"","family":"Hiller","given":"L.","non-dropping-particle":"","parse-names":false,"suffix":""},{"dropping-particle":"","family":"Dunn","given":"J.","non-dropping-particle":"","parse-names":false,"suffix":""},{"dropping-particle":"","family":"Hopwood","given":"P.","non-dropping-particle":"","parse-names":false,"suffix":""},{"dropping-particle":"","family":"Barrett-Lee","given":"P.","non-dropping-particle":"","parse-names":false,"suffix":""},{"dropping-particle":"","family":"Ellis","given":"P.","non-dropping-particle":"","parse-names":false,"suffix":""},{"dropping-particle":"","family":"Cameron","given":"D.","non-dropping-particle":"","parse-names":false,"suffix":""},{"dropping-particle":"","family":"Harris","given":"A. L.","non-dropping-particle":"","parse-names":false,"suffix":""},{"dropping-particle":"","family":"Gray","given":"A. M.","non-dropping-particle":"","parse-names":false,"suffix":""},{"dropping-particle":"","family":"Sculpher","given":"M. J.","non-dropping-particle":"","parse-names":false,"suffix":""}],"container-title":"European Journal of Cancer","id":"ITEM-1","issue":"17","issued":{"date-parts":[["2011","11"]]},"page":"2517-2530","publisher":"Eur J Cancer","title":"The cost-effectiveness of adjuvant chemotherapy for early breast cancer: A comparison of no chemotherapy and first, second, and third generation regimens for patients with differing prognoses","type":"article-journal","volume":"47"},"uris":["http://www.mendeley.com/documents/?uuid=058e529c-fd53-31ee-8358-4152d47dad4d"]}],"mendeley":{"formattedCitation":"&lt;sup&gt;17&lt;/sup&gt;","plainTextFormattedCitation":"17","previouslyFormattedCitation":"&lt;sup&gt;34&lt;/sup&gt;"},"properties":{"noteIndex":0},"schema":"https://github.com/citation-style-language/schema/raw/master/csl-citation.json"}</w:instrText>
            </w:r>
            <w:r w:rsidRPr="009166E3">
              <w:rPr>
                <w:rFonts w:ascii="Arial" w:eastAsia="Times New Roman" w:hAnsi="Arial" w:cs="Arial"/>
                <w:bCs/>
                <w:sz w:val="16"/>
                <w:szCs w:val="16"/>
                <w:lang w:eastAsia="en-GB"/>
              </w:rPr>
              <w:fldChar w:fldCharType="separate"/>
            </w:r>
            <w:r w:rsidRPr="009166E3">
              <w:rPr>
                <w:rFonts w:ascii="Arial" w:eastAsia="Times New Roman" w:hAnsi="Arial" w:cs="Arial"/>
                <w:bCs/>
                <w:noProof/>
                <w:sz w:val="16"/>
                <w:szCs w:val="16"/>
                <w:vertAlign w:val="superscript"/>
                <w:lang w:eastAsia="en-GB"/>
              </w:rPr>
              <w:t>17</w:t>
            </w:r>
            <w:r w:rsidRPr="009166E3">
              <w:rPr>
                <w:rFonts w:ascii="Arial" w:eastAsia="Times New Roman" w:hAnsi="Arial" w:cs="Arial"/>
                <w:bCs/>
                <w:sz w:val="16"/>
                <w:szCs w:val="16"/>
                <w:lang w:eastAsia="en-GB"/>
              </w:rPr>
              <w:fldChar w:fldCharType="end"/>
            </w:r>
          </w:p>
        </w:tc>
      </w:tr>
      <w:tr w:rsidR="004A3C29" w:rsidRPr="009166E3" w14:paraId="6B4625D9" w14:textId="77777777" w:rsidTr="00A46F82">
        <w:tc>
          <w:tcPr>
            <w:tcW w:w="9026" w:type="dxa"/>
            <w:gridSpan w:val="5"/>
            <w:tcBorders>
              <w:top w:val="single" w:sz="4" w:space="0" w:color="auto"/>
              <w:left w:val="nil"/>
              <w:bottom w:val="single" w:sz="4" w:space="0" w:color="auto"/>
              <w:right w:val="nil"/>
            </w:tcBorders>
          </w:tcPr>
          <w:p w14:paraId="22ECA36C" w14:textId="77777777" w:rsidR="004A3C29" w:rsidRPr="009166E3" w:rsidRDefault="004A3C29" w:rsidP="00A46F82">
            <w:pPr>
              <w:rPr>
                <w:rFonts w:ascii="Arial" w:eastAsia="Times New Roman" w:hAnsi="Arial" w:cs="Arial"/>
                <w:bCs/>
                <w:sz w:val="16"/>
                <w:szCs w:val="16"/>
                <w:lang w:eastAsia="en-GB"/>
              </w:rPr>
            </w:pPr>
            <w:r>
              <w:rPr>
                <w:rFonts w:ascii="Arial" w:eastAsia="Times New Roman" w:hAnsi="Arial" w:cs="Arial"/>
                <w:bCs/>
                <w:sz w:val="16"/>
                <w:szCs w:val="16"/>
                <w:lang w:eastAsia="en-GB"/>
              </w:rPr>
              <w:t xml:space="preserve">AML: acute myeloid </w:t>
            </w:r>
            <w:proofErr w:type="spellStart"/>
            <w:r>
              <w:rPr>
                <w:rFonts w:ascii="Arial" w:eastAsia="Times New Roman" w:hAnsi="Arial" w:cs="Arial"/>
                <w:bCs/>
                <w:sz w:val="16"/>
                <w:szCs w:val="16"/>
                <w:lang w:eastAsia="en-GB"/>
              </w:rPr>
              <w:t>leukemia</w:t>
            </w:r>
            <w:proofErr w:type="spellEnd"/>
            <w:r>
              <w:rPr>
                <w:rFonts w:ascii="Arial" w:eastAsia="Times New Roman" w:hAnsi="Arial" w:cs="Arial"/>
                <w:bCs/>
                <w:sz w:val="16"/>
                <w:szCs w:val="16"/>
                <w:lang w:eastAsia="en-GB"/>
              </w:rPr>
              <w:t xml:space="preserve">; DR: distant recurrence; DRFI: distant recurrence-free interval; DSA: deterministic sensitivity analysis; ECG: electrocardiogram; FBC: full blood count; HR: hazard ratio; LFT: liver function test; LN0: node-negative; </w:t>
            </w:r>
            <w:proofErr w:type="spellStart"/>
            <w:r>
              <w:rPr>
                <w:rFonts w:ascii="Arial" w:eastAsia="Times New Roman" w:hAnsi="Arial" w:cs="Arial"/>
                <w:bCs/>
                <w:sz w:val="16"/>
                <w:szCs w:val="16"/>
                <w:lang w:eastAsia="en-GB"/>
              </w:rPr>
              <w:t>LNmic</w:t>
            </w:r>
            <w:proofErr w:type="spellEnd"/>
            <w:r>
              <w:rPr>
                <w:rFonts w:ascii="Arial" w:eastAsia="Times New Roman" w:hAnsi="Arial" w:cs="Arial"/>
                <w:bCs/>
                <w:sz w:val="16"/>
                <w:szCs w:val="16"/>
                <w:lang w:eastAsia="en-GB"/>
              </w:rPr>
              <w:t xml:space="preserve">: </w:t>
            </w:r>
            <w:proofErr w:type="spellStart"/>
            <w:r>
              <w:rPr>
                <w:rFonts w:ascii="Arial" w:eastAsia="Times New Roman" w:hAnsi="Arial" w:cs="Arial"/>
                <w:bCs/>
                <w:sz w:val="16"/>
                <w:szCs w:val="16"/>
                <w:lang w:eastAsia="en-GB"/>
              </w:rPr>
              <w:t>micrometastatic</w:t>
            </w:r>
            <w:proofErr w:type="spellEnd"/>
            <w:r>
              <w:rPr>
                <w:rFonts w:ascii="Arial" w:eastAsia="Times New Roman" w:hAnsi="Arial" w:cs="Arial"/>
                <w:bCs/>
                <w:sz w:val="16"/>
                <w:szCs w:val="16"/>
                <w:lang w:eastAsia="en-GB"/>
              </w:rPr>
              <w:t>; NPI: Nottingham Prognostic Index; PSA: probabilistic sensitivity analysis; RS: Recurrence Score; SE: standard error; U&amp;E: urea and electrolytes</w:t>
            </w:r>
          </w:p>
        </w:tc>
      </w:tr>
    </w:tbl>
    <w:p w14:paraId="7D26D7D6" w14:textId="77777777" w:rsidR="004A3C29" w:rsidRPr="009166E3" w:rsidRDefault="004A3C29" w:rsidP="004A3C29">
      <w:pPr>
        <w:pStyle w:val="BodyText"/>
        <w:spacing w:after="160" w:line="480" w:lineRule="auto"/>
        <w:jc w:val="both"/>
        <w:rPr>
          <w:rFonts w:ascii="Arial" w:hAnsi="Arial" w:cs="Arial"/>
          <w:b/>
          <w:bCs/>
        </w:rPr>
      </w:pPr>
    </w:p>
    <w:p w14:paraId="26BE9A0D" w14:textId="2B864C17" w:rsidR="00A615CF" w:rsidRPr="009166E3" w:rsidRDefault="0061440D" w:rsidP="004D123F">
      <w:pPr>
        <w:pStyle w:val="BodyText"/>
        <w:spacing w:after="0" w:line="360" w:lineRule="auto"/>
        <w:jc w:val="both"/>
        <w:rPr>
          <w:rFonts w:ascii="Arial" w:hAnsi="Arial" w:cs="Arial"/>
          <w:bCs/>
        </w:rPr>
      </w:pPr>
      <w:r w:rsidRPr="009166E3">
        <w:rPr>
          <w:rFonts w:ascii="Arial" w:hAnsi="Arial" w:cs="Arial"/>
          <w:b/>
          <w:bCs/>
        </w:rPr>
        <w:t xml:space="preserve">Table </w:t>
      </w:r>
      <w:r w:rsidR="003C4528" w:rsidRPr="009166E3">
        <w:rPr>
          <w:rFonts w:ascii="Arial" w:hAnsi="Arial" w:cs="Arial"/>
          <w:b/>
          <w:bCs/>
        </w:rPr>
        <w:t>S</w:t>
      </w:r>
      <w:r w:rsidR="003C4528">
        <w:rPr>
          <w:rFonts w:ascii="Arial" w:hAnsi="Arial" w:cs="Arial"/>
          <w:b/>
          <w:bCs/>
        </w:rPr>
        <w:t>4</w:t>
      </w:r>
      <w:r w:rsidRPr="009166E3">
        <w:rPr>
          <w:rFonts w:ascii="Arial" w:hAnsi="Arial" w:cs="Arial"/>
          <w:b/>
          <w:bCs/>
        </w:rPr>
        <w:t xml:space="preserve">. </w:t>
      </w:r>
      <w:r w:rsidR="00A615CF" w:rsidRPr="009166E3">
        <w:rPr>
          <w:rFonts w:ascii="Arial" w:hAnsi="Arial" w:cs="Arial"/>
          <w:bCs/>
        </w:rPr>
        <w:t>Early breast cancer chemo-endocrine therapy cost</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1701"/>
        <w:gridCol w:w="3076"/>
        <w:gridCol w:w="2254"/>
      </w:tblGrid>
      <w:tr w:rsidR="004D123F" w:rsidRPr="009166E3" w14:paraId="5701BF28" w14:textId="77777777" w:rsidTr="00B3158B">
        <w:tc>
          <w:tcPr>
            <w:tcW w:w="1985" w:type="dxa"/>
            <w:tcBorders>
              <w:bottom w:val="single" w:sz="4" w:space="0" w:color="auto"/>
            </w:tcBorders>
          </w:tcPr>
          <w:p w14:paraId="4628D945"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Parameter</w:t>
            </w:r>
          </w:p>
        </w:tc>
        <w:tc>
          <w:tcPr>
            <w:tcW w:w="1701" w:type="dxa"/>
            <w:tcBorders>
              <w:bottom w:val="single" w:sz="4" w:space="0" w:color="auto"/>
            </w:tcBorders>
          </w:tcPr>
          <w:p w14:paraId="2823F666"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Value/unit cost</w:t>
            </w:r>
          </w:p>
        </w:tc>
        <w:tc>
          <w:tcPr>
            <w:tcW w:w="3076" w:type="dxa"/>
            <w:tcBorders>
              <w:bottom w:val="single" w:sz="4" w:space="0" w:color="auto"/>
            </w:tcBorders>
          </w:tcPr>
          <w:p w14:paraId="06B061BA"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Cost per model cycle</w:t>
            </w:r>
          </w:p>
        </w:tc>
        <w:tc>
          <w:tcPr>
            <w:tcW w:w="2254" w:type="dxa"/>
            <w:tcBorders>
              <w:bottom w:val="single" w:sz="4" w:space="0" w:color="auto"/>
            </w:tcBorders>
          </w:tcPr>
          <w:p w14:paraId="37A1D8AA"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Source</w:t>
            </w:r>
          </w:p>
        </w:tc>
      </w:tr>
      <w:tr w:rsidR="004D123F" w:rsidRPr="009166E3" w14:paraId="727ED511" w14:textId="77777777" w:rsidTr="00B3158B">
        <w:tc>
          <w:tcPr>
            <w:tcW w:w="1985" w:type="dxa"/>
            <w:tcBorders>
              <w:bottom w:val="nil"/>
            </w:tcBorders>
          </w:tcPr>
          <w:p w14:paraId="790F53B8"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Body surface area</w:t>
            </w:r>
          </w:p>
        </w:tc>
        <w:tc>
          <w:tcPr>
            <w:tcW w:w="1701" w:type="dxa"/>
            <w:tcBorders>
              <w:bottom w:val="nil"/>
            </w:tcBorders>
          </w:tcPr>
          <w:p w14:paraId="5C0BB327"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1.75</w:t>
            </w:r>
          </w:p>
        </w:tc>
        <w:tc>
          <w:tcPr>
            <w:tcW w:w="3076" w:type="dxa"/>
            <w:tcBorders>
              <w:bottom w:val="nil"/>
            </w:tcBorders>
          </w:tcPr>
          <w:p w14:paraId="47E4BC01" w14:textId="77777777" w:rsidR="004D123F" w:rsidRPr="009166E3" w:rsidRDefault="004D123F" w:rsidP="00B3158B">
            <w:pPr>
              <w:rPr>
                <w:rFonts w:ascii="Arial" w:hAnsi="Arial" w:cs="Arial"/>
                <w:bCs/>
                <w:sz w:val="18"/>
                <w:szCs w:val="18"/>
              </w:rPr>
            </w:pPr>
          </w:p>
        </w:tc>
        <w:tc>
          <w:tcPr>
            <w:tcW w:w="2254" w:type="dxa"/>
            <w:tcBorders>
              <w:bottom w:val="nil"/>
            </w:tcBorders>
          </w:tcPr>
          <w:p w14:paraId="2D0D4E3A"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Assumption</w:t>
            </w:r>
          </w:p>
        </w:tc>
      </w:tr>
      <w:tr w:rsidR="004D123F" w:rsidRPr="009166E3" w14:paraId="623DFD91" w14:textId="77777777" w:rsidTr="00B3158B">
        <w:tc>
          <w:tcPr>
            <w:tcW w:w="1985" w:type="dxa"/>
            <w:tcBorders>
              <w:top w:val="nil"/>
              <w:bottom w:val="nil"/>
            </w:tcBorders>
          </w:tcPr>
          <w:p w14:paraId="06C0F0C1"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Vial sharing</w:t>
            </w:r>
          </w:p>
        </w:tc>
        <w:tc>
          <w:tcPr>
            <w:tcW w:w="1701" w:type="dxa"/>
            <w:tcBorders>
              <w:top w:val="nil"/>
              <w:bottom w:val="nil"/>
            </w:tcBorders>
          </w:tcPr>
          <w:p w14:paraId="32E0CE17"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0%</w:t>
            </w:r>
          </w:p>
        </w:tc>
        <w:tc>
          <w:tcPr>
            <w:tcW w:w="3076" w:type="dxa"/>
            <w:tcBorders>
              <w:top w:val="nil"/>
              <w:bottom w:val="nil"/>
            </w:tcBorders>
          </w:tcPr>
          <w:p w14:paraId="754F281C" w14:textId="77777777" w:rsidR="004D123F" w:rsidRPr="009166E3" w:rsidRDefault="004D123F" w:rsidP="00B3158B">
            <w:pPr>
              <w:rPr>
                <w:rFonts w:ascii="Arial" w:hAnsi="Arial" w:cs="Arial"/>
                <w:bCs/>
                <w:sz w:val="18"/>
                <w:szCs w:val="18"/>
              </w:rPr>
            </w:pPr>
          </w:p>
        </w:tc>
        <w:tc>
          <w:tcPr>
            <w:tcW w:w="2254" w:type="dxa"/>
            <w:tcBorders>
              <w:top w:val="nil"/>
              <w:bottom w:val="nil"/>
            </w:tcBorders>
          </w:tcPr>
          <w:p w14:paraId="78C2BF9E"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Assumption</w:t>
            </w:r>
          </w:p>
        </w:tc>
      </w:tr>
      <w:tr w:rsidR="004D123F" w:rsidRPr="009166E3" w14:paraId="78D8E0B4" w14:textId="77777777" w:rsidTr="00B3158B">
        <w:tc>
          <w:tcPr>
            <w:tcW w:w="1985" w:type="dxa"/>
            <w:tcBorders>
              <w:top w:val="nil"/>
              <w:bottom w:val="nil"/>
            </w:tcBorders>
          </w:tcPr>
          <w:p w14:paraId="7F35968A"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Early BC chemotherapy regimens</w:t>
            </w:r>
          </w:p>
        </w:tc>
        <w:tc>
          <w:tcPr>
            <w:tcW w:w="1701" w:type="dxa"/>
            <w:tcBorders>
              <w:top w:val="nil"/>
              <w:bottom w:val="nil"/>
            </w:tcBorders>
          </w:tcPr>
          <w:p w14:paraId="45DD176E" w14:textId="77777777" w:rsidR="004D123F" w:rsidRPr="009166E3" w:rsidRDefault="004D123F" w:rsidP="00B3158B">
            <w:pPr>
              <w:rPr>
                <w:rFonts w:ascii="Arial" w:hAnsi="Arial" w:cs="Arial"/>
                <w:bCs/>
                <w:sz w:val="18"/>
                <w:szCs w:val="18"/>
              </w:rPr>
            </w:pPr>
          </w:p>
        </w:tc>
        <w:tc>
          <w:tcPr>
            <w:tcW w:w="3076" w:type="dxa"/>
            <w:tcBorders>
              <w:top w:val="nil"/>
              <w:bottom w:val="nil"/>
            </w:tcBorders>
          </w:tcPr>
          <w:p w14:paraId="4DD8B4FF" w14:textId="77777777" w:rsidR="004D123F" w:rsidRPr="009166E3" w:rsidRDefault="004D123F" w:rsidP="00B3158B">
            <w:pPr>
              <w:rPr>
                <w:rFonts w:ascii="Arial" w:hAnsi="Arial" w:cs="Arial"/>
                <w:bCs/>
                <w:sz w:val="18"/>
                <w:szCs w:val="18"/>
              </w:rPr>
            </w:pPr>
          </w:p>
        </w:tc>
        <w:tc>
          <w:tcPr>
            <w:tcW w:w="2254" w:type="dxa"/>
            <w:tcBorders>
              <w:top w:val="nil"/>
              <w:bottom w:val="nil"/>
            </w:tcBorders>
          </w:tcPr>
          <w:p w14:paraId="0DA472E8" w14:textId="77777777" w:rsidR="004D123F" w:rsidRPr="009166E3" w:rsidRDefault="004D123F" w:rsidP="00B3158B">
            <w:pPr>
              <w:rPr>
                <w:rFonts w:ascii="Arial" w:hAnsi="Arial" w:cs="Arial"/>
                <w:bCs/>
                <w:sz w:val="18"/>
                <w:szCs w:val="18"/>
              </w:rPr>
            </w:pPr>
          </w:p>
        </w:tc>
      </w:tr>
      <w:tr w:rsidR="004D123F" w:rsidRPr="009166E3" w14:paraId="4233C4EB" w14:textId="77777777" w:rsidTr="00B3158B">
        <w:tc>
          <w:tcPr>
            <w:tcW w:w="1985" w:type="dxa"/>
            <w:tcBorders>
              <w:top w:val="nil"/>
              <w:bottom w:val="nil"/>
            </w:tcBorders>
          </w:tcPr>
          <w:p w14:paraId="333162F6"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FEC75</w:t>
            </w:r>
          </w:p>
        </w:tc>
        <w:tc>
          <w:tcPr>
            <w:tcW w:w="1701" w:type="dxa"/>
            <w:tcBorders>
              <w:top w:val="nil"/>
              <w:bottom w:val="nil"/>
            </w:tcBorders>
          </w:tcPr>
          <w:p w14:paraId="08AE3DBB"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LN0: 3%</w:t>
            </w:r>
          </w:p>
        </w:tc>
        <w:tc>
          <w:tcPr>
            <w:tcW w:w="3076" w:type="dxa"/>
            <w:tcBorders>
              <w:top w:val="nil"/>
              <w:bottom w:val="nil"/>
            </w:tcBorders>
          </w:tcPr>
          <w:p w14:paraId="1F82D18E"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Acquisition: £1,052; admin: £3,848</w:t>
            </w:r>
          </w:p>
        </w:tc>
        <w:tc>
          <w:tcPr>
            <w:tcW w:w="2254" w:type="dxa"/>
            <w:vMerge w:val="restart"/>
            <w:tcBorders>
              <w:top w:val="nil"/>
            </w:tcBorders>
          </w:tcPr>
          <w:p w14:paraId="78ADE4E9" w14:textId="3CF8212D" w:rsidR="004D123F" w:rsidRPr="009166E3" w:rsidRDefault="004D123F" w:rsidP="00B3158B">
            <w:pPr>
              <w:rPr>
                <w:rFonts w:ascii="Arial" w:hAnsi="Arial" w:cs="Arial"/>
                <w:bCs/>
                <w:sz w:val="18"/>
                <w:szCs w:val="18"/>
              </w:rPr>
            </w:pPr>
            <w:r w:rsidRPr="009166E3">
              <w:rPr>
                <w:rFonts w:ascii="Arial" w:hAnsi="Arial" w:cs="Arial"/>
                <w:bCs/>
                <w:sz w:val="18"/>
                <w:szCs w:val="18"/>
              </w:rPr>
              <w:t xml:space="preserve">Distributions: clinical expert opinion; calculations: see Table </w:t>
            </w:r>
            <w:r w:rsidR="00565CFB" w:rsidRPr="009166E3">
              <w:rPr>
                <w:rFonts w:ascii="Arial" w:hAnsi="Arial" w:cs="Arial"/>
                <w:bCs/>
                <w:sz w:val="18"/>
                <w:szCs w:val="18"/>
              </w:rPr>
              <w:t>S3</w:t>
            </w:r>
          </w:p>
        </w:tc>
      </w:tr>
      <w:tr w:rsidR="004D123F" w:rsidRPr="009166E3" w14:paraId="60442B52" w14:textId="77777777" w:rsidTr="00B3158B">
        <w:tc>
          <w:tcPr>
            <w:tcW w:w="1985" w:type="dxa"/>
            <w:tcBorders>
              <w:top w:val="nil"/>
              <w:bottom w:val="nil"/>
            </w:tcBorders>
          </w:tcPr>
          <w:p w14:paraId="57163207"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FEC-T</w:t>
            </w:r>
          </w:p>
        </w:tc>
        <w:tc>
          <w:tcPr>
            <w:tcW w:w="1701" w:type="dxa"/>
            <w:tcBorders>
              <w:top w:val="nil"/>
              <w:bottom w:val="nil"/>
            </w:tcBorders>
          </w:tcPr>
          <w:p w14:paraId="098A1B66"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LN0: 21%</w:t>
            </w:r>
          </w:p>
        </w:tc>
        <w:tc>
          <w:tcPr>
            <w:tcW w:w="3076" w:type="dxa"/>
            <w:tcBorders>
              <w:top w:val="nil"/>
              <w:bottom w:val="nil"/>
            </w:tcBorders>
          </w:tcPr>
          <w:p w14:paraId="1249DE44"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Acquisition: £1,734; admin: £3,848</w:t>
            </w:r>
          </w:p>
        </w:tc>
        <w:tc>
          <w:tcPr>
            <w:tcW w:w="2254" w:type="dxa"/>
            <w:vMerge/>
          </w:tcPr>
          <w:p w14:paraId="36E091BF" w14:textId="77777777" w:rsidR="004D123F" w:rsidRPr="009166E3" w:rsidRDefault="004D123F" w:rsidP="00B3158B">
            <w:pPr>
              <w:rPr>
                <w:rFonts w:ascii="Arial" w:hAnsi="Arial" w:cs="Arial"/>
                <w:bCs/>
                <w:sz w:val="18"/>
                <w:szCs w:val="18"/>
              </w:rPr>
            </w:pPr>
          </w:p>
        </w:tc>
      </w:tr>
      <w:tr w:rsidR="004D123F" w:rsidRPr="009166E3" w14:paraId="791BB656" w14:textId="77777777" w:rsidTr="00B3158B">
        <w:tc>
          <w:tcPr>
            <w:tcW w:w="1985" w:type="dxa"/>
            <w:tcBorders>
              <w:top w:val="nil"/>
              <w:bottom w:val="nil"/>
            </w:tcBorders>
          </w:tcPr>
          <w:p w14:paraId="323EC7F3"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TC</w:t>
            </w:r>
          </w:p>
        </w:tc>
        <w:tc>
          <w:tcPr>
            <w:tcW w:w="1701" w:type="dxa"/>
            <w:tcBorders>
              <w:top w:val="nil"/>
              <w:bottom w:val="nil"/>
            </w:tcBorders>
          </w:tcPr>
          <w:p w14:paraId="2D8982FB"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LN0: 24%</w:t>
            </w:r>
          </w:p>
        </w:tc>
        <w:tc>
          <w:tcPr>
            <w:tcW w:w="3076" w:type="dxa"/>
            <w:tcBorders>
              <w:top w:val="nil"/>
              <w:bottom w:val="nil"/>
            </w:tcBorders>
          </w:tcPr>
          <w:p w14:paraId="0F729886"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Acquisition: £1,635; admin: £2,611</w:t>
            </w:r>
          </w:p>
        </w:tc>
        <w:tc>
          <w:tcPr>
            <w:tcW w:w="2254" w:type="dxa"/>
            <w:vMerge/>
          </w:tcPr>
          <w:p w14:paraId="3A520F24" w14:textId="77777777" w:rsidR="004D123F" w:rsidRPr="009166E3" w:rsidRDefault="004D123F" w:rsidP="00B3158B">
            <w:pPr>
              <w:rPr>
                <w:rFonts w:ascii="Arial" w:hAnsi="Arial" w:cs="Arial"/>
                <w:bCs/>
                <w:sz w:val="18"/>
                <w:szCs w:val="18"/>
              </w:rPr>
            </w:pPr>
          </w:p>
        </w:tc>
      </w:tr>
      <w:tr w:rsidR="004D123F" w:rsidRPr="009166E3" w14:paraId="1E3FFB40" w14:textId="77777777" w:rsidTr="00B3158B">
        <w:tc>
          <w:tcPr>
            <w:tcW w:w="1985" w:type="dxa"/>
            <w:tcBorders>
              <w:top w:val="nil"/>
              <w:bottom w:val="nil"/>
            </w:tcBorders>
          </w:tcPr>
          <w:p w14:paraId="372EEE6A"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EC90/T75</w:t>
            </w:r>
          </w:p>
        </w:tc>
        <w:tc>
          <w:tcPr>
            <w:tcW w:w="1701" w:type="dxa"/>
            <w:tcBorders>
              <w:top w:val="nil"/>
              <w:bottom w:val="nil"/>
            </w:tcBorders>
          </w:tcPr>
          <w:p w14:paraId="1E7D2503"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LN0: 23%</w:t>
            </w:r>
          </w:p>
        </w:tc>
        <w:tc>
          <w:tcPr>
            <w:tcW w:w="3076" w:type="dxa"/>
            <w:tcBorders>
              <w:top w:val="nil"/>
              <w:bottom w:val="nil"/>
            </w:tcBorders>
          </w:tcPr>
          <w:p w14:paraId="4201A906"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Acquisition: £2,308; admin: £5,085</w:t>
            </w:r>
          </w:p>
        </w:tc>
        <w:tc>
          <w:tcPr>
            <w:tcW w:w="2254" w:type="dxa"/>
            <w:vMerge/>
          </w:tcPr>
          <w:p w14:paraId="54BE2937" w14:textId="77777777" w:rsidR="004D123F" w:rsidRPr="009166E3" w:rsidRDefault="004D123F" w:rsidP="00B3158B">
            <w:pPr>
              <w:rPr>
                <w:rFonts w:ascii="Arial" w:hAnsi="Arial" w:cs="Arial"/>
                <w:bCs/>
                <w:sz w:val="18"/>
                <w:szCs w:val="18"/>
              </w:rPr>
            </w:pPr>
          </w:p>
        </w:tc>
      </w:tr>
      <w:tr w:rsidR="004D123F" w:rsidRPr="009166E3" w14:paraId="149BD564" w14:textId="77777777" w:rsidTr="00B3158B">
        <w:tc>
          <w:tcPr>
            <w:tcW w:w="1985" w:type="dxa"/>
            <w:tcBorders>
              <w:top w:val="nil"/>
              <w:bottom w:val="nil"/>
            </w:tcBorders>
          </w:tcPr>
          <w:p w14:paraId="179678AE"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EC90</w:t>
            </w:r>
          </w:p>
        </w:tc>
        <w:tc>
          <w:tcPr>
            <w:tcW w:w="1701" w:type="dxa"/>
            <w:tcBorders>
              <w:top w:val="nil"/>
              <w:bottom w:val="nil"/>
            </w:tcBorders>
          </w:tcPr>
          <w:p w14:paraId="02A0680F"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LN0: 18%</w:t>
            </w:r>
          </w:p>
        </w:tc>
        <w:tc>
          <w:tcPr>
            <w:tcW w:w="3076" w:type="dxa"/>
            <w:tcBorders>
              <w:top w:val="nil"/>
              <w:bottom w:val="nil"/>
            </w:tcBorders>
          </w:tcPr>
          <w:p w14:paraId="5EC4A771"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Acquisition: £760; admin: £3,023</w:t>
            </w:r>
          </w:p>
        </w:tc>
        <w:tc>
          <w:tcPr>
            <w:tcW w:w="2254" w:type="dxa"/>
            <w:vMerge/>
          </w:tcPr>
          <w:p w14:paraId="39588966" w14:textId="77777777" w:rsidR="004D123F" w:rsidRPr="009166E3" w:rsidRDefault="004D123F" w:rsidP="00B3158B">
            <w:pPr>
              <w:rPr>
                <w:rFonts w:ascii="Arial" w:hAnsi="Arial" w:cs="Arial"/>
                <w:bCs/>
                <w:sz w:val="18"/>
                <w:szCs w:val="18"/>
              </w:rPr>
            </w:pPr>
          </w:p>
        </w:tc>
      </w:tr>
      <w:tr w:rsidR="004D123F" w:rsidRPr="009166E3" w14:paraId="57F9421E" w14:textId="77777777" w:rsidTr="00B3158B">
        <w:tc>
          <w:tcPr>
            <w:tcW w:w="1985" w:type="dxa"/>
            <w:tcBorders>
              <w:top w:val="nil"/>
              <w:bottom w:val="nil"/>
            </w:tcBorders>
          </w:tcPr>
          <w:p w14:paraId="39560DCF"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Accelerated EC/P</w:t>
            </w:r>
          </w:p>
        </w:tc>
        <w:tc>
          <w:tcPr>
            <w:tcW w:w="1701" w:type="dxa"/>
            <w:tcBorders>
              <w:top w:val="nil"/>
              <w:bottom w:val="nil"/>
            </w:tcBorders>
          </w:tcPr>
          <w:p w14:paraId="355C85AF"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LN0: 8%</w:t>
            </w:r>
          </w:p>
        </w:tc>
        <w:tc>
          <w:tcPr>
            <w:tcW w:w="3076" w:type="dxa"/>
            <w:tcBorders>
              <w:top w:val="nil"/>
              <w:bottom w:val="nil"/>
            </w:tcBorders>
          </w:tcPr>
          <w:p w14:paraId="398148FD"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Acquisition: £3,537; admin: £5,085</w:t>
            </w:r>
          </w:p>
        </w:tc>
        <w:tc>
          <w:tcPr>
            <w:tcW w:w="2254" w:type="dxa"/>
            <w:vMerge/>
          </w:tcPr>
          <w:p w14:paraId="2FD9F784" w14:textId="77777777" w:rsidR="004D123F" w:rsidRPr="009166E3" w:rsidRDefault="004D123F" w:rsidP="00B3158B">
            <w:pPr>
              <w:rPr>
                <w:rFonts w:ascii="Arial" w:hAnsi="Arial" w:cs="Arial"/>
                <w:bCs/>
                <w:sz w:val="18"/>
                <w:szCs w:val="18"/>
              </w:rPr>
            </w:pPr>
          </w:p>
        </w:tc>
      </w:tr>
      <w:tr w:rsidR="004D123F" w:rsidRPr="009166E3" w14:paraId="5E20E63E" w14:textId="77777777" w:rsidTr="00B3158B">
        <w:tc>
          <w:tcPr>
            <w:tcW w:w="1985" w:type="dxa"/>
            <w:tcBorders>
              <w:top w:val="nil"/>
              <w:bottom w:val="nil"/>
            </w:tcBorders>
          </w:tcPr>
          <w:p w14:paraId="106A5776"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Weekly P</w:t>
            </w:r>
          </w:p>
        </w:tc>
        <w:tc>
          <w:tcPr>
            <w:tcW w:w="1701" w:type="dxa"/>
            <w:tcBorders>
              <w:top w:val="nil"/>
              <w:bottom w:val="nil"/>
            </w:tcBorders>
          </w:tcPr>
          <w:p w14:paraId="5AAA062F"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LN0: 3%</w:t>
            </w:r>
          </w:p>
        </w:tc>
        <w:tc>
          <w:tcPr>
            <w:tcW w:w="3076" w:type="dxa"/>
            <w:tcBorders>
              <w:top w:val="nil"/>
              <w:bottom w:val="nil"/>
            </w:tcBorders>
          </w:tcPr>
          <w:p w14:paraId="47BC1B61"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Acquisition: £122; admin: £7,559</w:t>
            </w:r>
          </w:p>
        </w:tc>
        <w:tc>
          <w:tcPr>
            <w:tcW w:w="2254" w:type="dxa"/>
            <w:vMerge/>
          </w:tcPr>
          <w:p w14:paraId="16733E12" w14:textId="77777777" w:rsidR="004D123F" w:rsidRPr="009166E3" w:rsidRDefault="004D123F" w:rsidP="00B3158B">
            <w:pPr>
              <w:rPr>
                <w:rFonts w:ascii="Arial" w:hAnsi="Arial" w:cs="Arial"/>
                <w:bCs/>
                <w:sz w:val="18"/>
                <w:szCs w:val="18"/>
              </w:rPr>
            </w:pPr>
          </w:p>
        </w:tc>
      </w:tr>
      <w:tr w:rsidR="004D123F" w:rsidRPr="009166E3" w14:paraId="571F44E9" w14:textId="77777777" w:rsidTr="00B3158B">
        <w:tc>
          <w:tcPr>
            <w:tcW w:w="1985" w:type="dxa"/>
            <w:tcBorders>
              <w:top w:val="nil"/>
              <w:bottom w:val="nil"/>
            </w:tcBorders>
          </w:tcPr>
          <w:p w14:paraId="2F2DD116"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EC/weekly P</w:t>
            </w:r>
          </w:p>
        </w:tc>
        <w:tc>
          <w:tcPr>
            <w:tcW w:w="1701" w:type="dxa"/>
            <w:tcBorders>
              <w:top w:val="nil"/>
              <w:bottom w:val="nil"/>
            </w:tcBorders>
          </w:tcPr>
          <w:p w14:paraId="0BBAF670"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LN0: 3%</w:t>
            </w:r>
          </w:p>
        </w:tc>
        <w:tc>
          <w:tcPr>
            <w:tcW w:w="3076" w:type="dxa"/>
            <w:tcBorders>
              <w:top w:val="nil"/>
              <w:bottom w:val="nil"/>
            </w:tcBorders>
          </w:tcPr>
          <w:p w14:paraId="1E8CD811"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Acquisition: £882; admin: £10,582</w:t>
            </w:r>
          </w:p>
        </w:tc>
        <w:tc>
          <w:tcPr>
            <w:tcW w:w="2254" w:type="dxa"/>
            <w:vMerge/>
            <w:tcBorders>
              <w:bottom w:val="nil"/>
            </w:tcBorders>
          </w:tcPr>
          <w:p w14:paraId="1C49D28E" w14:textId="77777777" w:rsidR="004D123F" w:rsidRPr="009166E3" w:rsidRDefault="004D123F" w:rsidP="00B3158B">
            <w:pPr>
              <w:rPr>
                <w:rFonts w:ascii="Arial" w:hAnsi="Arial" w:cs="Arial"/>
                <w:bCs/>
                <w:sz w:val="18"/>
                <w:szCs w:val="18"/>
              </w:rPr>
            </w:pPr>
          </w:p>
        </w:tc>
      </w:tr>
      <w:tr w:rsidR="004D123F" w:rsidRPr="009166E3" w14:paraId="6C1A1F00" w14:textId="77777777" w:rsidTr="00B3158B">
        <w:tc>
          <w:tcPr>
            <w:tcW w:w="1985" w:type="dxa"/>
            <w:tcBorders>
              <w:top w:val="nil"/>
              <w:bottom w:val="nil"/>
            </w:tcBorders>
          </w:tcPr>
          <w:p w14:paraId="65A388BE"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Early BC endocrine therapy regimens</w:t>
            </w:r>
          </w:p>
        </w:tc>
        <w:tc>
          <w:tcPr>
            <w:tcW w:w="1701" w:type="dxa"/>
            <w:tcBorders>
              <w:top w:val="nil"/>
              <w:bottom w:val="nil"/>
            </w:tcBorders>
          </w:tcPr>
          <w:p w14:paraId="4DC1C2A8" w14:textId="77777777" w:rsidR="004D123F" w:rsidRPr="009166E3" w:rsidRDefault="004D123F" w:rsidP="00B3158B">
            <w:pPr>
              <w:rPr>
                <w:rFonts w:ascii="Arial" w:hAnsi="Arial" w:cs="Arial"/>
                <w:bCs/>
                <w:sz w:val="18"/>
                <w:szCs w:val="18"/>
              </w:rPr>
            </w:pPr>
          </w:p>
        </w:tc>
        <w:tc>
          <w:tcPr>
            <w:tcW w:w="3076" w:type="dxa"/>
            <w:tcBorders>
              <w:top w:val="nil"/>
              <w:bottom w:val="nil"/>
            </w:tcBorders>
          </w:tcPr>
          <w:p w14:paraId="1D557482" w14:textId="77777777" w:rsidR="004D123F" w:rsidRPr="009166E3" w:rsidRDefault="004D123F" w:rsidP="00B3158B">
            <w:pPr>
              <w:rPr>
                <w:rFonts w:ascii="Arial" w:hAnsi="Arial" w:cs="Arial"/>
                <w:bCs/>
                <w:sz w:val="18"/>
                <w:szCs w:val="18"/>
              </w:rPr>
            </w:pPr>
          </w:p>
        </w:tc>
        <w:tc>
          <w:tcPr>
            <w:tcW w:w="2254" w:type="dxa"/>
            <w:tcBorders>
              <w:top w:val="nil"/>
              <w:bottom w:val="nil"/>
            </w:tcBorders>
          </w:tcPr>
          <w:p w14:paraId="72637205" w14:textId="77777777" w:rsidR="004D123F" w:rsidRPr="009166E3" w:rsidRDefault="004D123F" w:rsidP="00B3158B">
            <w:pPr>
              <w:rPr>
                <w:rFonts w:ascii="Arial" w:hAnsi="Arial" w:cs="Arial"/>
                <w:bCs/>
                <w:sz w:val="18"/>
                <w:szCs w:val="18"/>
              </w:rPr>
            </w:pPr>
          </w:p>
        </w:tc>
      </w:tr>
      <w:tr w:rsidR="004D123F" w:rsidRPr="009166E3" w14:paraId="6D6A6C96" w14:textId="77777777" w:rsidTr="00B3158B">
        <w:tc>
          <w:tcPr>
            <w:tcW w:w="1985" w:type="dxa"/>
            <w:tcBorders>
              <w:top w:val="nil"/>
              <w:bottom w:val="nil"/>
            </w:tcBorders>
          </w:tcPr>
          <w:p w14:paraId="41244680"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Tamoxifen 20mg/day</w:t>
            </w:r>
          </w:p>
        </w:tc>
        <w:tc>
          <w:tcPr>
            <w:tcW w:w="1701" w:type="dxa"/>
            <w:tcBorders>
              <w:top w:val="nil"/>
              <w:bottom w:val="nil"/>
            </w:tcBorders>
          </w:tcPr>
          <w:p w14:paraId="27B16DF3"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40%</w:t>
            </w:r>
          </w:p>
        </w:tc>
        <w:tc>
          <w:tcPr>
            <w:tcW w:w="3076" w:type="dxa"/>
            <w:tcBorders>
              <w:top w:val="nil"/>
              <w:bottom w:val="nil"/>
            </w:tcBorders>
          </w:tcPr>
          <w:p w14:paraId="5CD3C7C3" w14:textId="77777777" w:rsidR="004D123F" w:rsidRPr="009166E3" w:rsidRDefault="004D123F" w:rsidP="00B3158B">
            <w:pPr>
              <w:rPr>
                <w:rFonts w:ascii="Arial" w:hAnsi="Arial" w:cs="Arial"/>
                <w:bCs/>
                <w:sz w:val="18"/>
                <w:szCs w:val="18"/>
              </w:rPr>
            </w:pPr>
            <w:proofErr w:type="spellStart"/>
            <w:r w:rsidRPr="009166E3">
              <w:rPr>
                <w:rFonts w:ascii="Arial" w:hAnsi="Arial" w:cs="Arial"/>
                <w:bCs/>
                <w:sz w:val="18"/>
                <w:szCs w:val="18"/>
              </w:rPr>
              <w:t>Acquisition+admin</w:t>
            </w:r>
            <w:proofErr w:type="spellEnd"/>
            <w:r w:rsidRPr="009166E3">
              <w:rPr>
                <w:rFonts w:ascii="Arial" w:hAnsi="Arial" w:cs="Arial"/>
                <w:bCs/>
                <w:sz w:val="18"/>
                <w:szCs w:val="18"/>
              </w:rPr>
              <w:t>: £50.96</w:t>
            </w:r>
          </w:p>
        </w:tc>
        <w:tc>
          <w:tcPr>
            <w:tcW w:w="2254" w:type="dxa"/>
            <w:vMerge w:val="restart"/>
            <w:tcBorders>
              <w:top w:val="nil"/>
            </w:tcBorders>
          </w:tcPr>
          <w:p w14:paraId="43A35E6E"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Distributions: NICE DG34</w:t>
            </w:r>
          </w:p>
        </w:tc>
      </w:tr>
      <w:tr w:rsidR="004D123F" w:rsidRPr="009166E3" w14:paraId="28665FFD" w14:textId="77777777" w:rsidTr="00B3158B">
        <w:tc>
          <w:tcPr>
            <w:tcW w:w="1985" w:type="dxa"/>
            <w:tcBorders>
              <w:top w:val="nil"/>
              <w:bottom w:val="nil"/>
            </w:tcBorders>
          </w:tcPr>
          <w:p w14:paraId="26D4B366"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Anastrozole 1mg/day</w:t>
            </w:r>
          </w:p>
        </w:tc>
        <w:tc>
          <w:tcPr>
            <w:tcW w:w="1701" w:type="dxa"/>
            <w:tcBorders>
              <w:top w:val="nil"/>
              <w:bottom w:val="nil"/>
            </w:tcBorders>
          </w:tcPr>
          <w:p w14:paraId="48F3221A"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20%</w:t>
            </w:r>
          </w:p>
        </w:tc>
        <w:tc>
          <w:tcPr>
            <w:tcW w:w="3076" w:type="dxa"/>
            <w:tcBorders>
              <w:top w:val="nil"/>
              <w:bottom w:val="nil"/>
            </w:tcBorders>
          </w:tcPr>
          <w:p w14:paraId="32701550" w14:textId="77777777" w:rsidR="004D123F" w:rsidRPr="009166E3" w:rsidRDefault="004D123F" w:rsidP="00B3158B">
            <w:pPr>
              <w:rPr>
                <w:rFonts w:ascii="Arial" w:hAnsi="Arial" w:cs="Arial"/>
                <w:bCs/>
                <w:sz w:val="18"/>
                <w:szCs w:val="18"/>
              </w:rPr>
            </w:pPr>
            <w:proofErr w:type="spellStart"/>
            <w:r w:rsidRPr="009166E3">
              <w:rPr>
                <w:rFonts w:ascii="Arial" w:hAnsi="Arial" w:cs="Arial"/>
                <w:bCs/>
                <w:sz w:val="18"/>
                <w:szCs w:val="18"/>
              </w:rPr>
              <w:t>Acquisition+admin</w:t>
            </w:r>
            <w:proofErr w:type="spellEnd"/>
            <w:r w:rsidRPr="009166E3">
              <w:rPr>
                <w:rFonts w:ascii="Arial" w:hAnsi="Arial" w:cs="Arial"/>
                <w:bCs/>
                <w:sz w:val="18"/>
                <w:szCs w:val="18"/>
              </w:rPr>
              <w:t>: £6.37</w:t>
            </w:r>
          </w:p>
        </w:tc>
        <w:tc>
          <w:tcPr>
            <w:tcW w:w="2254" w:type="dxa"/>
            <w:vMerge/>
          </w:tcPr>
          <w:p w14:paraId="10EE7E0D" w14:textId="77777777" w:rsidR="004D123F" w:rsidRPr="009166E3" w:rsidRDefault="004D123F" w:rsidP="00B3158B">
            <w:pPr>
              <w:rPr>
                <w:rFonts w:ascii="Arial" w:hAnsi="Arial" w:cs="Arial"/>
                <w:bCs/>
                <w:sz w:val="18"/>
                <w:szCs w:val="18"/>
              </w:rPr>
            </w:pPr>
          </w:p>
        </w:tc>
      </w:tr>
      <w:tr w:rsidR="004D123F" w:rsidRPr="009166E3" w14:paraId="3CBDCE40" w14:textId="77777777" w:rsidTr="00B3158B">
        <w:tc>
          <w:tcPr>
            <w:tcW w:w="1985" w:type="dxa"/>
            <w:tcBorders>
              <w:top w:val="nil"/>
              <w:bottom w:val="nil"/>
            </w:tcBorders>
          </w:tcPr>
          <w:p w14:paraId="7A7D2747"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Letrozole 2.5mg/day</w:t>
            </w:r>
          </w:p>
        </w:tc>
        <w:tc>
          <w:tcPr>
            <w:tcW w:w="1701" w:type="dxa"/>
            <w:tcBorders>
              <w:top w:val="nil"/>
              <w:bottom w:val="nil"/>
            </w:tcBorders>
          </w:tcPr>
          <w:p w14:paraId="2E58BBBD"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20%</w:t>
            </w:r>
          </w:p>
        </w:tc>
        <w:tc>
          <w:tcPr>
            <w:tcW w:w="3076" w:type="dxa"/>
            <w:tcBorders>
              <w:top w:val="nil"/>
              <w:bottom w:val="nil"/>
            </w:tcBorders>
          </w:tcPr>
          <w:p w14:paraId="1D271FB3" w14:textId="77777777" w:rsidR="004D123F" w:rsidRPr="009166E3" w:rsidRDefault="004D123F" w:rsidP="00B3158B">
            <w:pPr>
              <w:rPr>
                <w:rFonts w:ascii="Arial" w:hAnsi="Arial" w:cs="Arial"/>
                <w:bCs/>
                <w:sz w:val="18"/>
                <w:szCs w:val="18"/>
              </w:rPr>
            </w:pPr>
            <w:proofErr w:type="spellStart"/>
            <w:r w:rsidRPr="009166E3">
              <w:rPr>
                <w:rFonts w:ascii="Arial" w:hAnsi="Arial" w:cs="Arial"/>
                <w:bCs/>
                <w:sz w:val="18"/>
                <w:szCs w:val="18"/>
              </w:rPr>
              <w:t>Acquisition+admin</w:t>
            </w:r>
            <w:proofErr w:type="spellEnd"/>
            <w:r w:rsidRPr="009166E3">
              <w:rPr>
                <w:rFonts w:ascii="Arial" w:hAnsi="Arial" w:cs="Arial"/>
                <w:bCs/>
                <w:sz w:val="18"/>
                <w:szCs w:val="18"/>
              </w:rPr>
              <w:t>: £10.60</w:t>
            </w:r>
          </w:p>
        </w:tc>
        <w:tc>
          <w:tcPr>
            <w:tcW w:w="2254" w:type="dxa"/>
            <w:vMerge/>
          </w:tcPr>
          <w:p w14:paraId="00F7C7EF" w14:textId="77777777" w:rsidR="004D123F" w:rsidRPr="009166E3" w:rsidRDefault="004D123F" w:rsidP="00B3158B">
            <w:pPr>
              <w:rPr>
                <w:rFonts w:ascii="Arial" w:hAnsi="Arial" w:cs="Arial"/>
                <w:bCs/>
                <w:sz w:val="18"/>
                <w:szCs w:val="18"/>
              </w:rPr>
            </w:pPr>
          </w:p>
        </w:tc>
      </w:tr>
      <w:tr w:rsidR="004D123F" w:rsidRPr="009166E3" w14:paraId="73ABB19F" w14:textId="77777777" w:rsidTr="00B3158B">
        <w:tc>
          <w:tcPr>
            <w:tcW w:w="1985" w:type="dxa"/>
            <w:tcBorders>
              <w:top w:val="nil"/>
              <w:bottom w:val="nil"/>
            </w:tcBorders>
          </w:tcPr>
          <w:p w14:paraId="589E5074"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Exemestane 25mg/day</w:t>
            </w:r>
          </w:p>
        </w:tc>
        <w:tc>
          <w:tcPr>
            <w:tcW w:w="1701" w:type="dxa"/>
            <w:tcBorders>
              <w:top w:val="nil"/>
              <w:bottom w:val="nil"/>
            </w:tcBorders>
          </w:tcPr>
          <w:p w14:paraId="4C816A53"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20%</w:t>
            </w:r>
          </w:p>
        </w:tc>
        <w:tc>
          <w:tcPr>
            <w:tcW w:w="3076" w:type="dxa"/>
            <w:tcBorders>
              <w:top w:val="nil"/>
              <w:bottom w:val="nil"/>
            </w:tcBorders>
          </w:tcPr>
          <w:p w14:paraId="1BD8D97B" w14:textId="77777777" w:rsidR="004D123F" w:rsidRPr="009166E3" w:rsidRDefault="004D123F" w:rsidP="00B3158B">
            <w:pPr>
              <w:rPr>
                <w:rFonts w:ascii="Arial" w:hAnsi="Arial" w:cs="Arial"/>
                <w:bCs/>
                <w:sz w:val="18"/>
                <w:szCs w:val="18"/>
              </w:rPr>
            </w:pPr>
            <w:proofErr w:type="spellStart"/>
            <w:r w:rsidRPr="009166E3">
              <w:rPr>
                <w:rFonts w:ascii="Arial" w:hAnsi="Arial" w:cs="Arial"/>
                <w:bCs/>
                <w:sz w:val="18"/>
                <w:szCs w:val="18"/>
              </w:rPr>
              <w:t>Acquisition+admin</w:t>
            </w:r>
            <w:proofErr w:type="spellEnd"/>
            <w:r w:rsidRPr="009166E3">
              <w:rPr>
                <w:rFonts w:ascii="Arial" w:hAnsi="Arial" w:cs="Arial"/>
                <w:bCs/>
                <w:sz w:val="18"/>
                <w:szCs w:val="18"/>
              </w:rPr>
              <w:t>: £28.88</w:t>
            </w:r>
          </w:p>
        </w:tc>
        <w:tc>
          <w:tcPr>
            <w:tcW w:w="2254" w:type="dxa"/>
            <w:vMerge/>
            <w:tcBorders>
              <w:bottom w:val="nil"/>
            </w:tcBorders>
          </w:tcPr>
          <w:p w14:paraId="691C09AA" w14:textId="77777777" w:rsidR="004D123F" w:rsidRPr="009166E3" w:rsidRDefault="004D123F" w:rsidP="00B3158B">
            <w:pPr>
              <w:rPr>
                <w:rFonts w:ascii="Arial" w:hAnsi="Arial" w:cs="Arial"/>
                <w:bCs/>
                <w:sz w:val="18"/>
                <w:szCs w:val="18"/>
              </w:rPr>
            </w:pPr>
          </w:p>
        </w:tc>
      </w:tr>
      <w:tr w:rsidR="004D123F" w:rsidRPr="009166E3" w14:paraId="7DB1E166" w14:textId="77777777" w:rsidTr="00B3158B">
        <w:tc>
          <w:tcPr>
            <w:tcW w:w="1985" w:type="dxa"/>
            <w:tcBorders>
              <w:top w:val="nil"/>
              <w:bottom w:val="nil"/>
            </w:tcBorders>
          </w:tcPr>
          <w:p w14:paraId="1CCA0C10"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Chemotherapy AE cost</w:t>
            </w:r>
          </w:p>
        </w:tc>
        <w:tc>
          <w:tcPr>
            <w:tcW w:w="1701" w:type="dxa"/>
            <w:tcBorders>
              <w:top w:val="nil"/>
              <w:bottom w:val="nil"/>
            </w:tcBorders>
          </w:tcPr>
          <w:p w14:paraId="0E3D797D" w14:textId="38BC5B3E" w:rsidR="004D123F" w:rsidRPr="009166E3" w:rsidRDefault="004D123F" w:rsidP="00B3158B">
            <w:pPr>
              <w:rPr>
                <w:rFonts w:ascii="Arial" w:hAnsi="Arial" w:cs="Arial"/>
                <w:bCs/>
                <w:sz w:val="18"/>
                <w:szCs w:val="18"/>
              </w:rPr>
            </w:pPr>
            <w:r w:rsidRPr="009166E3">
              <w:rPr>
                <w:rFonts w:ascii="Arial" w:hAnsi="Arial" w:cs="Arial"/>
                <w:bCs/>
                <w:sz w:val="18"/>
                <w:szCs w:val="18"/>
              </w:rPr>
              <w:t xml:space="preserve">See Table </w:t>
            </w:r>
            <w:r w:rsidR="00565CFB" w:rsidRPr="009166E3">
              <w:rPr>
                <w:rFonts w:ascii="Arial" w:hAnsi="Arial" w:cs="Arial"/>
                <w:bCs/>
                <w:sz w:val="18"/>
                <w:szCs w:val="18"/>
              </w:rPr>
              <w:t>S1</w:t>
            </w:r>
          </w:p>
        </w:tc>
        <w:tc>
          <w:tcPr>
            <w:tcW w:w="3076" w:type="dxa"/>
            <w:tcBorders>
              <w:top w:val="nil"/>
              <w:bottom w:val="nil"/>
            </w:tcBorders>
          </w:tcPr>
          <w:p w14:paraId="676A624F" w14:textId="77777777" w:rsidR="004D123F" w:rsidRPr="009166E3" w:rsidRDefault="004D123F" w:rsidP="00B3158B">
            <w:pPr>
              <w:rPr>
                <w:rFonts w:ascii="Arial" w:hAnsi="Arial" w:cs="Arial"/>
                <w:bCs/>
                <w:sz w:val="18"/>
                <w:szCs w:val="18"/>
              </w:rPr>
            </w:pPr>
          </w:p>
        </w:tc>
        <w:tc>
          <w:tcPr>
            <w:tcW w:w="2254" w:type="dxa"/>
            <w:tcBorders>
              <w:top w:val="nil"/>
              <w:bottom w:val="nil"/>
            </w:tcBorders>
          </w:tcPr>
          <w:p w14:paraId="774A6FD9" w14:textId="77777777" w:rsidR="004D123F" w:rsidRPr="009166E3" w:rsidRDefault="004D123F" w:rsidP="00B3158B">
            <w:pPr>
              <w:rPr>
                <w:rFonts w:ascii="Arial" w:hAnsi="Arial" w:cs="Arial"/>
                <w:bCs/>
                <w:sz w:val="18"/>
                <w:szCs w:val="18"/>
              </w:rPr>
            </w:pPr>
          </w:p>
        </w:tc>
      </w:tr>
      <w:tr w:rsidR="004D123F" w:rsidRPr="009166E3" w14:paraId="52008CD8" w14:textId="77777777" w:rsidTr="00B3158B">
        <w:tc>
          <w:tcPr>
            <w:tcW w:w="1985" w:type="dxa"/>
            <w:tcBorders>
              <w:top w:val="nil"/>
              <w:bottom w:val="nil"/>
            </w:tcBorders>
          </w:tcPr>
          <w:p w14:paraId="2C20F2C7" w14:textId="77777777" w:rsidR="004D123F" w:rsidRPr="009166E3" w:rsidRDefault="004D123F" w:rsidP="00B3158B">
            <w:pPr>
              <w:rPr>
                <w:rFonts w:ascii="Arial" w:hAnsi="Arial" w:cs="Arial"/>
                <w:bCs/>
                <w:sz w:val="18"/>
                <w:szCs w:val="18"/>
              </w:rPr>
            </w:pPr>
            <w:r w:rsidRPr="009166E3">
              <w:rPr>
                <w:rFonts w:ascii="Arial" w:hAnsi="Arial" w:cs="Arial"/>
                <w:bCs/>
                <w:sz w:val="18"/>
                <w:szCs w:val="18"/>
              </w:rPr>
              <w:t>Drug unit costs</w:t>
            </w:r>
          </w:p>
        </w:tc>
        <w:tc>
          <w:tcPr>
            <w:tcW w:w="1701" w:type="dxa"/>
            <w:tcBorders>
              <w:top w:val="nil"/>
              <w:bottom w:val="nil"/>
            </w:tcBorders>
          </w:tcPr>
          <w:p w14:paraId="070E855A" w14:textId="671EF6E8" w:rsidR="004D123F" w:rsidRPr="009166E3" w:rsidRDefault="004D123F" w:rsidP="00B3158B">
            <w:pPr>
              <w:rPr>
                <w:rFonts w:ascii="Arial" w:hAnsi="Arial" w:cs="Arial"/>
                <w:bCs/>
                <w:sz w:val="18"/>
                <w:szCs w:val="18"/>
              </w:rPr>
            </w:pPr>
            <w:r w:rsidRPr="009166E3">
              <w:rPr>
                <w:rFonts w:ascii="Arial" w:hAnsi="Arial" w:cs="Arial"/>
                <w:bCs/>
                <w:sz w:val="18"/>
                <w:szCs w:val="18"/>
              </w:rPr>
              <w:t xml:space="preserve">See Table </w:t>
            </w:r>
            <w:r w:rsidR="00565CFB" w:rsidRPr="009166E3">
              <w:rPr>
                <w:rFonts w:ascii="Arial" w:hAnsi="Arial" w:cs="Arial"/>
                <w:bCs/>
                <w:sz w:val="18"/>
                <w:szCs w:val="18"/>
              </w:rPr>
              <w:t>S4</w:t>
            </w:r>
          </w:p>
        </w:tc>
        <w:tc>
          <w:tcPr>
            <w:tcW w:w="3076" w:type="dxa"/>
            <w:tcBorders>
              <w:top w:val="nil"/>
              <w:bottom w:val="nil"/>
            </w:tcBorders>
          </w:tcPr>
          <w:p w14:paraId="531E84FE" w14:textId="77777777" w:rsidR="004D123F" w:rsidRPr="009166E3" w:rsidRDefault="004D123F" w:rsidP="00B3158B">
            <w:pPr>
              <w:rPr>
                <w:rFonts w:ascii="Arial" w:hAnsi="Arial" w:cs="Arial"/>
                <w:bCs/>
                <w:sz w:val="18"/>
                <w:szCs w:val="18"/>
              </w:rPr>
            </w:pPr>
          </w:p>
        </w:tc>
        <w:tc>
          <w:tcPr>
            <w:tcW w:w="2254" w:type="dxa"/>
            <w:tcBorders>
              <w:top w:val="nil"/>
              <w:bottom w:val="nil"/>
            </w:tcBorders>
          </w:tcPr>
          <w:p w14:paraId="54E0E00F" w14:textId="77777777" w:rsidR="004D123F" w:rsidRPr="009166E3" w:rsidRDefault="004D123F" w:rsidP="00B3158B">
            <w:pPr>
              <w:rPr>
                <w:rFonts w:ascii="Arial" w:hAnsi="Arial" w:cs="Arial"/>
                <w:bCs/>
                <w:sz w:val="18"/>
                <w:szCs w:val="18"/>
              </w:rPr>
            </w:pPr>
          </w:p>
        </w:tc>
      </w:tr>
      <w:tr w:rsidR="004D123F" w:rsidRPr="009166E3" w14:paraId="1BBD2F1F" w14:textId="77777777" w:rsidTr="00B3158B">
        <w:tc>
          <w:tcPr>
            <w:tcW w:w="9016" w:type="dxa"/>
            <w:gridSpan w:val="4"/>
            <w:tcBorders>
              <w:top w:val="single" w:sz="4" w:space="0" w:color="auto"/>
              <w:bottom w:val="nil"/>
            </w:tcBorders>
          </w:tcPr>
          <w:p w14:paraId="7A281BCC" w14:textId="0BC77B31" w:rsidR="004D123F" w:rsidRPr="009166E3" w:rsidRDefault="0029696A" w:rsidP="00B3158B">
            <w:pPr>
              <w:rPr>
                <w:rFonts w:ascii="Arial" w:hAnsi="Arial" w:cs="Arial"/>
                <w:bCs/>
                <w:sz w:val="16"/>
                <w:szCs w:val="16"/>
              </w:rPr>
            </w:pPr>
            <w:r>
              <w:rPr>
                <w:rFonts w:ascii="Arial" w:hAnsi="Arial" w:cs="Arial"/>
                <w:bCs/>
                <w:sz w:val="16"/>
                <w:szCs w:val="16"/>
              </w:rPr>
              <w:t xml:space="preserve">AE: adverse event; </w:t>
            </w:r>
            <w:r w:rsidR="004D123F" w:rsidRPr="009166E3">
              <w:rPr>
                <w:rFonts w:ascii="Arial" w:hAnsi="Arial" w:cs="Arial"/>
                <w:bCs/>
                <w:sz w:val="16"/>
                <w:szCs w:val="16"/>
              </w:rPr>
              <w:t>FEC75</w:t>
            </w:r>
            <w:r w:rsidR="00792719">
              <w:rPr>
                <w:rFonts w:ascii="Arial" w:hAnsi="Arial" w:cs="Arial"/>
                <w:bCs/>
                <w:sz w:val="16"/>
                <w:szCs w:val="16"/>
              </w:rPr>
              <w:t>:</w:t>
            </w:r>
            <w:r w:rsidR="004D123F" w:rsidRPr="009166E3">
              <w:rPr>
                <w:rFonts w:ascii="Arial" w:hAnsi="Arial" w:cs="Arial"/>
                <w:bCs/>
                <w:sz w:val="16"/>
                <w:szCs w:val="16"/>
              </w:rPr>
              <w:t xml:space="preserve"> fluorouracil 600mg/m</w:t>
            </w:r>
            <w:r w:rsidR="004D123F" w:rsidRPr="009166E3">
              <w:rPr>
                <w:rFonts w:ascii="Arial" w:hAnsi="Arial" w:cs="Arial"/>
                <w:bCs/>
                <w:sz w:val="16"/>
                <w:szCs w:val="16"/>
                <w:vertAlign w:val="superscript"/>
              </w:rPr>
              <w:t>2</w:t>
            </w:r>
            <w:r w:rsidR="004D123F" w:rsidRPr="009166E3">
              <w:rPr>
                <w:rFonts w:ascii="Arial" w:hAnsi="Arial" w:cs="Arial"/>
                <w:bCs/>
                <w:sz w:val="16"/>
                <w:szCs w:val="16"/>
              </w:rPr>
              <w:t xml:space="preserve">, </w:t>
            </w:r>
            <w:proofErr w:type="spellStart"/>
            <w:r w:rsidR="004D123F" w:rsidRPr="009166E3">
              <w:rPr>
                <w:rFonts w:ascii="Arial" w:hAnsi="Arial" w:cs="Arial"/>
                <w:bCs/>
                <w:sz w:val="16"/>
                <w:szCs w:val="16"/>
              </w:rPr>
              <w:t>epirubicin</w:t>
            </w:r>
            <w:proofErr w:type="spellEnd"/>
            <w:r w:rsidR="004D123F" w:rsidRPr="009166E3">
              <w:rPr>
                <w:rFonts w:ascii="Arial" w:hAnsi="Arial" w:cs="Arial"/>
                <w:bCs/>
                <w:sz w:val="16"/>
                <w:szCs w:val="16"/>
              </w:rPr>
              <w:t xml:space="preserve"> 75mg/m</w:t>
            </w:r>
            <w:r w:rsidR="004D123F" w:rsidRPr="009166E3">
              <w:rPr>
                <w:rFonts w:ascii="Arial" w:hAnsi="Arial" w:cs="Arial"/>
                <w:bCs/>
                <w:sz w:val="16"/>
                <w:szCs w:val="16"/>
                <w:vertAlign w:val="superscript"/>
              </w:rPr>
              <w:t>2</w:t>
            </w:r>
            <w:r w:rsidR="004D123F" w:rsidRPr="009166E3">
              <w:rPr>
                <w:rFonts w:ascii="Arial" w:hAnsi="Arial" w:cs="Arial"/>
                <w:bCs/>
                <w:sz w:val="16"/>
                <w:szCs w:val="16"/>
              </w:rPr>
              <w:t>, cyclophosphamide 600mg/m; FEC-T</w:t>
            </w:r>
            <w:r w:rsidR="00792719">
              <w:rPr>
                <w:rFonts w:ascii="Arial" w:hAnsi="Arial" w:cs="Arial"/>
                <w:bCs/>
                <w:sz w:val="16"/>
                <w:szCs w:val="16"/>
              </w:rPr>
              <w:t>:</w:t>
            </w:r>
            <w:r w:rsidR="004D123F" w:rsidRPr="009166E3">
              <w:rPr>
                <w:rFonts w:ascii="Arial" w:hAnsi="Arial" w:cs="Arial"/>
                <w:bCs/>
                <w:sz w:val="16"/>
                <w:szCs w:val="16"/>
              </w:rPr>
              <w:t xml:space="preserve"> fluorouracil 500mg/m</w:t>
            </w:r>
            <w:r w:rsidR="004D123F" w:rsidRPr="009166E3">
              <w:rPr>
                <w:rFonts w:ascii="Arial" w:hAnsi="Arial" w:cs="Arial"/>
                <w:bCs/>
                <w:sz w:val="16"/>
                <w:szCs w:val="16"/>
                <w:vertAlign w:val="superscript"/>
              </w:rPr>
              <w:t>2</w:t>
            </w:r>
            <w:r w:rsidR="004D123F" w:rsidRPr="009166E3">
              <w:rPr>
                <w:rFonts w:ascii="Arial" w:hAnsi="Arial" w:cs="Arial"/>
                <w:bCs/>
                <w:sz w:val="16"/>
                <w:szCs w:val="16"/>
              </w:rPr>
              <w:t xml:space="preserve">, </w:t>
            </w:r>
            <w:proofErr w:type="spellStart"/>
            <w:r w:rsidR="004D123F" w:rsidRPr="009166E3">
              <w:rPr>
                <w:rFonts w:ascii="Arial" w:hAnsi="Arial" w:cs="Arial"/>
                <w:bCs/>
                <w:sz w:val="16"/>
                <w:szCs w:val="16"/>
              </w:rPr>
              <w:t>epirubicin</w:t>
            </w:r>
            <w:proofErr w:type="spellEnd"/>
            <w:r w:rsidR="004D123F" w:rsidRPr="009166E3">
              <w:rPr>
                <w:rFonts w:ascii="Arial" w:hAnsi="Arial" w:cs="Arial"/>
                <w:bCs/>
                <w:sz w:val="16"/>
                <w:szCs w:val="16"/>
              </w:rPr>
              <w:t xml:space="preserve"> 100mg/m</w:t>
            </w:r>
            <w:r w:rsidR="004D123F" w:rsidRPr="009166E3">
              <w:rPr>
                <w:rFonts w:ascii="Arial" w:hAnsi="Arial" w:cs="Arial"/>
                <w:bCs/>
                <w:sz w:val="16"/>
                <w:szCs w:val="16"/>
                <w:vertAlign w:val="superscript"/>
              </w:rPr>
              <w:t>2</w:t>
            </w:r>
            <w:r w:rsidR="004D123F" w:rsidRPr="009166E3">
              <w:rPr>
                <w:rFonts w:ascii="Arial" w:hAnsi="Arial" w:cs="Arial"/>
                <w:bCs/>
                <w:sz w:val="16"/>
                <w:szCs w:val="16"/>
              </w:rPr>
              <w:t>, cyclophosphamide 500mg/m</w:t>
            </w:r>
            <w:r w:rsidR="004D123F" w:rsidRPr="009166E3">
              <w:rPr>
                <w:rFonts w:ascii="Arial" w:hAnsi="Arial" w:cs="Arial"/>
                <w:bCs/>
                <w:sz w:val="16"/>
                <w:szCs w:val="16"/>
                <w:vertAlign w:val="superscript"/>
              </w:rPr>
              <w:t>2</w:t>
            </w:r>
            <w:r w:rsidR="004D123F" w:rsidRPr="009166E3">
              <w:rPr>
                <w:rFonts w:ascii="Arial" w:hAnsi="Arial" w:cs="Arial"/>
                <w:bCs/>
                <w:sz w:val="16"/>
                <w:szCs w:val="16"/>
              </w:rPr>
              <w:t>, docetaxel 100mg/m</w:t>
            </w:r>
            <w:r w:rsidR="004D123F" w:rsidRPr="009166E3">
              <w:rPr>
                <w:rFonts w:ascii="Arial" w:hAnsi="Arial" w:cs="Arial"/>
                <w:bCs/>
                <w:sz w:val="16"/>
                <w:szCs w:val="16"/>
                <w:vertAlign w:val="superscript"/>
              </w:rPr>
              <w:t>2</w:t>
            </w:r>
            <w:r w:rsidR="004D123F" w:rsidRPr="009166E3">
              <w:rPr>
                <w:rFonts w:ascii="Arial" w:hAnsi="Arial" w:cs="Arial"/>
                <w:bCs/>
                <w:sz w:val="16"/>
                <w:szCs w:val="16"/>
              </w:rPr>
              <w:t>; TC</w:t>
            </w:r>
            <w:r w:rsidR="00792719">
              <w:rPr>
                <w:rFonts w:ascii="Arial" w:hAnsi="Arial" w:cs="Arial"/>
                <w:bCs/>
                <w:sz w:val="16"/>
                <w:szCs w:val="16"/>
              </w:rPr>
              <w:t>:</w:t>
            </w:r>
            <w:r w:rsidR="004D123F" w:rsidRPr="009166E3">
              <w:rPr>
                <w:rFonts w:ascii="Arial" w:hAnsi="Arial" w:cs="Arial"/>
                <w:bCs/>
                <w:sz w:val="16"/>
                <w:szCs w:val="16"/>
              </w:rPr>
              <w:t xml:space="preserve"> cyclophosphamide 600mg/m</w:t>
            </w:r>
            <w:r w:rsidR="004D123F" w:rsidRPr="009166E3">
              <w:rPr>
                <w:rFonts w:ascii="Arial" w:hAnsi="Arial" w:cs="Arial"/>
                <w:bCs/>
                <w:sz w:val="16"/>
                <w:szCs w:val="16"/>
                <w:vertAlign w:val="superscript"/>
              </w:rPr>
              <w:t>2</w:t>
            </w:r>
            <w:r w:rsidR="004D123F" w:rsidRPr="009166E3">
              <w:rPr>
                <w:rFonts w:ascii="Arial" w:hAnsi="Arial" w:cs="Arial"/>
                <w:bCs/>
                <w:sz w:val="16"/>
                <w:szCs w:val="16"/>
              </w:rPr>
              <w:t>, docetaxel 75mg/m</w:t>
            </w:r>
            <w:r w:rsidR="004D123F" w:rsidRPr="009166E3">
              <w:rPr>
                <w:rFonts w:ascii="Arial" w:hAnsi="Arial" w:cs="Arial"/>
                <w:bCs/>
                <w:sz w:val="16"/>
                <w:szCs w:val="16"/>
                <w:vertAlign w:val="superscript"/>
              </w:rPr>
              <w:t>2</w:t>
            </w:r>
            <w:r w:rsidR="004D123F" w:rsidRPr="009166E3">
              <w:rPr>
                <w:rFonts w:ascii="Arial" w:hAnsi="Arial" w:cs="Arial"/>
                <w:bCs/>
                <w:sz w:val="16"/>
                <w:szCs w:val="16"/>
              </w:rPr>
              <w:t xml:space="preserve">; EC90/T75 = </w:t>
            </w:r>
            <w:proofErr w:type="spellStart"/>
            <w:r w:rsidR="004D123F" w:rsidRPr="009166E3">
              <w:rPr>
                <w:rFonts w:ascii="Arial" w:hAnsi="Arial" w:cs="Arial"/>
                <w:bCs/>
                <w:sz w:val="16"/>
                <w:szCs w:val="16"/>
              </w:rPr>
              <w:t>epirubicin</w:t>
            </w:r>
            <w:proofErr w:type="spellEnd"/>
            <w:r w:rsidR="004D123F" w:rsidRPr="009166E3">
              <w:rPr>
                <w:rFonts w:ascii="Arial" w:hAnsi="Arial" w:cs="Arial"/>
                <w:bCs/>
                <w:sz w:val="16"/>
                <w:szCs w:val="16"/>
              </w:rPr>
              <w:t xml:space="preserve"> 90mg/m</w:t>
            </w:r>
            <w:r w:rsidR="004D123F" w:rsidRPr="009166E3">
              <w:rPr>
                <w:rFonts w:ascii="Arial" w:hAnsi="Arial" w:cs="Arial"/>
                <w:bCs/>
                <w:sz w:val="16"/>
                <w:szCs w:val="16"/>
                <w:vertAlign w:val="superscript"/>
              </w:rPr>
              <w:t>2</w:t>
            </w:r>
            <w:r w:rsidR="004D123F" w:rsidRPr="009166E3">
              <w:rPr>
                <w:rFonts w:ascii="Arial" w:hAnsi="Arial" w:cs="Arial"/>
                <w:bCs/>
                <w:sz w:val="16"/>
                <w:szCs w:val="16"/>
              </w:rPr>
              <w:t>, cyclophosphamide 600mg/m</w:t>
            </w:r>
            <w:r w:rsidR="004D123F" w:rsidRPr="009166E3">
              <w:rPr>
                <w:rFonts w:ascii="Arial" w:hAnsi="Arial" w:cs="Arial"/>
                <w:bCs/>
                <w:sz w:val="16"/>
                <w:szCs w:val="16"/>
                <w:vertAlign w:val="superscript"/>
              </w:rPr>
              <w:t>2</w:t>
            </w:r>
            <w:r w:rsidR="004D123F" w:rsidRPr="009166E3">
              <w:rPr>
                <w:rFonts w:ascii="Arial" w:hAnsi="Arial" w:cs="Arial"/>
                <w:bCs/>
                <w:sz w:val="16"/>
                <w:szCs w:val="16"/>
              </w:rPr>
              <w:t>, docetaxel 75mg/m</w:t>
            </w:r>
            <w:r w:rsidR="004D123F" w:rsidRPr="009166E3">
              <w:rPr>
                <w:rFonts w:ascii="Arial" w:hAnsi="Arial" w:cs="Arial"/>
                <w:bCs/>
                <w:sz w:val="16"/>
                <w:szCs w:val="16"/>
                <w:vertAlign w:val="superscript"/>
              </w:rPr>
              <w:t>2</w:t>
            </w:r>
            <w:r w:rsidR="004D123F" w:rsidRPr="009166E3">
              <w:rPr>
                <w:rFonts w:ascii="Arial" w:hAnsi="Arial" w:cs="Arial"/>
                <w:bCs/>
                <w:sz w:val="16"/>
                <w:szCs w:val="16"/>
              </w:rPr>
              <w:t>; EC</w:t>
            </w:r>
            <w:r w:rsidR="00792719">
              <w:rPr>
                <w:rFonts w:ascii="Arial" w:hAnsi="Arial" w:cs="Arial"/>
                <w:bCs/>
                <w:sz w:val="16"/>
                <w:szCs w:val="16"/>
              </w:rPr>
              <w:t>:</w:t>
            </w:r>
            <w:r w:rsidR="004D123F" w:rsidRPr="009166E3">
              <w:rPr>
                <w:rFonts w:ascii="Arial" w:hAnsi="Arial" w:cs="Arial"/>
                <w:bCs/>
                <w:sz w:val="16"/>
                <w:szCs w:val="16"/>
              </w:rPr>
              <w:t xml:space="preserve"> </w:t>
            </w:r>
            <w:proofErr w:type="spellStart"/>
            <w:r w:rsidR="004D123F" w:rsidRPr="009166E3">
              <w:rPr>
                <w:rFonts w:ascii="Arial" w:hAnsi="Arial" w:cs="Arial"/>
                <w:bCs/>
                <w:sz w:val="16"/>
                <w:szCs w:val="16"/>
              </w:rPr>
              <w:t>epirubicin</w:t>
            </w:r>
            <w:proofErr w:type="spellEnd"/>
            <w:r w:rsidR="004D123F" w:rsidRPr="009166E3">
              <w:rPr>
                <w:rFonts w:ascii="Arial" w:hAnsi="Arial" w:cs="Arial"/>
                <w:bCs/>
                <w:sz w:val="16"/>
                <w:szCs w:val="16"/>
              </w:rPr>
              <w:t xml:space="preserve"> 90 mg/m², cyclophosphamide 600mg/m²; Accelerated P</w:t>
            </w:r>
            <w:r w:rsidR="00792719">
              <w:rPr>
                <w:rFonts w:ascii="Arial" w:hAnsi="Arial" w:cs="Arial"/>
                <w:bCs/>
                <w:sz w:val="16"/>
                <w:szCs w:val="16"/>
              </w:rPr>
              <w:t>:</w:t>
            </w:r>
            <w:r w:rsidR="004D123F" w:rsidRPr="009166E3">
              <w:rPr>
                <w:rFonts w:ascii="Arial" w:hAnsi="Arial" w:cs="Arial"/>
                <w:bCs/>
                <w:sz w:val="16"/>
                <w:szCs w:val="16"/>
              </w:rPr>
              <w:t xml:space="preserve"> paclitaxel 175mg/m²; Weekly P</w:t>
            </w:r>
            <w:r w:rsidR="00792719">
              <w:rPr>
                <w:rFonts w:ascii="Arial" w:hAnsi="Arial" w:cs="Arial"/>
                <w:bCs/>
                <w:sz w:val="16"/>
                <w:szCs w:val="16"/>
              </w:rPr>
              <w:t>:</w:t>
            </w:r>
            <w:r w:rsidR="004D123F" w:rsidRPr="009166E3">
              <w:rPr>
                <w:rFonts w:ascii="Arial" w:hAnsi="Arial" w:cs="Arial"/>
                <w:bCs/>
                <w:sz w:val="16"/>
                <w:szCs w:val="16"/>
              </w:rPr>
              <w:t xml:space="preserve"> paclitaxel 80mg/m²</w:t>
            </w:r>
          </w:p>
          <w:p w14:paraId="6FBF5F70" w14:textId="77777777" w:rsidR="004D123F" w:rsidRPr="009166E3" w:rsidRDefault="004D123F" w:rsidP="00B3158B">
            <w:pPr>
              <w:rPr>
                <w:rFonts w:ascii="Arial" w:hAnsi="Arial" w:cs="Arial"/>
                <w:bCs/>
                <w:sz w:val="18"/>
                <w:szCs w:val="18"/>
              </w:rPr>
            </w:pPr>
          </w:p>
        </w:tc>
      </w:tr>
    </w:tbl>
    <w:p w14:paraId="7072EFEE" w14:textId="77777777" w:rsidR="004B5EAA" w:rsidRDefault="004B5EAA" w:rsidP="004D123F">
      <w:pPr>
        <w:pStyle w:val="BodyText"/>
        <w:spacing w:after="0" w:line="360" w:lineRule="auto"/>
        <w:jc w:val="both"/>
        <w:rPr>
          <w:rFonts w:ascii="Arial" w:hAnsi="Arial" w:cs="Arial"/>
          <w:b/>
          <w:bCs/>
        </w:rPr>
      </w:pPr>
    </w:p>
    <w:p w14:paraId="29B5609C" w14:textId="77777777" w:rsidR="004B5EAA" w:rsidRDefault="004B5EAA">
      <w:pPr>
        <w:rPr>
          <w:rFonts w:ascii="Arial" w:hAnsi="Arial" w:cs="Arial"/>
          <w:b/>
          <w:bCs/>
        </w:rPr>
      </w:pPr>
      <w:r>
        <w:rPr>
          <w:rFonts w:ascii="Arial" w:hAnsi="Arial" w:cs="Arial"/>
          <w:b/>
          <w:bCs/>
        </w:rPr>
        <w:br w:type="page"/>
      </w:r>
    </w:p>
    <w:p w14:paraId="1B4C54A7" w14:textId="046B76B3" w:rsidR="004D123F" w:rsidRPr="009166E3" w:rsidRDefault="004D123F" w:rsidP="004D123F">
      <w:pPr>
        <w:pStyle w:val="BodyText"/>
        <w:spacing w:after="0" w:line="360" w:lineRule="auto"/>
        <w:jc w:val="both"/>
        <w:rPr>
          <w:rFonts w:ascii="Arial" w:hAnsi="Arial" w:cs="Arial"/>
          <w:bCs/>
        </w:rPr>
      </w:pPr>
      <w:r w:rsidRPr="009166E3">
        <w:rPr>
          <w:rFonts w:ascii="Arial" w:hAnsi="Arial" w:cs="Arial"/>
          <w:b/>
          <w:bCs/>
        </w:rPr>
        <w:lastRenderedPageBreak/>
        <w:t xml:space="preserve">Table </w:t>
      </w:r>
      <w:r w:rsidR="00CE30A9" w:rsidRPr="009166E3">
        <w:rPr>
          <w:rFonts w:ascii="Arial" w:hAnsi="Arial" w:cs="Arial"/>
          <w:b/>
          <w:bCs/>
        </w:rPr>
        <w:t>S</w:t>
      </w:r>
      <w:r w:rsidR="00CE30A9">
        <w:rPr>
          <w:rFonts w:ascii="Arial" w:hAnsi="Arial" w:cs="Arial"/>
          <w:b/>
          <w:bCs/>
        </w:rPr>
        <w:t>5</w:t>
      </w:r>
      <w:r w:rsidRPr="009166E3">
        <w:rPr>
          <w:rFonts w:ascii="Arial" w:hAnsi="Arial" w:cs="Arial"/>
          <w:b/>
          <w:bCs/>
        </w:rPr>
        <w:t xml:space="preserve">. </w:t>
      </w:r>
      <w:r w:rsidR="00040DC0" w:rsidRPr="009166E3">
        <w:rPr>
          <w:rFonts w:ascii="Arial" w:hAnsi="Arial" w:cs="Arial"/>
          <w:bCs/>
        </w:rPr>
        <w:t>Details of chemotherapy regimens in early breast cancer</w:t>
      </w:r>
    </w:p>
    <w:tbl>
      <w:tblPr>
        <w:tblStyle w:val="TableGrid2"/>
        <w:tblW w:w="8937" w:type="dxa"/>
        <w:tblBorders>
          <w:left w:val="none" w:sz="0" w:space="0" w:color="auto"/>
          <w:right w:val="none" w:sz="0" w:space="0" w:color="auto"/>
          <w:insideV w:val="none" w:sz="0" w:space="0" w:color="auto"/>
        </w:tblBorders>
        <w:tblLook w:val="04A0" w:firstRow="1" w:lastRow="0" w:firstColumn="1" w:lastColumn="0" w:noHBand="0" w:noVBand="1"/>
      </w:tblPr>
      <w:tblGrid>
        <w:gridCol w:w="2948"/>
        <w:gridCol w:w="1420"/>
        <w:gridCol w:w="2125"/>
        <w:gridCol w:w="2444"/>
      </w:tblGrid>
      <w:tr w:rsidR="002D40D1" w:rsidRPr="009166E3" w14:paraId="37124984" w14:textId="77777777" w:rsidTr="00B3158B">
        <w:trPr>
          <w:trHeight w:val="165"/>
        </w:trPr>
        <w:tc>
          <w:tcPr>
            <w:tcW w:w="2948" w:type="dxa"/>
            <w:tcBorders>
              <w:bottom w:val="single" w:sz="4" w:space="0" w:color="auto"/>
            </w:tcBorders>
          </w:tcPr>
          <w:p w14:paraId="66C639A7" w14:textId="77777777" w:rsidR="002D40D1" w:rsidRPr="009166E3" w:rsidRDefault="002D40D1" w:rsidP="00B3158B">
            <w:pPr>
              <w:rPr>
                <w:rFonts w:ascii="Arial" w:hAnsi="Arial" w:cs="Arial"/>
                <w:b/>
                <w:sz w:val="18"/>
                <w:szCs w:val="18"/>
              </w:rPr>
            </w:pPr>
            <w:r w:rsidRPr="009166E3">
              <w:rPr>
                <w:rFonts w:ascii="Arial" w:hAnsi="Arial" w:cs="Arial"/>
                <w:b/>
                <w:sz w:val="18"/>
                <w:szCs w:val="18"/>
              </w:rPr>
              <w:t>Regimen</w:t>
            </w:r>
          </w:p>
        </w:tc>
        <w:tc>
          <w:tcPr>
            <w:tcW w:w="1420" w:type="dxa"/>
            <w:tcBorders>
              <w:bottom w:val="single" w:sz="4" w:space="0" w:color="auto"/>
            </w:tcBorders>
          </w:tcPr>
          <w:p w14:paraId="5D9EA8C1" w14:textId="77777777" w:rsidR="002D40D1" w:rsidRPr="009166E3" w:rsidRDefault="002D40D1" w:rsidP="00B3158B">
            <w:pPr>
              <w:jc w:val="center"/>
              <w:rPr>
                <w:rFonts w:ascii="Arial" w:hAnsi="Arial" w:cs="Arial"/>
                <w:b/>
                <w:sz w:val="18"/>
                <w:szCs w:val="18"/>
              </w:rPr>
            </w:pPr>
            <w:r w:rsidRPr="009166E3">
              <w:rPr>
                <w:rFonts w:ascii="Arial" w:hAnsi="Arial" w:cs="Arial"/>
                <w:b/>
                <w:sz w:val="18"/>
                <w:szCs w:val="18"/>
              </w:rPr>
              <w:t>Dose per admin (mg)</w:t>
            </w:r>
          </w:p>
        </w:tc>
        <w:tc>
          <w:tcPr>
            <w:tcW w:w="2125" w:type="dxa"/>
            <w:tcBorders>
              <w:bottom w:val="single" w:sz="4" w:space="0" w:color="auto"/>
            </w:tcBorders>
          </w:tcPr>
          <w:p w14:paraId="2ABCD0A7" w14:textId="77777777" w:rsidR="002D40D1" w:rsidRPr="009166E3" w:rsidRDefault="002D40D1" w:rsidP="00B3158B">
            <w:pPr>
              <w:jc w:val="center"/>
              <w:rPr>
                <w:rFonts w:ascii="Arial" w:hAnsi="Arial" w:cs="Arial"/>
                <w:b/>
                <w:sz w:val="18"/>
                <w:szCs w:val="18"/>
              </w:rPr>
            </w:pPr>
            <w:r w:rsidRPr="009166E3">
              <w:rPr>
                <w:rFonts w:ascii="Arial" w:hAnsi="Arial" w:cs="Arial"/>
                <w:b/>
                <w:sz w:val="18"/>
                <w:szCs w:val="18"/>
              </w:rPr>
              <w:t>No. of doses</w:t>
            </w:r>
          </w:p>
        </w:tc>
        <w:tc>
          <w:tcPr>
            <w:tcW w:w="2444" w:type="dxa"/>
            <w:tcBorders>
              <w:bottom w:val="single" w:sz="4" w:space="0" w:color="auto"/>
            </w:tcBorders>
          </w:tcPr>
          <w:p w14:paraId="289D56A9" w14:textId="77777777" w:rsidR="002D40D1" w:rsidRPr="009166E3" w:rsidRDefault="002D40D1" w:rsidP="00B3158B">
            <w:pPr>
              <w:jc w:val="center"/>
              <w:rPr>
                <w:rFonts w:ascii="Arial" w:hAnsi="Arial" w:cs="Arial"/>
                <w:b/>
                <w:sz w:val="18"/>
                <w:szCs w:val="18"/>
              </w:rPr>
            </w:pPr>
            <w:r w:rsidRPr="009166E3">
              <w:rPr>
                <w:rFonts w:ascii="Arial" w:hAnsi="Arial" w:cs="Arial"/>
                <w:b/>
                <w:sz w:val="18"/>
                <w:szCs w:val="18"/>
              </w:rPr>
              <w:t>Acquisition cost*</w:t>
            </w:r>
          </w:p>
        </w:tc>
      </w:tr>
      <w:tr w:rsidR="002D40D1" w:rsidRPr="009166E3" w14:paraId="3B2FC6A8" w14:textId="77777777" w:rsidTr="00B3158B">
        <w:trPr>
          <w:trHeight w:val="173"/>
        </w:trPr>
        <w:tc>
          <w:tcPr>
            <w:tcW w:w="2948" w:type="dxa"/>
            <w:tcBorders>
              <w:bottom w:val="nil"/>
            </w:tcBorders>
          </w:tcPr>
          <w:p w14:paraId="539B28AA" w14:textId="77777777" w:rsidR="002D40D1" w:rsidRPr="009166E3" w:rsidRDefault="002D40D1" w:rsidP="00B3158B">
            <w:pPr>
              <w:rPr>
                <w:rFonts w:ascii="Arial" w:hAnsi="Arial" w:cs="Arial"/>
                <w:b/>
                <w:sz w:val="18"/>
                <w:szCs w:val="18"/>
              </w:rPr>
            </w:pPr>
            <w:r w:rsidRPr="009166E3">
              <w:rPr>
                <w:rFonts w:ascii="Arial" w:hAnsi="Arial" w:cs="Arial"/>
                <w:b/>
                <w:sz w:val="18"/>
                <w:szCs w:val="18"/>
              </w:rPr>
              <w:t>FEC75</w:t>
            </w:r>
          </w:p>
        </w:tc>
        <w:tc>
          <w:tcPr>
            <w:tcW w:w="1420" w:type="dxa"/>
            <w:tcBorders>
              <w:bottom w:val="nil"/>
            </w:tcBorders>
          </w:tcPr>
          <w:p w14:paraId="0273E830" w14:textId="77777777" w:rsidR="002D40D1" w:rsidRPr="009166E3" w:rsidRDefault="002D40D1" w:rsidP="00B3158B">
            <w:pPr>
              <w:rPr>
                <w:rFonts w:ascii="Arial" w:hAnsi="Arial" w:cs="Arial"/>
                <w:bCs/>
                <w:sz w:val="18"/>
                <w:szCs w:val="18"/>
              </w:rPr>
            </w:pPr>
          </w:p>
        </w:tc>
        <w:tc>
          <w:tcPr>
            <w:tcW w:w="2125" w:type="dxa"/>
            <w:tcBorders>
              <w:bottom w:val="nil"/>
            </w:tcBorders>
          </w:tcPr>
          <w:p w14:paraId="339F3887" w14:textId="77777777" w:rsidR="002D40D1" w:rsidRPr="009166E3" w:rsidRDefault="002D40D1" w:rsidP="00B3158B">
            <w:pPr>
              <w:rPr>
                <w:rFonts w:ascii="Arial" w:hAnsi="Arial" w:cs="Arial"/>
                <w:bCs/>
                <w:sz w:val="18"/>
                <w:szCs w:val="18"/>
              </w:rPr>
            </w:pPr>
          </w:p>
        </w:tc>
        <w:tc>
          <w:tcPr>
            <w:tcW w:w="2444" w:type="dxa"/>
            <w:tcBorders>
              <w:bottom w:val="nil"/>
            </w:tcBorders>
          </w:tcPr>
          <w:p w14:paraId="7E486AA2" w14:textId="77777777" w:rsidR="002D40D1" w:rsidRPr="009166E3" w:rsidRDefault="002D40D1" w:rsidP="00B3158B">
            <w:pPr>
              <w:rPr>
                <w:rFonts w:ascii="Arial" w:hAnsi="Arial" w:cs="Arial"/>
                <w:bCs/>
                <w:sz w:val="18"/>
                <w:szCs w:val="18"/>
              </w:rPr>
            </w:pPr>
          </w:p>
        </w:tc>
      </w:tr>
      <w:tr w:rsidR="002D40D1" w:rsidRPr="009166E3" w14:paraId="6F9BD953" w14:textId="77777777" w:rsidTr="00B3158B">
        <w:trPr>
          <w:trHeight w:val="191"/>
        </w:trPr>
        <w:tc>
          <w:tcPr>
            <w:tcW w:w="2948" w:type="dxa"/>
            <w:tcBorders>
              <w:top w:val="nil"/>
              <w:bottom w:val="nil"/>
            </w:tcBorders>
          </w:tcPr>
          <w:p w14:paraId="32E4F3F9"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Fluorouracil 600mg/m</w:t>
            </w:r>
            <w:r w:rsidRPr="009166E3">
              <w:rPr>
                <w:rFonts w:ascii="Arial" w:hAnsi="Arial" w:cs="Arial"/>
                <w:bCs/>
                <w:sz w:val="18"/>
                <w:szCs w:val="18"/>
                <w:vertAlign w:val="superscript"/>
              </w:rPr>
              <w:t>2</w:t>
            </w:r>
          </w:p>
        </w:tc>
        <w:tc>
          <w:tcPr>
            <w:tcW w:w="1420" w:type="dxa"/>
            <w:tcBorders>
              <w:top w:val="nil"/>
              <w:bottom w:val="nil"/>
            </w:tcBorders>
          </w:tcPr>
          <w:p w14:paraId="1470623D"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1050</w:t>
            </w:r>
          </w:p>
        </w:tc>
        <w:tc>
          <w:tcPr>
            <w:tcW w:w="2125" w:type="dxa"/>
            <w:tcBorders>
              <w:top w:val="nil"/>
              <w:bottom w:val="nil"/>
            </w:tcBorders>
          </w:tcPr>
          <w:p w14:paraId="36757C47"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542D7986"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£51.48</w:t>
            </w:r>
          </w:p>
        </w:tc>
      </w:tr>
      <w:tr w:rsidR="002D40D1" w:rsidRPr="009166E3" w14:paraId="256E5844" w14:textId="77777777" w:rsidTr="00B3158B">
        <w:trPr>
          <w:trHeight w:val="165"/>
        </w:trPr>
        <w:tc>
          <w:tcPr>
            <w:tcW w:w="2948" w:type="dxa"/>
            <w:tcBorders>
              <w:top w:val="nil"/>
              <w:bottom w:val="nil"/>
            </w:tcBorders>
          </w:tcPr>
          <w:p w14:paraId="48ED4894"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Epirubicin</w:t>
            </w:r>
            <w:proofErr w:type="spellEnd"/>
            <w:r w:rsidRPr="009166E3">
              <w:rPr>
                <w:rFonts w:ascii="Arial" w:hAnsi="Arial" w:cs="Arial"/>
                <w:bCs/>
                <w:sz w:val="18"/>
                <w:szCs w:val="18"/>
              </w:rPr>
              <w:t xml:space="preserve"> 75mg/m</w:t>
            </w:r>
            <w:r w:rsidRPr="009166E3">
              <w:rPr>
                <w:rFonts w:ascii="Arial" w:hAnsi="Arial" w:cs="Arial"/>
                <w:bCs/>
                <w:sz w:val="18"/>
                <w:szCs w:val="18"/>
                <w:vertAlign w:val="superscript"/>
              </w:rPr>
              <w:t>2</w:t>
            </w:r>
          </w:p>
        </w:tc>
        <w:tc>
          <w:tcPr>
            <w:tcW w:w="1420" w:type="dxa"/>
            <w:tcBorders>
              <w:top w:val="nil"/>
              <w:bottom w:val="nil"/>
            </w:tcBorders>
          </w:tcPr>
          <w:p w14:paraId="52062052"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131.25</w:t>
            </w:r>
          </w:p>
        </w:tc>
        <w:tc>
          <w:tcPr>
            <w:tcW w:w="2125" w:type="dxa"/>
            <w:tcBorders>
              <w:top w:val="nil"/>
              <w:bottom w:val="nil"/>
            </w:tcBorders>
          </w:tcPr>
          <w:p w14:paraId="5012B95D"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795DFAE0"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£418.14</w:t>
            </w:r>
          </w:p>
        </w:tc>
      </w:tr>
      <w:tr w:rsidR="002D40D1" w:rsidRPr="009166E3" w14:paraId="23F55E26" w14:textId="77777777" w:rsidTr="00B3158B">
        <w:trPr>
          <w:trHeight w:val="183"/>
        </w:trPr>
        <w:tc>
          <w:tcPr>
            <w:tcW w:w="2948" w:type="dxa"/>
            <w:tcBorders>
              <w:top w:val="nil"/>
              <w:bottom w:val="nil"/>
            </w:tcBorders>
          </w:tcPr>
          <w:p w14:paraId="153CE9F8"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Cyclophosphamide 600mg/m</w:t>
            </w:r>
            <w:r w:rsidRPr="009166E3">
              <w:rPr>
                <w:rFonts w:ascii="Arial" w:hAnsi="Arial" w:cs="Arial"/>
                <w:bCs/>
                <w:sz w:val="18"/>
                <w:szCs w:val="18"/>
                <w:vertAlign w:val="superscript"/>
              </w:rPr>
              <w:t>2</w:t>
            </w:r>
          </w:p>
        </w:tc>
        <w:tc>
          <w:tcPr>
            <w:tcW w:w="1420" w:type="dxa"/>
            <w:tcBorders>
              <w:top w:val="nil"/>
              <w:bottom w:val="nil"/>
            </w:tcBorders>
          </w:tcPr>
          <w:p w14:paraId="5CE88A96"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1050</w:t>
            </w:r>
          </w:p>
        </w:tc>
        <w:tc>
          <w:tcPr>
            <w:tcW w:w="2125" w:type="dxa"/>
            <w:tcBorders>
              <w:top w:val="nil"/>
              <w:bottom w:val="nil"/>
            </w:tcBorders>
          </w:tcPr>
          <w:p w14:paraId="60197EDF"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4D251DCF"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£130.68</w:t>
            </w:r>
          </w:p>
        </w:tc>
      </w:tr>
      <w:tr w:rsidR="002D40D1" w:rsidRPr="009166E3" w14:paraId="4C061E9D" w14:textId="77777777" w:rsidTr="00B3158B">
        <w:trPr>
          <w:trHeight w:val="165"/>
        </w:trPr>
        <w:tc>
          <w:tcPr>
            <w:tcW w:w="2948" w:type="dxa"/>
            <w:tcBorders>
              <w:top w:val="nil"/>
              <w:bottom w:val="nil"/>
            </w:tcBorders>
          </w:tcPr>
          <w:p w14:paraId="1729AA61" w14:textId="77777777" w:rsidR="002D40D1" w:rsidRPr="009166E3" w:rsidRDefault="002D40D1" w:rsidP="00B3158B">
            <w:pPr>
              <w:rPr>
                <w:rFonts w:ascii="Arial" w:hAnsi="Arial" w:cs="Arial"/>
                <w:bCs/>
                <w:sz w:val="18"/>
                <w:szCs w:val="18"/>
                <w:vertAlign w:val="superscript"/>
              </w:rPr>
            </w:pPr>
            <w:r w:rsidRPr="009166E3">
              <w:rPr>
                <w:rFonts w:ascii="Arial" w:hAnsi="Arial" w:cs="Arial"/>
                <w:bCs/>
                <w:sz w:val="18"/>
                <w:szCs w:val="18"/>
              </w:rPr>
              <w:t>Aprepitant</w:t>
            </w:r>
            <w:r w:rsidRPr="009166E3">
              <w:rPr>
                <w:rFonts w:ascii="Arial" w:hAnsi="Arial" w:cs="Arial"/>
                <w:bCs/>
                <w:sz w:val="18"/>
                <w:szCs w:val="18"/>
                <w:vertAlign w:val="superscript"/>
              </w:rPr>
              <w:t>1</w:t>
            </w:r>
          </w:p>
        </w:tc>
        <w:tc>
          <w:tcPr>
            <w:tcW w:w="1420" w:type="dxa"/>
            <w:tcBorders>
              <w:top w:val="nil"/>
              <w:bottom w:val="nil"/>
            </w:tcBorders>
          </w:tcPr>
          <w:p w14:paraId="347A0529"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285</w:t>
            </w:r>
          </w:p>
        </w:tc>
        <w:tc>
          <w:tcPr>
            <w:tcW w:w="2125" w:type="dxa"/>
            <w:tcBorders>
              <w:top w:val="nil"/>
              <w:bottom w:val="nil"/>
            </w:tcBorders>
          </w:tcPr>
          <w:p w14:paraId="4824B908"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43DB3828"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£53.70</w:t>
            </w:r>
          </w:p>
        </w:tc>
      </w:tr>
      <w:tr w:rsidR="002D40D1" w:rsidRPr="009166E3" w14:paraId="43857013" w14:textId="77777777" w:rsidTr="00B3158B">
        <w:trPr>
          <w:trHeight w:val="173"/>
        </w:trPr>
        <w:tc>
          <w:tcPr>
            <w:tcW w:w="2948" w:type="dxa"/>
            <w:tcBorders>
              <w:top w:val="nil"/>
              <w:bottom w:val="nil"/>
            </w:tcBorders>
          </w:tcPr>
          <w:p w14:paraId="21D13CD6" w14:textId="77777777" w:rsidR="002D40D1" w:rsidRPr="009166E3" w:rsidRDefault="002D40D1" w:rsidP="00B3158B">
            <w:pPr>
              <w:rPr>
                <w:rFonts w:ascii="Arial" w:hAnsi="Arial" w:cs="Arial"/>
                <w:bCs/>
                <w:sz w:val="18"/>
                <w:szCs w:val="18"/>
                <w:vertAlign w:val="superscript"/>
              </w:rPr>
            </w:pPr>
            <w:r w:rsidRPr="009166E3">
              <w:rPr>
                <w:rFonts w:ascii="Arial" w:hAnsi="Arial" w:cs="Arial"/>
                <w:bCs/>
                <w:sz w:val="18"/>
                <w:szCs w:val="18"/>
              </w:rPr>
              <w:t>Filgrastim</w:t>
            </w:r>
            <w:r w:rsidRPr="009166E3">
              <w:rPr>
                <w:rFonts w:ascii="Arial" w:hAnsi="Arial" w:cs="Arial"/>
                <w:bCs/>
                <w:sz w:val="18"/>
                <w:szCs w:val="18"/>
                <w:vertAlign w:val="superscript"/>
              </w:rPr>
              <w:t>1</w:t>
            </w:r>
          </w:p>
        </w:tc>
        <w:tc>
          <w:tcPr>
            <w:tcW w:w="1420" w:type="dxa"/>
            <w:tcBorders>
              <w:top w:val="nil"/>
              <w:bottom w:val="nil"/>
            </w:tcBorders>
          </w:tcPr>
          <w:p w14:paraId="7317A260" w14:textId="77777777" w:rsidR="002D40D1" w:rsidRPr="009166E3" w:rsidRDefault="002D40D1" w:rsidP="00B3158B">
            <w:pPr>
              <w:jc w:val="right"/>
              <w:rPr>
                <w:rFonts w:ascii="Arial" w:hAnsi="Arial" w:cs="Arial"/>
                <w:bCs/>
                <w:sz w:val="18"/>
                <w:szCs w:val="18"/>
                <w:vertAlign w:val="superscript"/>
              </w:rPr>
            </w:pPr>
            <w:r w:rsidRPr="009166E3">
              <w:rPr>
                <w:rFonts w:ascii="Arial" w:hAnsi="Arial" w:cs="Arial"/>
                <w:bCs/>
                <w:sz w:val="18"/>
                <w:szCs w:val="18"/>
              </w:rPr>
              <w:t>See below</w:t>
            </w:r>
            <w:r w:rsidRPr="009166E3">
              <w:rPr>
                <w:rFonts w:ascii="Arial" w:hAnsi="Arial" w:cs="Arial"/>
                <w:bCs/>
                <w:sz w:val="18"/>
                <w:szCs w:val="18"/>
                <w:vertAlign w:val="superscript"/>
              </w:rPr>
              <w:t>2</w:t>
            </w:r>
          </w:p>
        </w:tc>
        <w:tc>
          <w:tcPr>
            <w:tcW w:w="2125" w:type="dxa"/>
            <w:tcBorders>
              <w:top w:val="nil"/>
              <w:bottom w:val="nil"/>
            </w:tcBorders>
          </w:tcPr>
          <w:p w14:paraId="6CBD2566"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2F50A2E1"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£2,206.30</w:t>
            </w:r>
          </w:p>
        </w:tc>
      </w:tr>
      <w:tr w:rsidR="002D40D1" w:rsidRPr="009166E3" w14:paraId="73B7554B" w14:textId="77777777" w:rsidTr="00B3158B">
        <w:trPr>
          <w:trHeight w:val="165"/>
        </w:trPr>
        <w:tc>
          <w:tcPr>
            <w:tcW w:w="2948" w:type="dxa"/>
            <w:tcBorders>
              <w:top w:val="nil"/>
              <w:bottom w:val="nil"/>
            </w:tcBorders>
          </w:tcPr>
          <w:p w14:paraId="712956AD" w14:textId="77777777" w:rsidR="002D40D1" w:rsidRPr="009166E3" w:rsidRDefault="002D40D1" w:rsidP="00B3158B">
            <w:pPr>
              <w:rPr>
                <w:rFonts w:ascii="Arial" w:hAnsi="Arial" w:cs="Arial"/>
                <w:b/>
                <w:sz w:val="18"/>
                <w:szCs w:val="18"/>
              </w:rPr>
            </w:pPr>
            <w:r w:rsidRPr="009166E3">
              <w:rPr>
                <w:rFonts w:ascii="Arial" w:hAnsi="Arial" w:cs="Arial"/>
                <w:b/>
                <w:sz w:val="18"/>
                <w:szCs w:val="18"/>
              </w:rPr>
              <w:t>FEC-T</w:t>
            </w:r>
          </w:p>
        </w:tc>
        <w:tc>
          <w:tcPr>
            <w:tcW w:w="1420" w:type="dxa"/>
            <w:tcBorders>
              <w:top w:val="nil"/>
              <w:bottom w:val="nil"/>
            </w:tcBorders>
          </w:tcPr>
          <w:p w14:paraId="59EF1984" w14:textId="77777777" w:rsidR="002D40D1" w:rsidRPr="009166E3" w:rsidRDefault="002D40D1" w:rsidP="00B3158B">
            <w:pPr>
              <w:jc w:val="right"/>
              <w:rPr>
                <w:rFonts w:ascii="Arial" w:hAnsi="Arial" w:cs="Arial"/>
                <w:bCs/>
                <w:sz w:val="18"/>
                <w:szCs w:val="18"/>
              </w:rPr>
            </w:pPr>
          </w:p>
        </w:tc>
        <w:tc>
          <w:tcPr>
            <w:tcW w:w="2125" w:type="dxa"/>
            <w:tcBorders>
              <w:top w:val="nil"/>
              <w:bottom w:val="nil"/>
            </w:tcBorders>
          </w:tcPr>
          <w:p w14:paraId="44B2C1BB" w14:textId="77777777" w:rsidR="002D40D1" w:rsidRPr="009166E3" w:rsidRDefault="002D40D1" w:rsidP="00B3158B">
            <w:pPr>
              <w:jc w:val="right"/>
              <w:rPr>
                <w:rFonts w:ascii="Arial" w:hAnsi="Arial" w:cs="Arial"/>
                <w:bCs/>
                <w:sz w:val="18"/>
                <w:szCs w:val="18"/>
              </w:rPr>
            </w:pPr>
          </w:p>
        </w:tc>
        <w:tc>
          <w:tcPr>
            <w:tcW w:w="2444" w:type="dxa"/>
            <w:tcBorders>
              <w:top w:val="nil"/>
              <w:bottom w:val="nil"/>
            </w:tcBorders>
          </w:tcPr>
          <w:p w14:paraId="18BF088A" w14:textId="77777777" w:rsidR="002D40D1" w:rsidRPr="009166E3" w:rsidRDefault="002D40D1" w:rsidP="00B3158B">
            <w:pPr>
              <w:jc w:val="right"/>
              <w:rPr>
                <w:rFonts w:ascii="Arial" w:hAnsi="Arial" w:cs="Arial"/>
                <w:bCs/>
                <w:sz w:val="18"/>
                <w:szCs w:val="18"/>
              </w:rPr>
            </w:pPr>
          </w:p>
        </w:tc>
      </w:tr>
      <w:tr w:rsidR="002D40D1" w:rsidRPr="009166E3" w14:paraId="610B103C" w14:textId="77777777" w:rsidTr="00B3158B">
        <w:trPr>
          <w:trHeight w:val="165"/>
        </w:trPr>
        <w:tc>
          <w:tcPr>
            <w:tcW w:w="2948" w:type="dxa"/>
            <w:tcBorders>
              <w:top w:val="nil"/>
              <w:bottom w:val="nil"/>
            </w:tcBorders>
          </w:tcPr>
          <w:p w14:paraId="5B50232B"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Fluorouracil 500mg/m</w:t>
            </w:r>
            <w:r w:rsidRPr="009166E3">
              <w:rPr>
                <w:rFonts w:ascii="Arial" w:hAnsi="Arial" w:cs="Arial"/>
                <w:bCs/>
                <w:sz w:val="18"/>
                <w:szCs w:val="18"/>
                <w:vertAlign w:val="superscript"/>
              </w:rPr>
              <w:t>2</w:t>
            </w:r>
          </w:p>
        </w:tc>
        <w:tc>
          <w:tcPr>
            <w:tcW w:w="1420" w:type="dxa"/>
            <w:tcBorders>
              <w:top w:val="nil"/>
              <w:bottom w:val="nil"/>
            </w:tcBorders>
          </w:tcPr>
          <w:p w14:paraId="2C620B74"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875</w:t>
            </w:r>
          </w:p>
        </w:tc>
        <w:tc>
          <w:tcPr>
            <w:tcW w:w="2125" w:type="dxa"/>
            <w:tcBorders>
              <w:top w:val="nil"/>
              <w:bottom w:val="nil"/>
            </w:tcBorders>
          </w:tcPr>
          <w:p w14:paraId="485E2B05"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w:t>
            </w:r>
          </w:p>
        </w:tc>
        <w:tc>
          <w:tcPr>
            <w:tcW w:w="2444" w:type="dxa"/>
            <w:tcBorders>
              <w:top w:val="nil"/>
              <w:bottom w:val="nil"/>
            </w:tcBorders>
          </w:tcPr>
          <w:p w14:paraId="5FA53C66"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£17.16</w:t>
            </w:r>
          </w:p>
        </w:tc>
      </w:tr>
      <w:tr w:rsidR="002D40D1" w:rsidRPr="009166E3" w14:paraId="1C0CBFB2" w14:textId="77777777" w:rsidTr="00B3158B">
        <w:trPr>
          <w:trHeight w:val="165"/>
        </w:trPr>
        <w:tc>
          <w:tcPr>
            <w:tcW w:w="2948" w:type="dxa"/>
            <w:tcBorders>
              <w:top w:val="nil"/>
              <w:bottom w:val="nil"/>
            </w:tcBorders>
          </w:tcPr>
          <w:p w14:paraId="007ABF51"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Epirubicin</w:t>
            </w:r>
            <w:proofErr w:type="spellEnd"/>
            <w:r w:rsidRPr="009166E3">
              <w:rPr>
                <w:rFonts w:ascii="Arial" w:hAnsi="Arial" w:cs="Arial"/>
                <w:bCs/>
                <w:sz w:val="18"/>
                <w:szCs w:val="18"/>
              </w:rPr>
              <w:t xml:space="preserve"> 100mg/m</w:t>
            </w:r>
            <w:r w:rsidRPr="009166E3">
              <w:rPr>
                <w:rFonts w:ascii="Arial" w:hAnsi="Arial" w:cs="Arial"/>
                <w:bCs/>
                <w:sz w:val="18"/>
                <w:szCs w:val="18"/>
                <w:vertAlign w:val="superscript"/>
              </w:rPr>
              <w:t>2</w:t>
            </w:r>
          </w:p>
        </w:tc>
        <w:tc>
          <w:tcPr>
            <w:tcW w:w="1420" w:type="dxa"/>
            <w:tcBorders>
              <w:top w:val="nil"/>
              <w:bottom w:val="nil"/>
            </w:tcBorders>
          </w:tcPr>
          <w:p w14:paraId="000A4106"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175</w:t>
            </w:r>
          </w:p>
        </w:tc>
        <w:tc>
          <w:tcPr>
            <w:tcW w:w="2125" w:type="dxa"/>
            <w:tcBorders>
              <w:top w:val="nil"/>
              <w:bottom w:val="nil"/>
            </w:tcBorders>
          </w:tcPr>
          <w:p w14:paraId="246D384F"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w:t>
            </w:r>
          </w:p>
        </w:tc>
        <w:tc>
          <w:tcPr>
            <w:tcW w:w="2444" w:type="dxa"/>
            <w:tcBorders>
              <w:top w:val="nil"/>
              <w:bottom w:val="nil"/>
            </w:tcBorders>
          </w:tcPr>
          <w:p w14:paraId="0D15E55C"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£278.76</w:t>
            </w:r>
          </w:p>
        </w:tc>
      </w:tr>
      <w:tr w:rsidR="002D40D1" w:rsidRPr="009166E3" w14:paraId="67FF7D47" w14:textId="77777777" w:rsidTr="00B3158B">
        <w:trPr>
          <w:trHeight w:val="165"/>
        </w:trPr>
        <w:tc>
          <w:tcPr>
            <w:tcW w:w="2948" w:type="dxa"/>
            <w:tcBorders>
              <w:top w:val="nil"/>
              <w:bottom w:val="nil"/>
            </w:tcBorders>
          </w:tcPr>
          <w:p w14:paraId="3022D383"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Cyclophosphamide 500mg/m</w:t>
            </w:r>
            <w:r w:rsidRPr="009166E3">
              <w:rPr>
                <w:rFonts w:ascii="Arial" w:hAnsi="Arial" w:cs="Arial"/>
                <w:bCs/>
                <w:sz w:val="18"/>
                <w:szCs w:val="18"/>
                <w:vertAlign w:val="superscript"/>
              </w:rPr>
              <w:t>2</w:t>
            </w:r>
          </w:p>
        </w:tc>
        <w:tc>
          <w:tcPr>
            <w:tcW w:w="1420" w:type="dxa"/>
            <w:tcBorders>
              <w:top w:val="nil"/>
              <w:bottom w:val="nil"/>
            </w:tcBorders>
          </w:tcPr>
          <w:p w14:paraId="4319217E"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875</w:t>
            </w:r>
          </w:p>
        </w:tc>
        <w:tc>
          <w:tcPr>
            <w:tcW w:w="2125" w:type="dxa"/>
            <w:tcBorders>
              <w:top w:val="nil"/>
              <w:bottom w:val="nil"/>
            </w:tcBorders>
          </w:tcPr>
          <w:p w14:paraId="3626B940"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w:t>
            </w:r>
          </w:p>
        </w:tc>
        <w:tc>
          <w:tcPr>
            <w:tcW w:w="2444" w:type="dxa"/>
            <w:tcBorders>
              <w:top w:val="nil"/>
              <w:bottom w:val="nil"/>
            </w:tcBorders>
          </w:tcPr>
          <w:p w14:paraId="069D9F93"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£40.65</w:t>
            </w:r>
          </w:p>
        </w:tc>
      </w:tr>
      <w:tr w:rsidR="002D40D1" w:rsidRPr="009166E3" w14:paraId="3210A30E" w14:textId="77777777" w:rsidTr="00B3158B">
        <w:trPr>
          <w:trHeight w:val="165"/>
        </w:trPr>
        <w:tc>
          <w:tcPr>
            <w:tcW w:w="2948" w:type="dxa"/>
            <w:tcBorders>
              <w:top w:val="nil"/>
              <w:bottom w:val="nil"/>
            </w:tcBorders>
          </w:tcPr>
          <w:p w14:paraId="4F75F372"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Docetaxel 100mg/m</w:t>
            </w:r>
            <w:r w:rsidRPr="009166E3">
              <w:rPr>
                <w:rFonts w:ascii="Arial" w:hAnsi="Arial" w:cs="Arial"/>
                <w:bCs/>
                <w:sz w:val="18"/>
                <w:szCs w:val="18"/>
                <w:vertAlign w:val="superscript"/>
              </w:rPr>
              <w:t>2</w:t>
            </w:r>
          </w:p>
        </w:tc>
        <w:tc>
          <w:tcPr>
            <w:tcW w:w="1420" w:type="dxa"/>
            <w:tcBorders>
              <w:top w:val="nil"/>
              <w:bottom w:val="nil"/>
            </w:tcBorders>
          </w:tcPr>
          <w:p w14:paraId="7B093068"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175</w:t>
            </w:r>
          </w:p>
        </w:tc>
        <w:tc>
          <w:tcPr>
            <w:tcW w:w="2125" w:type="dxa"/>
            <w:tcBorders>
              <w:top w:val="nil"/>
              <w:bottom w:val="nil"/>
            </w:tcBorders>
          </w:tcPr>
          <w:p w14:paraId="2A92F760"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w:t>
            </w:r>
          </w:p>
        </w:tc>
        <w:tc>
          <w:tcPr>
            <w:tcW w:w="2444" w:type="dxa"/>
            <w:tcBorders>
              <w:top w:val="nil"/>
              <w:bottom w:val="nil"/>
            </w:tcBorders>
          </w:tcPr>
          <w:p w14:paraId="6328DF6F"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£62.82</w:t>
            </w:r>
          </w:p>
        </w:tc>
      </w:tr>
      <w:tr w:rsidR="002D40D1" w:rsidRPr="009166E3" w14:paraId="63E7B712" w14:textId="77777777" w:rsidTr="00B3158B">
        <w:trPr>
          <w:trHeight w:val="165"/>
        </w:trPr>
        <w:tc>
          <w:tcPr>
            <w:tcW w:w="2948" w:type="dxa"/>
            <w:tcBorders>
              <w:top w:val="nil"/>
              <w:bottom w:val="nil"/>
            </w:tcBorders>
          </w:tcPr>
          <w:p w14:paraId="434C21FC"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Aprepitant</w:t>
            </w:r>
            <w:proofErr w:type="spellEnd"/>
          </w:p>
        </w:tc>
        <w:tc>
          <w:tcPr>
            <w:tcW w:w="1420" w:type="dxa"/>
            <w:tcBorders>
              <w:top w:val="nil"/>
              <w:bottom w:val="nil"/>
            </w:tcBorders>
          </w:tcPr>
          <w:p w14:paraId="5AC0887A"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285</w:t>
            </w:r>
          </w:p>
        </w:tc>
        <w:tc>
          <w:tcPr>
            <w:tcW w:w="2125" w:type="dxa"/>
            <w:tcBorders>
              <w:top w:val="nil"/>
              <w:bottom w:val="nil"/>
            </w:tcBorders>
          </w:tcPr>
          <w:p w14:paraId="2740988C"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7428FFBC"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£53.70</w:t>
            </w:r>
          </w:p>
        </w:tc>
      </w:tr>
      <w:tr w:rsidR="002D40D1" w:rsidRPr="009166E3" w14:paraId="74C0B25F" w14:textId="77777777" w:rsidTr="00B3158B">
        <w:trPr>
          <w:trHeight w:val="173"/>
        </w:trPr>
        <w:tc>
          <w:tcPr>
            <w:tcW w:w="2948" w:type="dxa"/>
            <w:tcBorders>
              <w:top w:val="nil"/>
              <w:bottom w:val="nil"/>
            </w:tcBorders>
          </w:tcPr>
          <w:p w14:paraId="4B671D68"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Filgrastim</w:t>
            </w:r>
          </w:p>
        </w:tc>
        <w:tc>
          <w:tcPr>
            <w:tcW w:w="1420" w:type="dxa"/>
            <w:tcBorders>
              <w:top w:val="nil"/>
              <w:bottom w:val="nil"/>
            </w:tcBorders>
          </w:tcPr>
          <w:p w14:paraId="4DDFFFE3"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See below</w:t>
            </w:r>
            <w:r w:rsidRPr="009166E3">
              <w:rPr>
                <w:rFonts w:ascii="Arial" w:hAnsi="Arial" w:cs="Arial"/>
                <w:bCs/>
                <w:sz w:val="18"/>
                <w:szCs w:val="18"/>
                <w:vertAlign w:val="superscript"/>
              </w:rPr>
              <w:t>2</w:t>
            </w:r>
          </w:p>
        </w:tc>
        <w:tc>
          <w:tcPr>
            <w:tcW w:w="2125" w:type="dxa"/>
            <w:tcBorders>
              <w:top w:val="nil"/>
              <w:bottom w:val="nil"/>
            </w:tcBorders>
          </w:tcPr>
          <w:p w14:paraId="256890E4"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378B441C"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£2,206.30</w:t>
            </w:r>
          </w:p>
        </w:tc>
      </w:tr>
      <w:tr w:rsidR="002D40D1" w:rsidRPr="009166E3" w14:paraId="4D265ACF" w14:textId="77777777" w:rsidTr="00B3158B">
        <w:trPr>
          <w:trHeight w:val="173"/>
        </w:trPr>
        <w:tc>
          <w:tcPr>
            <w:tcW w:w="2948" w:type="dxa"/>
            <w:tcBorders>
              <w:top w:val="nil"/>
              <w:bottom w:val="nil"/>
            </w:tcBorders>
          </w:tcPr>
          <w:p w14:paraId="1F87DC4D" w14:textId="77777777" w:rsidR="002D40D1" w:rsidRPr="009166E3" w:rsidRDefault="002D40D1" w:rsidP="00B3158B">
            <w:pPr>
              <w:rPr>
                <w:rFonts w:ascii="Arial" w:hAnsi="Arial" w:cs="Arial"/>
                <w:b/>
                <w:sz w:val="18"/>
                <w:szCs w:val="18"/>
              </w:rPr>
            </w:pPr>
            <w:r w:rsidRPr="009166E3">
              <w:rPr>
                <w:rFonts w:ascii="Arial" w:hAnsi="Arial" w:cs="Arial"/>
                <w:b/>
                <w:sz w:val="18"/>
                <w:szCs w:val="18"/>
              </w:rPr>
              <w:t>TC</w:t>
            </w:r>
          </w:p>
        </w:tc>
        <w:tc>
          <w:tcPr>
            <w:tcW w:w="1420" w:type="dxa"/>
            <w:tcBorders>
              <w:top w:val="nil"/>
              <w:bottom w:val="nil"/>
            </w:tcBorders>
          </w:tcPr>
          <w:p w14:paraId="3A1B3E21" w14:textId="77777777" w:rsidR="002D40D1" w:rsidRPr="009166E3" w:rsidRDefault="002D40D1" w:rsidP="00B3158B">
            <w:pPr>
              <w:jc w:val="right"/>
              <w:rPr>
                <w:rFonts w:ascii="Arial" w:hAnsi="Arial" w:cs="Arial"/>
                <w:bCs/>
                <w:sz w:val="18"/>
                <w:szCs w:val="18"/>
              </w:rPr>
            </w:pPr>
          </w:p>
        </w:tc>
        <w:tc>
          <w:tcPr>
            <w:tcW w:w="2125" w:type="dxa"/>
            <w:tcBorders>
              <w:top w:val="nil"/>
              <w:bottom w:val="nil"/>
            </w:tcBorders>
          </w:tcPr>
          <w:p w14:paraId="422B4EC1" w14:textId="77777777" w:rsidR="002D40D1" w:rsidRPr="009166E3" w:rsidRDefault="002D40D1" w:rsidP="00B3158B">
            <w:pPr>
              <w:jc w:val="right"/>
              <w:rPr>
                <w:rFonts w:ascii="Arial" w:hAnsi="Arial" w:cs="Arial"/>
                <w:bCs/>
                <w:sz w:val="18"/>
                <w:szCs w:val="18"/>
              </w:rPr>
            </w:pPr>
          </w:p>
        </w:tc>
        <w:tc>
          <w:tcPr>
            <w:tcW w:w="2444" w:type="dxa"/>
            <w:tcBorders>
              <w:top w:val="nil"/>
              <w:bottom w:val="nil"/>
            </w:tcBorders>
          </w:tcPr>
          <w:p w14:paraId="127928FE" w14:textId="77777777" w:rsidR="002D40D1" w:rsidRPr="009166E3" w:rsidRDefault="002D40D1" w:rsidP="00B3158B">
            <w:pPr>
              <w:jc w:val="right"/>
              <w:rPr>
                <w:rFonts w:ascii="Arial" w:hAnsi="Arial" w:cs="Arial"/>
                <w:bCs/>
                <w:sz w:val="18"/>
                <w:szCs w:val="18"/>
              </w:rPr>
            </w:pPr>
          </w:p>
        </w:tc>
      </w:tr>
      <w:tr w:rsidR="002D40D1" w:rsidRPr="009166E3" w14:paraId="7E3B9DF2" w14:textId="77777777" w:rsidTr="00B3158B">
        <w:trPr>
          <w:trHeight w:val="173"/>
        </w:trPr>
        <w:tc>
          <w:tcPr>
            <w:tcW w:w="2948" w:type="dxa"/>
            <w:tcBorders>
              <w:top w:val="nil"/>
              <w:bottom w:val="nil"/>
            </w:tcBorders>
          </w:tcPr>
          <w:p w14:paraId="53769C6D"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Cyclophosphamide 600mg/m</w:t>
            </w:r>
            <w:r w:rsidRPr="009166E3">
              <w:rPr>
                <w:rFonts w:ascii="Arial" w:hAnsi="Arial" w:cs="Arial"/>
                <w:bCs/>
                <w:sz w:val="18"/>
                <w:szCs w:val="18"/>
                <w:vertAlign w:val="superscript"/>
              </w:rPr>
              <w:t>2</w:t>
            </w:r>
          </w:p>
        </w:tc>
        <w:tc>
          <w:tcPr>
            <w:tcW w:w="1420" w:type="dxa"/>
            <w:tcBorders>
              <w:top w:val="nil"/>
              <w:bottom w:val="nil"/>
            </w:tcBorders>
          </w:tcPr>
          <w:p w14:paraId="085BEAA7"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1050</w:t>
            </w:r>
          </w:p>
        </w:tc>
        <w:tc>
          <w:tcPr>
            <w:tcW w:w="2125" w:type="dxa"/>
            <w:tcBorders>
              <w:top w:val="nil"/>
              <w:bottom w:val="nil"/>
            </w:tcBorders>
          </w:tcPr>
          <w:p w14:paraId="4945AF1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115B7F9E"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£87.12</w:t>
            </w:r>
          </w:p>
        </w:tc>
      </w:tr>
      <w:tr w:rsidR="002D40D1" w:rsidRPr="009166E3" w14:paraId="63291F4D" w14:textId="77777777" w:rsidTr="00B3158B">
        <w:trPr>
          <w:trHeight w:val="173"/>
        </w:trPr>
        <w:tc>
          <w:tcPr>
            <w:tcW w:w="2948" w:type="dxa"/>
            <w:tcBorders>
              <w:top w:val="nil"/>
              <w:bottom w:val="nil"/>
            </w:tcBorders>
          </w:tcPr>
          <w:p w14:paraId="50274D0A"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Docetaxel 75mg/m</w:t>
            </w:r>
            <w:r w:rsidRPr="009166E3">
              <w:rPr>
                <w:rFonts w:ascii="Arial" w:hAnsi="Arial" w:cs="Arial"/>
                <w:bCs/>
                <w:sz w:val="18"/>
                <w:szCs w:val="18"/>
                <w:vertAlign w:val="superscript"/>
              </w:rPr>
              <w:t>2</w:t>
            </w:r>
          </w:p>
        </w:tc>
        <w:tc>
          <w:tcPr>
            <w:tcW w:w="1420" w:type="dxa"/>
            <w:tcBorders>
              <w:top w:val="nil"/>
              <w:bottom w:val="nil"/>
            </w:tcBorders>
          </w:tcPr>
          <w:p w14:paraId="0EC369DA"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131.25</w:t>
            </w:r>
          </w:p>
        </w:tc>
        <w:tc>
          <w:tcPr>
            <w:tcW w:w="2125" w:type="dxa"/>
            <w:tcBorders>
              <w:top w:val="nil"/>
              <w:bottom w:val="nil"/>
            </w:tcBorders>
          </w:tcPr>
          <w:p w14:paraId="79C09547"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6C2BB0C3"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£69.52</w:t>
            </w:r>
          </w:p>
        </w:tc>
      </w:tr>
      <w:tr w:rsidR="002D40D1" w:rsidRPr="009166E3" w14:paraId="57CAC597" w14:textId="77777777" w:rsidTr="00B3158B">
        <w:trPr>
          <w:trHeight w:val="173"/>
        </w:trPr>
        <w:tc>
          <w:tcPr>
            <w:tcW w:w="2948" w:type="dxa"/>
            <w:tcBorders>
              <w:top w:val="nil"/>
              <w:bottom w:val="nil"/>
            </w:tcBorders>
          </w:tcPr>
          <w:p w14:paraId="3BA2AD8E"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Aprepitant</w:t>
            </w:r>
            <w:proofErr w:type="spellEnd"/>
          </w:p>
        </w:tc>
        <w:tc>
          <w:tcPr>
            <w:tcW w:w="1420" w:type="dxa"/>
            <w:tcBorders>
              <w:top w:val="nil"/>
              <w:bottom w:val="nil"/>
            </w:tcBorders>
          </w:tcPr>
          <w:p w14:paraId="6AE8FF98"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285</w:t>
            </w:r>
          </w:p>
        </w:tc>
        <w:tc>
          <w:tcPr>
            <w:tcW w:w="2125" w:type="dxa"/>
            <w:tcBorders>
              <w:top w:val="nil"/>
              <w:bottom w:val="nil"/>
            </w:tcBorders>
          </w:tcPr>
          <w:p w14:paraId="07A2505A"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78F12FFC"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£35.80</w:t>
            </w:r>
          </w:p>
        </w:tc>
      </w:tr>
      <w:tr w:rsidR="002D40D1" w:rsidRPr="009166E3" w14:paraId="1A2199EC" w14:textId="77777777" w:rsidTr="00B3158B">
        <w:trPr>
          <w:trHeight w:val="173"/>
        </w:trPr>
        <w:tc>
          <w:tcPr>
            <w:tcW w:w="2948" w:type="dxa"/>
            <w:tcBorders>
              <w:top w:val="nil"/>
              <w:bottom w:val="nil"/>
            </w:tcBorders>
          </w:tcPr>
          <w:p w14:paraId="190B1331"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Filgrastim</w:t>
            </w:r>
          </w:p>
        </w:tc>
        <w:tc>
          <w:tcPr>
            <w:tcW w:w="1420" w:type="dxa"/>
            <w:tcBorders>
              <w:top w:val="nil"/>
              <w:bottom w:val="nil"/>
            </w:tcBorders>
          </w:tcPr>
          <w:p w14:paraId="58EBF067"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See below</w:t>
            </w:r>
            <w:r w:rsidRPr="009166E3">
              <w:rPr>
                <w:rFonts w:ascii="Arial" w:hAnsi="Arial" w:cs="Arial"/>
                <w:bCs/>
                <w:sz w:val="18"/>
                <w:szCs w:val="18"/>
                <w:vertAlign w:val="superscript"/>
              </w:rPr>
              <w:t>2</w:t>
            </w:r>
          </w:p>
        </w:tc>
        <w:tc>
          <w:tcPr>
            <w:tcW w:w="2125" w:type="dxa"/>
            <w:tcBorders>
              <w:top w:val="nil"/>
              <w:bottom w:val="nil"/>
            </w:tcBorders>
          </w:tcPr>
          <w:p w14:paraId="6E7282B2"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3A0CDA5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£1,470.87</w:t>
            </w:r>
          </w:p>
        </w:tc>
      </w:tr>
      <w:tr w:rsidR="002D40D1" w:rsidRPr="009166E3" w14:paraId="61769A34" w14:textId="77777777" w:rsidTr="00B3158B">
        <w:trPr>
          <w:trHeight w:val="173"/>
        </w:trPr>
        <w:tc>
          <w:tcPr>
            <w:tcW w:w="2948" w:type="dxa"/>
            <w:tcBorders>
              <w:top w:val="nil"/>
              <w:bottom w:val="nil"/>
            </w:tcBorders>
          </w:tcPr>
          <w:p w14:paraId="161AA371" w14:textId="77777777" w:rsidR="002D40D1" w:rsidRPr="009166E3" w:rsidRDefault="002D40D1" w:rsidP="00B3158B">
            <w:pPr>
              <w:rPr>
                <w:rFonts w:ascii="Arial" w:hAnsi="Arial" w:cs="Arial"/>
                <w:b/>
                <w:sz w:val="18"/>
                <w:szCs w:val="18"/>
              </w:rPr>
            </w:pPr>
            <w:r w:rsidRPr="009166E3">
              <w:rPr>
                <w:rFonts w:ascii="Arial" w:hAnsi="Arial" w:cs="Arial"/>
                <w:b/>
                <w:sz w:val="18"/>
                <w:szCs w:val="18"/>
              </w:rPr>
              <w:t>EC90/T75</w:t>
            </w:r>
          </w:p>
        </w:tc>
        <w:tc>
          <w:tcPr>
            <w:tcW w:w="1420" w:type="dxa"/>
            <w:tcBorders>
              <w:top w:val="nil"/>
              <w:bottom w:val="nil"/>
            </w:tcBorders>
          </w:tcPr>
          <w:p w14:paraId="16FCDC14" w14:textId="77777777" w:rsidR="002D40D1" w:rsidRPr="009166E3" w:rsidRDefault="002D40D1" w:rsidP="00B3158B">
            <w:pPr>
              <w:jc w:val="right"/>
              <w:rPr>
                <w:rFonts w:ascii="Arial" w:hAnsi="Arial" w:cs="Arial"/>
                <w:bCs/>
                <w:sz w:val="18"/>
                <w:szCs w:val="18"/>
              </w:rPr>
            </w:pPr>
          </w:p>
        </w:tc>
        <w:tc>
          <w:tcPr>
            <w:tcW w:w="2125" w:type="dxa"/>
            <w:tcBorders>
              <w:top w:val="nil"/>
              <w:bottom w:val="nil"/>
            </w:tcBorders>
          </w:tcPr>
          <w:p w14:paraId="7D939D50" w14:textId="77777777" w:rsidR="002D40D1" w:rsidRPr="009166E3" w:rsidRDefault="002D40D1" w:rsidP="00B3158B">
            <w:pPr>
              <w:jc w:val="right"/>
              <w:rPr>
                <w:rFonts w:ascii="Arial" w:hAnsi="Arial" w:cs="Arial"/>
                <w:bCs/>
                <w:sz w:val="18"/>
                <w:szCs w:val="18"/>
              </w:rPr>
            </w:pPr>
          </w:p>
        </w:tc>
        <w:tc>
          <w:tcPr>
            <w:tcW w:w="2444" w:type="dxa"/>
            <w:tcBorders>
              <w:top w:val="nil"/>
              <w:bottom w:val="nil"/>
            </w:tcBorders>
          </w:tcPr>
          <w:p w14:paraId="23071328" w14:textId="77777777" w:rsidR="002D40D1" w:rsidRPr="009166E3" w:rsidRDefault="002D40D1" w:rsidP="00B3158B">
            <w:pPr>
              <w:jc w:val="right"/>
              <w:rPr>
                <w:rFonts w:ascii="Arial" w:hAnsi="Arial" w:cs="Arial"/>
                <w:bCs/>
                <w:sz w:val="18"/>
                <w:szCs w:val="18"/>
              </w:rPr>
            </w:pPr>
          </w:p>
        </w:tc>
      </w:tr>
      <w:tr w:rsidR="002D40D1" w:rsidRPr="009166E3" w14:paraId="3845595D" w14:textId="77777777" w:rsidTr="00B3158B">
        <w:trPr>
          <w:trHeight w:val="165"/>
        </w:trPr>
        <w:tc>
          <w:tcPr>
            <w:tcW w:w="2948" w:type="dxa"/>
            <w:tcBorders>
              <w:top w:val="nil"/>
              <w:bottom w:val="nil"/>
            </w:tcBorders>
          </w:tcPr>
          <w:p w14:paraId="1E06B155"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Epirubicin</w:t>
            </w:r>
            <w:proofErr w:type="spellEnd"/>
            <w:r w:rsidRPr="009166E3">
              <w:rPr>
                <w:rFonts w:ascii="Arial" w:hAnsi="Arial" w:cs="Arial"/>
                <w:bCs/>
                <w:sz w:val="18"/>
                <w:szCs w:val="18"/>
              </w:rPr>
              <w:t xml:space="preserve"> 90mg/m</w:t>
            </w:r>
            <w:r w:rsidRPr="009166E3">
              <w:rPr>
                <w:rFonts w:ascii="Arial" w:hAnsi="Arial" w:cs="Arial"/>
                <w:bCs/>
                <w:sz w:val="18"/>
                <w:szCs w:val="18"/>
                <w:vertAlign w:val="superscript"/>
              </w:rPr>
              <w:t>2</w:t>
            </w:r>
          </w:p>
        </w:tc>
        <w:tc>
          <w:tcPr>
            <w:tcW w:w="1420" w:type="dxa"/>
            <w:tcBorders>
              <w:top w:val="nil"/>
              <w:bottom w:val="nil"/>
            </w:tcBorders>
          </w:tcPr>
          <w:p w14:paraId="01CDC7B3"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157.50</w:t>
            </w:r>
          </w:p>
        </w:tc>
        <w:tc>
          <w:tcPr>
            <w:tcW w:w="2125" w:type="dxa"/>
            <w:tcBorders>
              <w:top w:val="nil"/>
              <w:bottom w:val="nil"/>
            </w:tcBorders>
          </w:tcPr>
          <w:p w14:paraId="4E72CBE2"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25047D3D"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£371.68</w:t>
            </w:r>
          </w:p>
        </w:tc>
      </w:tr>
      <w:tr w:rsidR="002D40D1" w:rsidRPr="009166E3" w14:paraId="768CBF08" w14:textId="77777777" w:rsidTr="00B3158B">
        <w:trPr>
          <w:trHeight w:val="165"/>
        </w:trPr>
        <w:tc>
          <w:tcPr>
            <w:tcW w:w="2948" w:type="dxa"/>
            <w:tcBorders>
              <w:top w:val="nil"/>
              <w:bottom w:val="nil"/>
            </w:tcBorders>
          </w:tcPr>
          <w:p w14:paraId="57821435"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Cyclophosphamide 600mg/m</w:t>
            </w:r>
            <w:r w:rsidRPr="009166E3">
              <w:rPr>
                <w:rFonts w:ascii="Arial" w:hAnsi="Arial" w:cs="Arial"/>
                <w:bCs/>
                <w:sz w:val="18"/>
                <w:szCs w:val="18"/>
                <w:vertAlign w:val="superscript"/>
              </w:rPr>
              <w:t>2</w:t>
            </w:r>
          </w:p>
        </w:tc>
        <w:tc>
          <w:tcPr>
            <w:tcW w:w="1420" w:type="dxa"/>
            <w:tcBorders>
              <w:top w:val="nil"/>
              <w:bottom w:val="nil"/>
            </w:tcBorders>
          </w:tcPr>
          <w:p w14:paraId="344E23C6"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1050</w:t>
            </w:r>
          </w:p>
        </w:tc>
        <w:tc>
          <w:tcPr>
            <w:tcW w:w="2125" w:type="dxa"/>
            <w:tcBorders>
              <w:top w:val="nil"/>
              <w:bottom w:val="nil"/>
            </w:tcBorders>
          </w:tcPr>
          <w:p w14:paraId="34BF39B3"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2715488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£87.12</w:t>
            </w:r>
          </w:p>
        </w:tc>
      </w:tr>
      <w:tr w:rsidR="002D40D1" w:rsidRPr="009166E3" w14:paraId="1EAA92ED" w14:textId="77777777" w:rsidTr="00B3158B">
        <w:trPr>
          <w:trHeight w:val="165"/>
        </w:trPr>
        <w:tc>
          <w:tcPr>
            <w:tcW w:w="2948" w:type="dxa"/>
            <w:tcBorders>
              <w:top w:val="nil"/>
              <w:bottom w:val="nil"/>
            </w:tcBorders>
          </w:tcPr>
          <w:p w14:paraId="10897B23"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Docetaxel 75mg/m</w:t>
            </w:r>
            <w:r w:rsidRPr="009166E3">
              <w:rPr>
                <w:rFonts w:ascii="Arial" w:hAnsi="Arial" w:cs="Arial"/>
                <w:bCs/>
                <w:sz w:val="18"/>
                <w:szCs w:val="18"/>
                <w:vertAlign w:val="superscript"/>
              </w:rPr>
              <w:t>2</w:t>
            </w:r>
          </w:p>
        </w:tc>
        <w:tc>
          <w:tcPr>
            <w:tcW w:w="1420" w:type="dxa"/>
            <w:tcBorders>
              <w:top w:val="nil"/>
              <w:bottom w:val="nil"/>
            </w:tcBorders>
          </w:tcPr>
          <w:p w14:paraId="0545B07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131.25</w:t>
            </w:r>
          </w:p>
        </w:tc>
        <w:tc>
          <w:tcPr>
            <w:tcW w:w="2125" w:type="dxa"/>
            <w:tcBorders>
              <w:top w:val="nil"/>
              <w:bottom w:val="nil"/>
            </w:tcBorders>
          </w:tcPr>
          <w:p w14:paraId="5D900C17"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7A2CAB0A"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£69.52</w:t>
            </w:r>
          </w:p>
        </w:tc>
      </w:tr>
      <w:tr w:rsidR="002D40D1" w:rsidRPr="009166E3" w14:paraId="61E69AFF" w14:textId="77777777" w:rsidTr="00B3158B">
        <w:trPr>
          <w:trHeight w:val="165"/>
        </w:trPr>
        <w:tc>
          <w:tcPr>
            <w:tcW w:w="2948" w:type="dxa"/>
            <w:tcBorders>
              <w:top w:val="nil"/>
              <w:bottom w:val="nil"/>
            </w:tcBorders>
          </w:tcPr>
          <w:p w14:paraId="10D33DFB"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Aprepitant</w:t>
            </w:r>
            <w:proofErr w:type="spellEnd"/>
          </w:p>
        </w:tc>
        <w:tc>
          <w:tcPr>
            <w:tcW w:w="1420" w:type="dxa"/>
            <w:tcBorders>
              <w:top w:val="nil"/>
              <w:bottom w:val="nil"/>
            </w:tcBorders>
          </w:tcPr>
          <w:p w14:paraId="12FD7C49"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285</w:t>
            </w:r>
          </w:p>
        </w:tc>
        <w:tc>
          <w:tcPr>
            <w:tcW w:w="2125" w:type="dxa"/>
            <w:tcBorders>
              <w:top w:val="nil"/>
              <w:bottom w:val="nil"/>
            </w:tcBorders>
          </w:tcPr>
          <w:p w14:paraId="2195B58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w:t>
            </w:r>
          </w:p>
        </w:tc>
        <w:tc>
          <w:tcPr>
            <w:tcW w:w="2444" w:type="dxa"/>
            <w:tcBorders>
              <w:top w:val="nil"/>
              <w:bottom w:val="nil"/>
            </w:tcBorders>
          </w:tcPr>
          <w:p w14:paraId="076251BE"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£71.60</w:t>
            </w:r>
          </w:p>
        </w:tc>
      </w:tr>
      <w:tr w:rsidR="002D40D1" w:rsidRPr="009166E3" w14:paraId="558F4AA2" w14:textId="77777777" w:rsidTr="00B3158B">
        <w:trPr>
          <w:trHeight w:val="165"/>
        </w:trPr>
        <w:tc>
          <w:tcPr>
            <w:tcW w:w="2948" w:type="dxa"/>
            <w:tcBorders>
              <w:top w:val="nil"/>
              <w:bottom w:val="nil"/>
            </w:tcBorders>
          </w:tcPr>
          <w:p w14:paraId="66D51295"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Filgrastim</w:t>
            </w:r>
          </w:p>
        </w:tc>
        <w:tc>
          <w:tcPr>
            <w:tcW w:w="1420" w:type="dxa"/>
            <w:tcBorders>
              <w:top w:val="nil"/>
              <w:bottom w:val="nil"/>
            </w:tcBorders>
          </w:tcPr>
          <w:p w14:paraId="1736D831"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See below</w:t>
            </w:r>
            <w:r w:rsidRPr="009166E3">
              <w:rPr>
                <w:rFonts w:ascii="Arial" w:hAnsi="Arial" w:cs="Arial"/>
                <w:bCs/>
                <w:sz w:val="18"/>
                <w:szCs w:val="18"/>
                <w:vertAlign w:val="superscript"/>
              </w:rPr>
              <w:t>2</w:t>
            </w:r>
          </w:p>
        </w:tc>
        <w:tc>
          <w:tcPr>
            <w:tcW w:w="2125" w:type="dxa"/>
            <w:tcBorders>
              <w:top w:val="nil"/>
              <w:bottom w:val="nil"/>
            </w:tcBorders>
          </w:tcPr>
          <w:p w14:paraId="2E107F28"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w:t>
            </w:r>
          </w:p>
        </w:tc>
        <w:tc>
          <w:tcPr>
            <w:tcW w:w="2444" w:type="dxa"/>
            <w:tcBorders>
              <w:top w:val="nil"/>
              <w:bottom w:val="nil"/>
            </w:tcBorders>
          </w:tcPr>
          <w:p w14:paraId="49EAF394"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£2,941.73</w:t>
            </w:r>
          </w:p>
        </w:tc>
      </w:tr>
      <w:tr w:rsidR="002D40D1" w:rsidRPr="009166E3" w14:paraId="1BEFB476" w14:textId="77777777" w:rsidTr="00B3158B">
        <w:trPr>
          <w:trHeight w:val="165"/>
        </w:trPr>
        <w:tc>
          <w:tcPr>
            <w:tcW w:w="2948" w:type="dxa"/>
            <w:tcBorders>
              <w:top w:val="nil"/>
              <w:bottom w:val="nil"/>
            </w:tcBorders>
          </w:tcPr>
          <w:p w14:paraId="752F08D5" w14:textId="77777777" w:rsidR="002D40D1" w:rsidRPr="009166E3" w:rsidRDefault="002D40D1" w:rsidP="00B3158B">
            <w:pPr>
              <w:rPr>
                <w:rFonts w:ascii="Arial" w:hAnsi="Arial" w:cs="Arial"/>
                <w:b/>
                <w:sz w:val="18"/>
                <w:szCs w:val="18"/>
              </w:rPr>
            </w:pPr>
            <w:r w:rsidRPr="009166E3">
              <w:rPr>
                <w:rFonts w:ascii="Arial" w:hAnsi="Arial" w:cs="Arial"/>
                <w:b/>
                <w:sz w:val="18"/>
                <w:szCs w:val="18"/>
              </w:rPr>
              <w:t>Accelerated EC90/P</w:t>
            </w:r>
          </w:p>
        </w:tc>
        <w:tc>
          <w:tcPr>
            <w:tcW w:w="1420" w:type="dxa"/>
            <w:tcBorders>
              <w:top w:val="nil"/>
              <w:bottom w:val="nil"/>
            </w:tcBorders>
          </w:tcPr>
          <w:p w14:paraId="2872C75F" w14:textId="77777777" w:rsidR="002D40D1" w:rsidRPr="009166E3" w:rsidRDefault="002D40D1" w:rsidP="00B3158B">
            <w:pPr>
              <w:jc w:val="right"/>
              <w:rPr>
                <w:rFonts w:ascii="Arial" w:hAnsi="Arial" w:cs="Arial"/>
                <w:bCs/>
                <w:sz w:val="18"/>
                <w:szCs w:val="18"/>
              </w:rPr>
            </w:pPr>
          </w:p>
        </w:tc>
        <w:tc>
          <w:tcPr>
            <w:tcW w:w="2125" w:type="dxa"/>
            <w:tcBorders>
              <w:top w:val="nil"/>
              <w:bottom w:val="nil"/>
            </w:tcBorders>
          </w:tcPr>
          <w:p w14:paraId="565741E1" w14:textId="77777777" w:rsidR="002D40D1" w:rsidRPr="009166E3" w:rsidRDefault="002D40D1" w:rsidP="00B3158B">
            <w:pPr>
              <w:jc w:val="right"/>
              <w:rPr>
                <w:rFonts w:ascii="Arial" w:hAnsi="Arial" w:cs="Arial"/>
                <w:bCs/>
                <w:sz w:val="18"/>
                <w:szCs w:val="18"/>
              </w:rPr>
            </w:pPr>
          </w:p>
        </w:tc>
        <w:tc>
          <w:tcPr>
            <w:tcW w:w="2444" w:type="dxa"/>
            <w:tcBorders>
              <w:top w:val="nil"/>
              <w:bottom w:val="nil"/>
            </w:tcBorders>
          </w:tcPr>
          <w:p w14:paraId="6C8741AE" w14:textId="77777777" w:rsidR="002D40D1" w:rsidRPr="009166E3" w:rsidRDefault="002D40D1" w:rsidP="00B3158B">
            <w:pPr>
              <w:jc w:val="right"/>
              <w:rPr>
                <w:rFonts w:ascii="Arial" w:hAnsi="Arial" w:cs="Arial"/>
                <w:bCs/>
                <w:sz w:val="18"/>
                <w:szCs w:val="18"/>
              </w:rPr>
            </w:pPr>
          </w:p>
        </w:tc>
      </w:tr>
      <w:tr w:rsidR="002D40D1" w:rsidRPr="009166E3" w14:paraId="5E0F1374" w14:textId="77777777" w:rsidTr="00B3158B">
        <w:trPr>
          <w:trHeight w:val="165"/>
        </w:trPr>
        <w:tc>
          <w:tcPr>
            <w:tcW w:w="2948" w:type="dxa"/>
            <w:tcBorders>
              <w:top w:val="nil"/>
              <w:bottom w:val="nil"/>
            </w:tcBorders>
          </w:tcPr>
          <w:p w14:paraId="55EADD45"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Epirubicin</w:t>
            </w:r>
            <w:proofErr w:type="spellEnd"/>
            <w:r w:rsidRPr="009166E3">
              <w:rPr>
                <w:rFonts w:ascii="Arial" w:hAnsi="Arial" w:cs="Arial"/>
                <w:bCs/>
                <w:sz w:val="18"/>
                <w:szCs w:val="18"/>
              </w:rPr>
              <w:t xml:space="preserve"> 90mg/m</w:t>
            </w:r>
            <w:r w:rsidRPr="009166E3">
              <w:rPr>
                <w:rFonts w:ascii="Arial" w:hAnsi="Arial" w:cs="Arial"/>
                <w:bCs/>
                <w:sz w:val="18"/>
                <w:szCs w:val="18"/>
                <w:vertAlign w:val="superscript"/>
              </w:rPr>
              <w:t>2</w:t>
            </w:r>
          </w:p>
        </w:tc>
        <w:tc>
          <w:tcPr>
            <w:tcW w:w="1420" w:type="dxa"/>
            <w:tcBorders>
              <w:top w:val="nil"/>
              <w:bottom w:val="nil"/>
            </w:tcBorders>
          </w:tcPr>
          <w:p w14:paraId="2E378811"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157.50</w:t>
            </w:r>
          </w:p>
        </w:tc>
        <w:tc>
          <w:tcPr>
            <w:tcW w:w="2125" w:type="dxa"/>
            <w:tcBorders>
              <w:top w:val="nil"/>
              <w:bottom w:val="nil"/>
            </w:tcBorders>
          </w:tcPr>
          <w:p w14:paraId="236BD283"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7A77B95D"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£371.68</w:t>
            </w:r>
          </w:p>
        </w:tc>
      </w:tr>
      <w:tr w:rsidR="002D40D1" w:rsidRPr="009166E3" w14:paraId="4AA8AE7D" w14:textId="77777777" w:rsidTr="00B3158B">
        <w:trPr>
          <w:trHeight w:val="165"/>
        </w:trPr>
        <w:tc>
          <w:tcPr>
            <w:tcW w:w="2948" w:type="dxa"/>
            <w:tcBorders>
              <w:top w:val="nil"/>
              <w:bottom w:val="nil"/>
            </w:tcBorders>
          </w:tcPr>
          <w:p w14:paraId="036A2DEC"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Cyclophosphamide 600mg/m</w:t>
            </w:r>
            <w:r w:rsidRPr="009166E3">
              <w:rPr>
                <w:rFonts w:ascii="Arial" w:hAnsi="Arial" w:cs="Arial"/>
                <w:bCs/>
                <w:sz w:val="18"/>
                <w:szCs w:val="18"/>
                <w:vertAlign w:val="superscript"/>
              </w:rPr>
              <w:t>2</w:t>
            </w:r>
          </w:p>
        </w:tc>
        <w:tc>
          <w:tcPr>
            <w:tcW w:w="1420" w:type="dxa"/>
            <w:tcBorders>
              <w:top w:val="nil"/>
              <w:bottom w:val="nil"/>
            </w:tcBorders>
          </w:tcPr>
          <w:p w14:paraId="1B7075FA"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1050</w:t>
            </w:r>
          </w:p>
        </w:tc>
        <w:tc>
          <w:tcPr>
            <w:tcW w:w="2125" w:type="dxa"/>
            <w:tcBorders>
              <w:top w:val="nil"/>
              <w:bottom w:val="nil"/>
            </w:tcBorders>
          </w:tcPr>
          <w:p w14:paraId="446AB6FC"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4CFAC01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£87.12</w:t>
            </w:r>
          </w:p>
        </w:tc>
      </w:tr>
      <w:tr w:rsidR="002D40D1" w:rsidRPr="009166E3" w14:paraId="711A0EA4" w14:textId="77777777" w:rsidTr="00B3158B">
        <w:trPr>
          <w:trHeight w:val="165"/>
        </w:trPr>
        <w:tc>
          <w:tcPr>
            <w:tcW w:w="2948" w:type="dxa"/>
            <w:tcBorders>
              <w:top w:val="nil"/>
              <w:bottom w:val="nil"/>
            </w:tcBorders>
          </w:tcPr>
          <w:p w14:paraId="443AD3B7"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Paclitaxel 175mg/m</w:t>
            </w:r>
            <w:r w:rsidRPr="009166E3">
              <w:rPr>
                <w:rFonts w:ascii="Arial" w:hAnsi="Arial" w:cs="Arial"/>
                <w:bCs/>
                <w:sz w:val="18"/>
                <w:szCs w:val="18"/>
                <w:vertAlign w:val="superscript"/>
              </w:rPr>
              <w:t>2</w:t>
            </w:r>
          </w:p>
        </w:tc>
        <w:tc>
          <w:tcPr>
            <w:tcW w:w="1420" w:type="dxa"/>
            <w:tcBorders>
              <w:top w:val="nil"/>
              <w:bottom w:val="nil"/>
            </w:tcBorders>
          </w:tcPr>
          <w:p w14:paraId="1FD8F94F"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306.25</w:t>
            </w:r>
          </w:p>
        </w:tc>
        <w:tc>
          <w:tcPr>
            <w:tcW w:w="2125" w:type="dxa"/>
            <w:tcBorders>
              <w:top w:val="nil"/>
              <w:bottom w:val="nil"/>
            </w:tcBorders>
          </w:tcPr>
          <w:p w14:paraId="61E11FC4"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4</w:t>
            </w:r>
          </w:p>
        </w:tc>
        <w:tc>
          <w:tcPr>
            <w:tcW w:w="2444" w:type="dxa"/>
            <w:tcBorders>
              <w:top w:val="nil"/>
              <w:bottom w:val="nil"/>
            </w:tcBorders>
          </w:tcPr>
          <w:p w14:paraId="148C9AC4"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£121.80</w:t>
            </w:r>
          </w:p>
        </w:tc>
      </w:tr>
      <w:tr w:rsidR="002D40D1" w:rsidRPr="009166E3" w14:paraId="2A9324DA" w14:textId="77777777" w:rsidTr="00B3158B">
        <w:trPr>
          <w:trHeight w:val="165"/>
        </w:trPr>
        <w:tc>
          <w:tcPr>
            <w:tcW w:w="2948" w:type="dxa"/>
            <w:tcBorders>
              <w:top w:val="nil"/>
              <w:bottom w:val="nil"/>
            </w:tcBorders>
          </w:tcPr>
          <w:p w14:paraId="0FB0A7B0"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Aprepitant</w:t>
            </w:r>
            <w:proofErr w:type="spellEnd"/>
          </w:p>
        </w:tc>
        <w:tc>
          <w:tcPr>
            <w:tcW w:w="1420" w:type="dxa"/>
            <w:tcBorders>
              <w:top w:val="nil"/>
              <w:bottom w:val="nil"/>
            </w:tcBorders>
          </w:tcPr>
          <w:p w14:paraId="071DB307"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285</w:t>
            </w:r>
          </w:p>
        </w:tc>
        <w:tc>
          <w:tcPr>
            <w:tcW w:w="2125" w:type="dxa"/>
            <w:tcBorders>
              <w:top w:val="nil"/>
              <w:bottom w:val="nil"/>
            </w:tcBorders>
          </w:tcPr>
          <w:p w14:paraId="1969CDD7"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w:t>
            </w:r>
          </w:p>
        </w:tc>
        <w:tc>
          <w:tcPr>
            <w:tcW w:w="2444" w:type="dxa"/>
            <w:tcBorders>
              <w:top w:val="nil"/>
              <w:bottom w:val="nil"/>
            </w:tcBorders>
          </w:tcPr>
          <w:p w14:paraId="0B0A70B9"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£71.60</w:t>
            </w:r>
          </w:p>
        </w:tc>
      </w:tr>
      <w:tr w:rsidR="002D40D1" w:rsidRPr="009166E3" w14:paraId="121A83D2" w14:textId="77777777" w:rsidTr="00B3158B">
        <w:trPr>
          <w:trHeight w:val="165"/>
        </w:trPr>
        <w:tc>
          <w:tcPr>
            <w:tcW w:w="2948" w:type="dxa"/>
            <w:tcBorders>
              <w:top w:val="nil"/>
              <w:bottom w:val="nil"/>
            </w:tcBorders>
          </w:tcPr>
          <w:p w14:paraId="69F98926"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Filgrastim</w:t>
            </w:r>
          </w:p>
        </w:tc>
        <w:tc>
          <w:tcPr>
            <w:tcW w:w="1420" w:type="dxa"/>
            <w:tcBorders>
              <w:top w:val="nil"/>
              <w:bottom w:val="nil"/>
            </w:tcBorders>
          </w:tcPr>
          <w:p w14:paraId="250F5B5C"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See below</w:t>
            </w:r>
            <w:r w:rsidRPr="009166E3">
              <w:rPr>
                <w:rFonts w:ascii="Arial" w:hAnsi="Arial" w:cs="Arial"/>
                <w:bCs/>
                <w:sz w:val="18"/>
                <w:szCs w:val="18"/>
                <w:vertAlign w:val="superscript"/>
              </w:rPr>
              <w:t>2</w:t>
            </w:r>
          </w:p>
        </w:tc>
        <w:tc>
          <w:tcPr>
            <w:tcW w:w="2125" w:type="dxa"/>
            <w:tcBorders>
              <w:top w:val="nil"/>
              <w:bottom w:val="nil"/>
            </w:tcBorders>
          </w:tcPr>
          <w:p w14:paraId="5930A91E"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8</w:t>
            </w:r>
          </w:p>
        </w:tc>
        <w:tc>
          <w:tcPr>
            <w:tcW w:w="2444" w:type="dxa"/>
            <w:tcBorders>
              <w:top w:val="nil"/>
              <w:bottom w:val="nil"/>
            </w:tcBorders>
          </w:tcPr>
          <w:p w14:paraId="3AD4D5CA"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£2,941.73</w:t>
            </w:r>
          </w:p>
        </w:tc>
      </w:tr>
      <w:tr w:rsidR="002D40D1" w:rsidRPr="009166E3" w14:paraId="48F91148" w14:textId="77777777" w:rsidTr="00B3158B">
        <w:trPr>
          <w:trHeight w:val="165"/>
        </w:trPr>
        <w:tc>
          <w:tcPr>
            <w:tcW w:w="2948" w:type="dxa"/>
            <w:tcBorders>
              <w:top w:val="nil"/>
              <w:bottom w:val="nil"/>
            </w:tcBorders>
          </w:tcPr>
          <w:p w14:paraId="1E3FD62C" w14:textId="77777777" w:rsidR="002D40D1" w:rsidRPr="009166E3" w:rsidRDefault="002D40D1" w:rsidP="00B3158B">
            <w:pPr>
              <w:rPr>
                <w:rFonts w:ascii="Arial" w:hAnsi="Arial" w:cs="Arial"/>
                <w:b/>
                <w:sz w:val="18"/>
                <w:szCs w:val="18"/>
              </w:rPr>
            </w:pPr>
            <w:r w:rsidRPr="009166E3">
              <w:rPr>
                <w:rFonts w:ascii="Arial" w:hAnsi="Arial" w:cs="Arial"/>
                <w:b/>
                <w:sz w:val="18"/>
                <w:szCs w:val="18"/>
              </w:rPr>
              <w:t>Accelerated P</w:t>
            </w:r>
          </w:p>
        </w:tc>
        <w:tc>
          <w:tcPr>
            <w:tcW w:w="1420" w:type="dxa"/>
            <w:tcBorders>
              <w:top w:val="nil"/>
              <w:bottom w:val="nil"/>
            </w:tcBorders>
          </w:tcPr>
          <w:p w14:paraId="12082962" w14:textId="77777777" w:rsidR="002D40D1" w:rsidRPr="009166E3" w:rsidRDefault="002D40D1" w:rsidP="00B3158B">
            <w:pPr>
              <w:jc w:val="right"/>
              <w:rPr>
                <w:rFonts w:ascii="Arial" w:hAnsi="Arial" w:cs="Arial"/>
                <w:bCs/>
                <w:sz w:val="18"/>
                <w:szCs w:val="18"/>
              </w:rPr>
            </w:pPr>
          </w:p>
        </w:tc>
        <w:tc>
          <w:tcPr>
            <w:tcW w:w="2125" w:type="dxa"/>
            <w:tcBorders>
              <w:top w:val="nil"/>
              <w:bottom w:val="nil"/>
            </w:tcBorders>
          </w:tcPr>
          <w:p w14:paraId="5E284E72" w14:textId="77777777" w:rsidR="002D40D1" w:rsidRPr="009166E3" w:rsidRDefault="002D40D1" w:rsidP="00B3158B">
            <w:pPr>
              <w:jc w:val="right"/>
              <w:rPr>
                <w:rFonts w:ascii="Arial" w:hAnsi="Arial" w:cs="Arial"/>
                <w:bCs/>
                <w:sz w:val="18"/>
                <w:szCs w:val="18"/>
              </w:rPr>
            </w:pPr>
          </w:p>
        </w:tc>
        <w:tc>
          <w:tcPr>
            <w:tcW w:w="2444" w:type="dxa"/>
            <w:tcBorders>
              <w:top w:val="nil"/>
              <w:bottom w:val="nil"/>
            </w:tcBorders>
          </w:tcPr>
          <w:p w14:paraId="4B564DF2" w14:textId="77777777" w:rsidR="002D40D1" w:rsidRPr="009166E3" w:rsidRDefault="002D40D1" w:rsidP="00B3158B">
            <w:pPr>
              <w:jc w:val="right"/>
              <w:rPr>
                <w:rFonts w:ascii="Arial" w:hAnsi="Arial" w:cs="Arial"/>
                <w:bCs/>
                <w:sz w:val="18"/>
                <w:szCs w:val="18"/>
              </w:rPr>
            </w:pPr>
          </w:p>
        </w:tc>
      </w:tr>
      <w:tr w:rsidR="002D40D1" w:rsidRPr="009166E3" w14:paraId="2BB0AD83" w14:textId="77777777" w:rsidTr="00B3158B">
        <w:trPr>
          <w:trHeight w:val="165"/>
        </w:trPr>
        <w:tc>
          <w:tcPr>
            <w:tcW w:w="2948" w:type="dxa"/>
            <w:tcBorders>
              <w:top w:val="nil"/>
              <w:bottom w:val="nil"/>
            </w:tcBorders>
          </w:tcPr>
          <w:p w14:paraId="1618E53B"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Paclitaxel 175mg/m</w:t>
            </w:r>
            <w:r w:rsidRPr="009166E3">
              <w:rPr>
                <w:rFonts w:ascii="Arial" w:hAnsi="Arial" w:cs="Arial"/>
                <w:bCs/>
                <w:sz w:val="18"/>
                <w:szCs w:val="18"/>
                <w:vertAlign w:val="superscript"/>
              </w:rPr>
              <w:t>2</w:t>
            </w:r>
          </w:p>
        </w:tc>
        <w:tc>
          <w:tcPr>
            <w:tcW w:w="1420" w:type="dxa"/>
            <w:tcBorders>
              <w:top w:val="nil"/>
              <w:bottom w:val="nil"/>
            </w:tcBorders>
          </w:tcPr>
          <w:p w14:paraId="541EB564"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306.25</w:t>
            </w:r>
          </w:p>
        </w:tc>
        <w:tc>
          <w:tcPr>
            <w:tcW w:w="2125" w:type="dxa"/>
            <w:tcBorders>
              <w:top w:val="nil"/>
              <w:bottom w:val="nil"/>
            </w:tcBorders>
          </w:tcPr>
          <w:p w14:paraId="39219692"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589A1F54"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£182.70</w:t>
            </w:r>
          </w:p>
        </w:tc>
      </w:tr>
      <w:tr w:rsidR="002D40D1" w:rsidRPr="009166E3" w14:paraId="075A718D" w14:textId="77777777" w:rsidTr="00B3158B">
        <w:trPr>
          <w:trHeight w:val="165"/>
        </w:trPr>
        <w:tc>
          <w:tcPr>
            <w:tcW w:w="2948" w:type="dxa"/>
            <w:tcBorders>
              <w:top w:val="nil"/>
              <w:bottom w:val="nil"/>
            </w:tcBorders>
          </w:tcPr>
          <w:p w14:paraId="33FD45D2" w14:textId="77777777" w:rsidR="002D40D1" w:rsidRPr="009166E3" w:rsidRDefault="002D40D1" w:rsidP="00B3158B">
            <w:pPr>
              <w:rPr>
                <w:rFonts w:ascii="Arial" w:hAnsi="Arial" w:cs="Arial"/>
                <w:bCs/>
                <w:sz w:val="18"/>
                <w:szCs w:val="18"/>
              </w:rPr>
            </w:pPr>
            <w:proofErr w:type="spellStart"/>
            <w:r w:rsidRPr="009166E3">
              <w:rPr>
                <w:rFonts w:ascii="Arial" w:hAnsi="Arial" w:cs="Arial"/>
                <w:bCs/>
                <w:sz w:val="18"/>
                <w:szCs w:val="18"/>
              </w:rPr>
              <w:t>Aprepitant</w:t>
            </w:r>
            <w:proofErr w:type="spellEnd"/>
          </w:p>
        </w:tc>
        <w:tc>
          <w:tcPr>
            <w:tcW w:w="1420" w:type="dxa"/>
            <w:tcBorders>
              <w:top w:val="nil"/>
              <w:bottom w:val="nil"/>
            </w:tcBorders>
          </w:tcPr>
          <w:p w14:paraId="166C4AD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285</w:t>
            </w:r>
          </w:p>
        </w:tc>
        <w:tc>
          <w:tcPr>
            <w:tcW w:w="2125" w:type="dxa"/>
            <w:tcBorders>
              <w:top w:val="nil"/>
              <w:bottom w:val="nil"/>
            </w:tcBorders>
          </w:tcPr>
          <w:p w14:paraId="53806490"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7F9EBA35"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£53.70</w:t>
            </w:r>
          </w:p>
        </w:tc>
      </w:tr>
      <w:tr w:rsidR="002D40D1" w:rsidRPr="009166E3" w14:paraId="1BBF1DAF" w14:textId="77777777" w:rsidTr="00B3158B">
        <w:trPr>
          <w:trHeight w:val="165"/>
        </w:trPr>
        <w:tc>
          <w:tcPr>
            <w:tcW w:w="2948" w:type="dxa"/>
            <w:tcBorders>
              <w:top w:val="nil"/>
              <w:bottom w:val="nil"/>
            </w:tcBorders>
          </w:tcPr>
          <w:p w14:paraId="33C2F016"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Filgrastim</w:t>
            </w:r>
          </w:p>
        </w:tc>
        <w:tc>
          <w:tcPr>
            <w:tcW w:w="1420" w:type="dxa"/>
            <w:tcBorders>
              <w:top w:val="nil"/>
              <w:bottom w:val="nil"/>
            </w:tcBorders>
          </w:tcPr>
          <w:p w14:paraId="588148DE"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See below</w:t>
            </w:r>
            <w:r w:rsidRPr="009166E3">
              <w:rPr>
                <w:rFonts w:ascii="Arial" w:hAnsi="Arial" w:cs="Arial"/>
                <w:bCs/>
                <w:sz w:val="18"/>
                <w:szCs w:val="18"/>
                <w:vertAlign w:val="superscript"/>
              </w:rPr>
              <w:t>2</w:t>
            </w:r>
          </w:p>
        </w:tc>
        <w:tc>
          <w:tcPr>
            <w:tcW w:w="2125" w:type="dxa"/>
            <w:tcBorders>
              <w:top w:val="nil"/>
              <w:bottom w:val="nil"/>
            </w:tcBorders>
          </w:tcPr>
          <w:p w14:paraId="72D5546C"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6</w:t>
            </w:r>
          </w:p>
        </w:tc>
        <w:tc>
          <w:tcPr>
            <w:tcW w:w="2444" w:type="dxa"/>
            <w:tcBorders>
              <w:top w:val="nil"/>
              <w:bottom w:val="nil"/>
            </w:tcBorders>
          </w:tcPr>
          <w:p w14:paraId="7D14A306"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£2,206.30</w:t>
            </w:r>
          </w:p>
        </w:tc>
      </w:tr>
      <w:tr w:rsidR="002D40D1" w:rsidRPr="009166E3" w14:paraId="69B403B9" w14:textId="77777777" w:rsidTr="00B3158B">
        <w:trPr>
          <w:trHeight w:val="165"/>
        </w:trPr>
        <w:tc>
          <w:tcPr>
            <w:tcW w:w="2948" w:type="dxa"/>
            <w:tcBorders>
              <w:top w:val="nil"/>
              <w:bottom w:val="nil"/>
            </w:tcBorders>
          </w:tcPr>
          <w:p w14:paraId="0DE289D6" w14:textId="77777777" w:rsidR="002D40D1" w:rsidRPr="009166E3" w:rsidRDefault="002D40D1" w:rsidP="00B3158B">
            <w:pPr>
              <w:rPr>
                <w:rFonts w:ascii="Arial" w:hAnsi="Arial" w:cs="Arial"/>
                <w:b/>
                <w:sz w:val="18"/>
                <w:szCs w:val="18"/>
              </w:rPr>
            </w:pPr>
            <w:r w:rsidRPr="009166E3">
              <w:rPr>
                <w:rFonts w:ascii="Arial" w:hAnsi="Arial" w:cs="Arial"/>
                <w:b/>
                <w:sz w:val="18"/>
                <w:szCs w:val="18"/>
              </w:rPr>
              <w:t>Weekly P</w:t>
            </w:r>
          </w:p>
        </w:tc>
        <w:tc>
          <w:tcPr>
            <w:tcW w:w="1420" w:type="dxa"/>
            <w:tcBorders>
              <w:top w:val="nil"/>
              <w:bottom w:val="nil"/>
            </w:tcBorders>
          </w:tcPr>
          <w:p w14:paraId="46CE8041" w14:textId="77777777" w:rsidR="002D40D1" w:rsidRPr="009166E3" w:rsidRDefault="002D40D1" w:rsidP="00B3158B">
            <w:pPr>
              <w:jc w:val="right"/>
              <w:rPr>
                <w:rFonts w:ascii="Arial" w:hAnsi="Arial" w:cs="Arial"/>
                <w:bCs/>
                <w:sz w:val="18"/>
                <w:szCs w:val="18"/>
              </w:rPr>
            </w:pPr>
          </w:p>
        </w:tc>
        <w:tc>
          <w:tcPr>
            <w:tcW w:w="2125" w:type="dxa"/>
            <w:tcBorders>
              <w:top w:val="nil"/>
              <w:bottom w:val="nil"/>
            </w:tcBorders>
          </w:tcPr>
          <w:p w14:paraId="7B1B0936" w14:textId="77777777" w:rsidR="002D40D1" w:rsidRPr="009166E3" w:rsidRDefault="002D40D1" w:rsidP="00B3158B">
            <w:pPr>
              <w:jc w:val="right"/>
              <w:rPr>
                <w:rFonts w:ascii="Arial" w:hAnsi="Arial" w:cs="Arial"/>
                <w:bCs/>
                <w:sz w:val="18"/>
                <w:szCs w:val="18"/>
              </w:rPr>
            </w:pPr>
          </w:p>
        </w:tc>
        <w:tc>
          <w:tcPr>
            <w:tcW w:w="2444" w:type="dxa"/>
            <w:tcBorders>
              <w:top w:val="nil"/>
              <w:bottom w:val="nil"/>
            </w:tcBorders>
          </w:tcPr>
          <w:p w14:paraId="573D6762" w14:textId="77777777" w:rsidR="002D40D1" w:rsidRPr="009166E3" w:rsidRDefault="002D40D1" w:rsidP="00B3158B">
            <w:pPr>
              <w:jc w:val="right"/>
              <w:rPr>
                <w:rFonts w:ascii="Arial" w:hAnsi="Arial" w:cs="Arial"/>
                <w:bCs/>
                <w:sz w:val="18"/>
                <w:szCs w:val="18"/>
              </w:rPr>
            </w:pPr>
          </w:p>
        </w:tc>
      </w:tr>
      <w:tr w:rsidR="002D40D1" w:rsidRPr="009166E3" w14:paraId="67C38E88" w14:textId="77777777" w:rsidTr="00B3158B">
        <w:trPr>
          <w:trHeight w:val="165"/>
        </w:trPr>
        <w:tc>
          <w:tcPr>
            <w:tcW w:w="2948" w:type="dxa"/>
            <w:tcBorders>
              <w:top w:val="nil"/>
              <w:bottom w:val="nil"/>
            </w:tcBorders>
          </w:tcPr>
          <w:p w14:paraId="39FFCA57" w14:textId="77777777" w:rsidR="002D40D1" w:rsidRPr="009166E3" w:rsidRDefault="002D40D1" w:rsidP="00B3158B">
            <w:pPr>
              <w:rPr>
                <w:rFonts w:ascii="Arial" w:hAnsi="Arial" w:cs="Arial"/>
                <w:bCs/>
                <w:sz w:val="18"/>
                <w:szCs w:val="18"/>
              </w:rPr>
            </w:pPr>
            <w:r w:rsidRPr="009166E3">
              <w:rPr>
                <w:rFonts w:ascii="Arial" w:hAnsi="Arial" w:cs="Arial"/>
                <w:bCs/>
                <w:sz w:val="18"/>
                <w:szCs w:val="18"/>
              </w:rPr>
              <w:t>Paclitaxel 80mg/m</w:t>
            </w:r>
            <w:r w:rsidRPr="009166E3">
              <w:rPr>
                <w:rFonts w:ascii="Arial" w:hAnsi="Arial" w:cs="Arial"/>
                <w:bCs/>
                <w:sz w:val="18"/>
                <w:szCs w:val="18"/>
                <w:vertAlign w:val="superscript"/>
              </w:rPr>
              <w:t>2</w:t>
            </w:r>
          </w:p>
        </w:tc>
        <w:tc>
          <w:tcPr>
            <w:tcW w:w="1420" w:type="dxa"/>
            <w:tcBorders>
              <w:top w:val="nil"/>
              <w:bottom w:val="nil"/>
            </w:tcBorders>
          </w:tcPr>
          <w:p w14:paraId="2502484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140</w:t>
            </w:r>
          </w:p>
        </w:tc>
        <w:tc>
          <w:tcPr>
            <w:tcW w:w="2125" w:type="dxa"/>
            <w:tcBorders>
              <w:top w:val="nil"/>
              <w:bottom w:val="nil"/>
            </w:tcBorders>
          </w:tcPr>
          <w:p w14:paraId="639C332B"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12</w:t>
            </w:r>
          </w:p>
        </w:tc>
        <w:tc>
          <w:tcPr>
            <w:tcW w:w="2444" w:type="dxa"/>
            <w:tcBorders>
              <w:top w:val="nil"/>
              <w:bottom w:val="nil"/>
            </w:tcBorders>
          </w:tcPr>
          <w:p w14:paraId="7A63F539" w14:textId="77777777" w:rsidR="002D40D1" w:rsidRPr="009166E3" w:rsidRDefault="002D40D1" w:rsidP="00B3158B">
            <w:pPr>
              <w:jc w:val="right"/>
              <w:rPr>
                <w:rFonts w:ascii="Arial" w:hAnsi="Arial" w:cs="Arial"/>
                <w:bCs/>
                <w:sz w:val="18"/>
                <w:szCs w:val="18"/>
              </w:rPr>
            </w:pPr>
            <w:r w:rsidRPr="009166E3">
              <w:rPr>
                <w:rFonts w:ascii="Arial" w:hAnsi="Arial" w:cs="Arial"/>
                <w:bCs/>
                <w:sz w:val="18"/>
                <w:szCs w:val="18"/>
              </w:rPr>
              <w:t>£121.80</w:t>
            </w:r>
          </w:p>
        </w:tc>
      </w:tr>
      <w:tr w:rsidR="002D40D1" w:rsidRPr="009166E3" w14:paraId="3CBE6C2D" w14:textId="77777777" w:rsidTr="00B3158B">
        <w:trPr>
          <w:trHeight w:val="173"/>
        </w:trPr>
        <w:tc>
          <w:tcPr>
            <w:tcW w:w="8937" w:type="dxa"/>
            <w:gridSpan w:val="4"/>
            <w:tcBorders>
              <w:top w:val="single" w:sz="4" w:space="0" w:color="auto"/>
              <w:bottom w:val="nil"/>
            </w:tcBorders>
          </w:tcPr>
          <w:p w14:paraId="543FD6F0" w14:textId="750121A6" w:rsidR="002D40D1" w:rsidRPr="009166E3" w:rsidRDefault="002D40D1" w:rsidP="00B3158B">
            <w:pPr>
              <w:rPr>
                <w:rFonts w:ascii="Arial" w:hAnsi="Arial" w:cs="Arial"/>
                <w:bCs/>
                <w:sz w:val="16"/>
                <w:szCs w:val="16"/>
              </w:rPr>
            </w:pPr>
            <w:r w:rsidRPr="009166E3">
              <w:rPr>
                <w:rFonts w:ascii="Arial" w:hAnsi="Arial" w:cs="Arial"/>
                <w:bCs/>
                <w:sz w:val="16"/>
                <w:szCs w:val="16"/>
              </w:rPr>
              <w:t>FEC75</w:t>
            </w:r>
            <w:r w:rsidR="00A867DA">
              <w:rPr>
                <w:rFonts w:ascii="Arial" w:hAnsi="Arial" w:cs="Arial"/>
                <w:bCs/>
                <w:sz w:val="16"/>
                <w:szCs w:val="16"/>
              </w:rPr>
              <w:t>:</w:t>
            </w:r>
            <w:r w:rsidRPr="009166E3">
              <w:rPr>
                <w:rFonts w:ascii="Arial" w:hAnsi="Arial" w:cs="Arial"/>
                <w:bCs/>
                <w:sz w:val="16"/>
                <w:szCs w:val="16"/>
              </w:rPr>
              <w:t xml:space="preserve"> fluorouracil 600mg/m</w:t>
            </w:r>
            <w:r w:rsidRPr="009166E3">
              <w:rPr>
                <w:rFonts w:ascii="Arial" w:hAnsi="Arial" w:cs="Arial"/>
                <w:bCs/>
                <w:sz w:val="16"/>
                <w:szCs w:val="16"/>
                <w:vertAlign w:val="superscript"/>
              </w:rPr>
              <w:t>2</w:t>
            </w:r>
            <w:r w:rsidRPr="009166E3">
              <w:rPr>
                <w:rFonts w:ascii="Arial" w:hAnsi="Arial" w:cs="Arial"/>
                <w:bCs/>
                <w:sz w:val="16"/>
                <w:szCs w:val="16"/>
              </w:rPr>
              <w:t xml:space="preserve">, </w:t>
            </w:r>
            <w:proofErr w:type="spellStart"/>
            <w:r w:rsidRPr="009166E3">
              <w:rPr>
                <w:rFonts w:ascii="Arial" w:hAnsi="Arial" w:cs="Arial"/>
                <w:bCs/>
                <w:sz w:val="16"/>
                <w:szCs w:val="16"/>
              </w:rPr>
              <w:t>epirubicin</w:t>
            </w:r>
            <w:proofErr w:type="spellEnd"/>
            <w:r w:rsidRPr="009166E3">
              <w:rPr>
                <w:rFonts w:ascii="Arial" w:hAnsi="Arial" w:cs="Arial"/>
                <w:bCs/>
                <w:sz w:val="16"/>
                <w:szCs w:val="16"/>
              </w:rPr>
              <w:t xml:space="preserve"> 75mg/m</w:t>
            </w:r>
            <w:r w:rsidRPr="009166E3">
              <w:rPr>
                <w:rFonts w:ascii="Arial" w:hAnsi="Arial" w:cs="Arial"/>
                <w:bCs/>
                <w:sz w:val="16"/>
                <w:szCs w:val="16"/>
                <w:vertAlign w:val="superscript"/>
              </w:rPr>
              <w:t>2</w:t>
            </w:r>
            <w:r w:rsidRPr="009166E3">
              <w:rPr>
                <w:rFonts w:ascii="Arial" w:hAnsi="Arial" w:cs="Arial"/>
                <w:bCs/>
                <w:sz w:val="16"/>
                <w:szCs w:val="16"/>
              </w:rPr>
              <w:t>, cyclophosphamide 600mg/m; FEC-T</w:t>
            </w:r>
            <w:r w:rsidR="00A867DA">
              <w:rPr>
                <w:rFonts w:ascii="Arial" w:hAnsi="Arial" w:cs="Arial"/>
                <w:bCs/>
                <w:sz w:val="16"/>
                <w:szCs w:val="16"/>
              </w:rPr>
              <w:t>:</w:t>
            </w:r>
            <w:r w:rsidRPr="009166E3">
              <w:rPr>
                <w:rFonts w:ascii="Arial" w:hAnsi="Arial" w:cs="Arial"/>
                <w:bCs/>
                <w:sz w:val="16"/>
                <w:szCs w:val="16"/>
              </w:rPr>
              <w:t xml:space="preserve"> fluorouracil 500mg/m</w:t>
            </w:r>
            <w:r w:rsidRPr="009166E3">
              <w:rPr>
                <w:rFonts w:ascii="Arial" w:hAnsi="Arial" w:cs="Arial"/>
                <w:bCs/>
                <w:sz w:val="16"/>
                <w:szCs w:val="16"/>
                <w:vertAlign w:val="superscript"/>
              </w:rPr>
              <w:t>2</w:t>
            </w:r>
            <w:r w:rsidRPr="009166E3">
              <w:rPr>
                <w:rFonts w:ascii="Arial" w:hAnsi="Arial" w:cs="Arial"/>
                <w:bCs/>
                <w:sz w:val="16"/>
                <w:szCs w:val="16"/>
              </w:rPr>
              <w:t xml:space="preserve">, </w:t>
            </w:r>
            <w:proofErr w:type="spellStart"/>
            <w:r w:rsidRPr="009166E3">
              <w:rPr>
                <w:rFonts w:ascii="Arial" w:hAnsi="Arial" w:cs="Arial"/>
                <w:bCs/>
                <w:sz w:val="16"/>
                <w:szCs w:val="16"/>
              </w:rPr>
              <w:t>epirubicin</w:t>
            </w:r>
            <w:proofErr w:type="spellEnd"/>
            <w:r w:rsidRPr="009166E3">
              <w:rPr>
                <w:rFonts w:ascii="Arial" w:hAnsi="Arial" w:cs="Arial"/>
                <w:bCs/>
                <w:sz w:val="16"/>
                <w:szCs w:val="16"/>
              </w:rPr>
              <w:t xml:space="preserve"> 100mg/m</w:t>
            </w:r>
            <w:r w:rsidRPr="009166E3">
              <w:rPr>
                <w:rFonts w:ascii="Arial" w:hAnsi="Arial" w:cs="Arial"/>
                <w:bCs/>
                <w:sz w:val="16"/>
                <w:szCs w:val="16"/>
                <w:vertAlign w:val="superscript"/>
              </w:rPr>
              <w:t>2</w:t>
            </w:r>
            <w:r w:rsidRPr="009166E3">
              <w:rPr>
                <w:rFonts w:ascii="Arial" w:hAnsi="Arial" w:cs="Arial"/>
                <w:bCs/>
                <w:sz w:val="16"/>
                <w:szCs w:val="16"/>
              </w:rPr>
              <w:t>, cyclophosphamide 500mg/m</w:t>
            </w:r>
            <w:r w:rsidRPr="009166E3">
              <w:rPr>
                <w:rFonts w:ascii="Arial" w:hAnsi="Arial" w:cs="Arial"/>
                <w:bCs/>
                <w:sz w:val="16"/>
                <w:szCs w:val="16"/>
                <w:vertAlign w:val="superscript"/>
              </w:rPr>
              <w:t>2</w:t>
            </w:r>
            <w:r w:rsidRPr="009166E3">
              <w:rPr>
                <w:rFonts w:ascii="Arial" w:hAnsi="Arial" w:cs="Arial"/>
                <w:bCs/>
                <w:sz w:val="16"/>
                <w:szCs w:val="16"/>
              </w:rPr>
              <w:t>, docetaxel 100mg/m</w:t>
            </w:r>
            <w:r w:rsidRPr="009166E3">
              <w:rPr>
                <w:rFonts w:ascii="Arial" w:hAnsi="Arial" w:cs="Arial"/>
                <w:bCs/>
                <w:sz w:val="16"/>
                <w:szCs w:val="16"/>
                <w:vertAlign w:val="superscript"/>
              </w:rPr>
              <w:t>2</w:t>
            </w:r>
            <w:r w:rsidRPr="009166E3">
              <w:rPr>
                <w:rFonts w:ascii="Arial" w:hAnsi="Arial" w:cs="Arial"/>
                <w:bCs/>
                <w:sz w:val="16"/>
                <w:szCs w:val="16"/>
              </w:rPr>
              <w:t>; TC</w:t>
            </w:r>
            <w:r w:rsidR="00A867DA">
              <w:rPr>
                <w:rFonts w:ascii="Arial" w:hAnsi="Arial" w:cs="Arial"/>
                <w:bCs/>
                <w:sz w:val="16"/>
                <w:szCs w:val="16"/>
              </w:rPr>
              <w:t>:</w:t>
            </w:r>
            <w:r w:rsidRPr="009166E3">
              <w:rPr>
                <w:rFonts w:ascii="Arial" w:hAnsi="Arial" w:cs="Arial"/>
                <w:bCs/>
                <w:sz w:val="16"/>
                <w:szCs w:val="16"/>
              </w:rPr>
              <w:t xml:space="preserve"> cyclophosphamide 600mg/m</w:t>
            </w:r>
            <w:r w:rsidRPr="009166E3">
              <w:rPr>
                <w:rFonts w:ascii="Arial" w:hAnsi="Arial" w:cs="Arial"/>
                <w:bCs/>
                <w:sz w:val="16"/>
                <w:szCs w:val="16"/>
                <w:vertAlign w:val="superscript"/>
              </w:rPr>
              <w:t>2</w:t>
            </w:r>
            <w:r w:rsidRPr="009166E3">
              <w:rPr>
                <w:rFonts w:ascii="Arial" w:hAnsi="Arial" w:cs="Arial"/>
                <w:bCs/>
                <w:sz w:val="16"/>
                <w:szCs w:val="16"/>
              </w:rPr>
              <w:t>, docetaxel 75mg/m</w:t>
            </w:r>
            <w:r w:rsidRPr="009166E3">
              <w:rPr>
                <w:rFonts w:ascii="Arial" w:hAnsi="Arial" w:cs="Arial"/>
                <w:bCs/>
                <w:sz w:val="16"/>
                <w:szCs w:val="16"/>
                <w:vertAlign w:val="superscript"/>
              </w:rPr>
              <w:t>2</w:t>
            </w:r>
            <w:r w:rsidRPr="009166E3">
              <w:rPr>
                <w:rFonts w:ascii="Arial" w:hAnsi="Arial" w:cs="Arial"/>
                <w:bCs/>
                <w:sz w:val="16"/>
                <w:szCs w:val="16"/>
              </w:rPr>
              <w:t>; EC90/T75</w:t>
            </w:r>
            <w:r w:rsidR="00A867DA">
              <w:rPr>
                <w:rFonts w:ascii="Arial" w:hAnsi="Arial" w:cs="Arial"/>
                <w:bCs/>
                <w:sz w:val="16"/>
                <w:szCs w:val="16"/>
              </w:rPr>
              <w:t>:</w:t>
            </w:r>
            <w:r w:rsidRPr="009166E3">
              <w:rPr>
                <w:rFonts w:ascii="Arial" w:hAnsi="Arial" w:cs="Arial"/>
                <w:bCs/>
                <w:sz w:val="16"/>
                <w:szCs w:val="16"/>
              </w:rPr>
              <w:t xml:space="preserve"> </w:t>
            </w:r>
            <w:proofErr w:type="spellStart"/>
            <w:r w:rsidRPr="009166E3">
              <w:rPr>
                <w:rFonts w:ascii="Arial" w:hAnsi="Arial" w:cs="Arial"/>
                <w:bCs/>
                <w:sz w:val="16"/>
                <w:szCs w:val="16"/>
              </w:rPr>
              <w:t>epirubicin</w:t>
            </w:r>
            <w:proofErr w:type="spellEnd"/>
            <w:r w:rsidRPr="009166E3">
              <w:rPr>
                <w:rFonts w:ascii="Arial" w:hAnsi="Arial" w:cs="Arial"/>
                <w:bCs/>
                <w:sz w:val="16"/>
                <w:szCs w:val="16"/>
              </w:rPr>
              <w:t xml:space="preserve"> 90mg/m</w:t>
            </w:r>
            <w:r w:rsidRPr="009166E3">
              <w:rPr>
                <w:rFonts w:ascii="Arial" w:hAnsi="Arial" w:cs="Arial"/>
                <w:bCs/>
                <w:sz w:val="16"/>
                <w:szCs w:val="16"/>
                <w:vertAlign w:val="superscript"/>
              </w:rPr>
              <w:t>2</w:t>
            </w:r>
            <w:r w:rsidRPr="009166E3">
              <w:rPr>
                <w:rFonts w:ascii="Arial" w:hAnsi="Arial" w:cs="Arial"/>
                <w:bCs/>
                <w:sz w:val="16"/>
                <w:szCs w:val="16"/>
              </w:rPr>
              <w:t>, cyclophosphamide 600mg/m</w:t>
            </w:r>
            <w:r w:rsidRPr="009166E3">
              <w:rPr>
                <w:rFonts w:ascii="Arial" w:hAnsi="Arial" w:cs="Arial"/>
                <w:bCs/>
                <w:sz w:val="16"/>
                <w:szCs w:val="16"/>
                <w:vertAlign w:val="superscript"/>
              </w:rPr>
              <w:t>2</w:t>
            </w:r>
            <w:r w:rsidRPr="009166E3">
              <w:rPr>
                <w:rFonts w:ascii="Arial" w:hAnsi="Arial" w:cs="Arial"/>
                <w:bCs/>
                <w:sz w:val="16"/>
                <w:szCs w:val="16"/>
              </w:rPr>
              <w:t>, docetaxel 75mg/m</w:t>
            </w:r>
            <w:r w:rsidRPr="009166E3">
              <w:rPr>
                <w:rFonts w:ascii="Arial" w:hAnsi="Arial" w:cs="Arial"/>
                <w:bCs/>
                <w:sz w:val="16"/>
                <w:szCs w:val="16"/>
                <w:vertAlign w:val="superscript"/>
              </w:rPr>
              <w:t>2</w:t>
            </w:r>
            <w:r w:rsidRPr="009166E3">
              <w:rPr>
                <w:rFonts w:ascii="Arial" w:hAnsi="Arial" w:cs="Arial"/>
                <w:bCs/>
                <w:sz w:val="16"/>
                <w:szCs w:val="16"/>
              </w:rPr>
              <w:t>; EC</w:t>
            </w:r>
            <w:r w:rsidR="00A867DA">
              <w:rPr>
                <w:rFonts w:ascii="Arial" w:hAnsi="Arial" w:cs="Arial"/>
                <w:bCs/>
                <w:sz w:val="16"/>
                <w:szCs w:val="16"/>
              </w:rPr>
              <w:t>:</w:t>
            </w:r>
            <w:r w:rsidRPr="009166E3">
              <w:rPr>
                <w:rFonts w:ascii="Arial" w:hAnsi="Arial" w:cs="Arial"/>
                <w:bCs/>
                <w:sz w:val="16"/>
                <w:szCs w:val="16"/>
              </w:rPr>
              <w:t xml:space="preserve"> </w:t>
            </w:r>
            <w:proofErr w:type="spellStart"/>
            <w:r w:rsidRPr="009166E3">
              <w:rPr>
                <w:rFonts w:ascii="Arial" w:hAnsi="Arial" w:cs="Arial"/>
                <w:bCs/>
                <w:sz w:val="16"/>
                <w:szCs w:val="16"/>
              </w:rPr>
              <w:t>epirubicin</w:t>
            </w:r>
            <w:proofErr w:type="spellEnd"/>
            <w:r w:rsidRPr="009166E3">
              <w:rPr>
                <w:rFonts w:ascii="Arial" w:hAnsi="Arial" w:cs="Arial"/>
                <w:bCs/>
                <w:sz w:val="16"/>
                <w:szCs w:val="16"/>
              </w:rPr>
              <w:t xml:space="preserve"> 90 mg/m², cyclophosphamide 600mg/m²; Accelerated P</w:t>
            </w:r>
            <w:r w:rsidR="00A867DA">
              <w:rPr>
                <w:rFonts w:ascii="Arial" w:hAnsi="Arial" w:cs="Arial"/>
                <w:bCs/>
                <w:sz w:val="16"/>
                <w:szCs w:val="16"/>
              </w:rPr>
              <w:t>:</w:t>
            </w:r>
            <w:r w:rsidRPr="009166E3">
              <w:rPr>
                <w:rFonts w:ascii="Arial" w:hAnsi="Arial" w:cs="Arial"/>
                <w:bCs/>
                <w:sz w:val="16"/>
                <w:szCs w:val="16"/>
              </w:rPr>
              <w:t xml:space="preserve"> paclitaxel 175mg/m²; Weekly P</w:t>
            </w:r>
            <w:r w:rsidR="00A867DA">
              <w:rPr>
                <w:rFonts w:ascii="Arial" w:hAnsi="Arial" w:cs="Arial"/>
                <w:bCs/>
                <w:sz w:val="16"/>
                <w:szCs w:val="16"/>
              </w:rPr>
              <w:t>:</w:t>
            </w:r>
            <w:r w:rsidRPr="009166E3">
              <w:rPr>
                <w:rFonts w:ascii="Arial" w:hAnsi="Arial" w:cs="Arial"/>
                <w:bCs/>
                <w:sz w:val="16"/>
                <w:szCs w:val="16"/>
              </w:rPr>
              <w:t xml:space="preserve"> paclitaxel 80mg/m²</w:t>
            </w:r>
          </w:p>
          <w:p w14:paraId="3025A5BB" w14:textId="77777777" w:rsidR="002D40D1" w:rsidRPr="009166E3" w:rsidRDefault="002D40D1" w:rsidP="00B3158B">
            <w:pPr>
              <w:rPr>
                <w:rFonts w:ascii="Arial" w:hAnsi="Arial" w:cs="Arial"/>
                <w:bCs/>
                <w:sz w:val="16"/>
                <w:szCs w:val="16"/>
              </w:rPr>
            </w:pPr>
            <w:r w:rsidRPr="009166E3">
              <w:rPr>
                <w:rFonts w:ascii="Arial" w:hAnsi="Arial" w:cs="Arial"/>
                <w:bCs/>
                <w:sz w:val="16"/>
                <w:szCs w:val="16"/>
              </w:rPr>
              <w:t>* Assuming no vial sharing</w:t>
            </w:r>
          </w:p>
          <w:p w14:paraId="2F53CA08" w14:textId="77777777" w:rsidR="002D40D1" w:rsidRPr="009166E3" w:rsidRDefault="002D40D1" w:rsidP="00B3158B">
            <w:pPr>
              <w:tabs>
                <w:tab w:val="left" w:pos="204"/>
              </w:tabs>
              <w:rPr>
                <w:rFonts w:ascii="Arial" w:hAnsi="Arial" w:cs="Arial"/>
                <w:bCs/>
                <w:sz w:val="16"/>
                <w:szCs w:val="16"/>
              </w:rPr>
            </w:pPr>
            <w:r w:rsidRPr="009166E3">
              <w:rPr>
                <w:rFonts w:ascii="Arial" w:hAnsi="Arial" w:cs="Arial"/>
                <w:bCs/>
                <w:sz w:val="16"/>
                <w:szCs w:val="16"/>
                <w:vertAlign w:val="superscript"/>
              </w:rPr>
              <w:t>1</w:t>
            </w:r>
            <w:r w:rsidRPr="009166E3">
              <w:rPr>
                <w:rFonts w:ascii="Arial" w:hAnsi="Arial" w:cs="Arial"/>
                <w:bCs/>
                <w:sz w:val="16"/>
                <w:szCs w:val="16"/>
              </w:rPr>
              <w:t xml:space="preserve"> </w:t>
            </w:r>
            <w:proofErr w:type="spellStart"/>
            <w:r w:rsidRPr="009166E3">
              <w:rPr>
                <w:rFonts w:ascii="Arial" w:hAnsi="Arial" w:cs="Arial"/>
                <w:bCs/>
                <w:sz w:val="16"/>
                <w:szCs w:val="16"/>
              </w:rPr>
              <w:t>Aprepitant</w:t>
            </w:r>
            <w:proofErr w:type="spellEnd"/>
            <w:r w:rsidRPr="009166E3">
              <w:rPr>
                <w:rFonts w:ascii="Arial" w:hAnsi="Arial" w:cs="Arial"/>
                <w:bCs/>
                <w:sz w:val="16"/>
                <w:szCs w:val="16"/>
              </w:rPr>
              <w:t xml:space="preserve"> used in 20% of anthracycline or </w:t>
            </w:r>
            <w:proofErr w:type="spellStart"/>
            <w:r w:rsidRPr="009166E3">
              <w:rPr>
                <w:rFonts w:ascii="Arial" w:hAnsi="Arial" w:cs="Arial"/>
                <w:bCs/>
                <w:sz w:val="16"/>
                <w:szCs w:val="16"/>
              </w:rPr>
              <w:t>taxane</w:t>
            </w:r>
            <w:proofErr w:type="spellEnd"/>
            <w:r w:rsidRPr="009166E3">
              <w:rPr>
                <w:rFonts w:ascii="Arial" w:hAnsi="Arial" w:cs="Arial"/>
                <w:bCs/>
                <w:sz w:val="16"/>
                <w:szCs w:val="16"/>
              </w:rPr>
              <w:t xml:space="preserve"> cycles; filgrastim 5 units per cycle used in 20% of anthracycline cycles, all </w:t>
            </w:r>
            <w:proofErr w:type="spellStart"/>
            <w:r w:rsidRPr="009166E3">
              <w:rPr>
                <w:rFonts w:ascii="Arial" w:hAnsi="Arial" w:cs="Arial"/>
                <w:bCs/>
                <w:sz w:val="16"/>
                <w:szCs w:val="16"/>
              </w:rPr>
              <w:t>taxane</w:t>
            </w:r>
            <w:proofErr w:type="spellEnd"/>
            <w:r w:rsidRPr="009166E3">
              <w:rPr>
                <w:rFonts w:ascii="Arial" w:hAnsi="Arial" w:cs="Arial"/>
                <w:bCs/>
                <w:sz w:val="16"/>
                <w:szCs w:val="16"/>
              </w:rPr>
              <w:t xml:space="preserve"> cycles and all accelerated EC/P cycles</w:t>
            </w:r>
          </w:p>
          <w:p w14:paraId="3C7A593E" w14:textId="77777777" w:rsidR="002D40D1" w:rsidRPr="009166E3" w:rsidRDefault="002D40D1" w:rsidP="00B3158B">
            <w:pPr>
              <w:tabs>
                <w:tab w:val="left" w:pos="204"/>
              </w:tabs>
              <w:rPr>
                <w:rFonts w:ascii="Arial" w:hAnsi="Arial" w:cs="Arial"/>
                <w:bCs/>
                <w:sz w:val="16"/>
                <w:szCs w:val="16"/>
              </w:rPr>
            </w:pPr>
            <w:r w:rsidRPr="009166E3">
              <w:rPr>
                <w:rFonts w:ascii="Arial" w:hAnsi="Arial" w:cs="Arial"/>
                <w:bCs/>
                <w:sz w:val="16"/>
                <w:szCs w:val="16"/>
                <w:vertAlign w:val="superscript"/>
              </w:rPr>
              <w:t>2</w:t>
            </w:r>
            <w:r w:rsidRPr="009166E3">
              <w:rPr>
                <w:rFonts w:ascii="Arial" w:hAnsi="Arial" w:cs="Arial"/>
                <w:bCs/>
                <w:sz w:val="16"/>
                <w:szCs w:val="16"/>
              </w:rPr>
              <w:t xml:space="preserve"> Dosage based on weight distribution reported by </w:t>
            </w:r>
            <w:proofErr w:type="spellStart"/>
            <w:r w:rsidRPr="009166E3">
              <w:rPr>
                <w:rFonts w:ascii="Arial" w:hAnsi="Arial" w:cs="Arial"/>
                <w:bCs/>
                <w:sz w:val="16"/>
                <w:szCs w:val="16"/>
              </w:rPr>
              <w:t>Dr.</w:t>
            </w:r>
            <w:proofErr w:type="spellEnd"/>
            <w:r w:rsidRPr="009166E3">
              <w:rPr>
                <w:rFonts w:ascii="Arial" w:hAnsi="Arial" w:cs="Arial"/>
                <w:bCs/>
                <w:sz w:val="16"/>
                <w:szCs w:val="16"/>
              </w:rPr>
              <w:t xml:space="preserve"> Peter Hall, Edinburgh Cancer Centre (personal communication): 19% require 5x30 MIU (1.5mg) dose, 81% require 5x48 (2.4mg) MIU dose</w:t>
            </w:r>
          </w:p>
        </w:tc>
      </w:tr>
    </w:tbl>
    <w:p w14:paraId="5E389D8D" w14:textId="77777777" w:rsidR="002D40D1" w:rsidRPr="009166E3" w:rsidRDefault="002D40D1" w:rsidP="002D40D1">
      <w:pPr>
        <w:pStyle w:val="BodyText"/>
        <w:spacing w:after="0" w:line="360" w:lineRule="auto"/>
        <w:jc w:val="both"/>
        <w:rPr>
          <w:rFonts w:ascii="Arial" w:hAnsi="Arial" w:cs="Arial"/>
          <w:b/>
          <w:bCs/>
        </w:rPr>
      </w:pPr>
    </w:p>
    <w:p w14:paraId="1B6530D9" w14:textId="77777777" w:rsidR="004B5EAA" w:rsidRDefault="004B5EAA">
      <w:pPr>
        <w:rPr>
          <w:rFonts w:ascii="Arial" w:hAnsi="Arial" w:cs="Arial"/>
          <w:b/>
          <w:bCs/>
        </w:rPr>
      </w:pPr>
      <w:r>
        <w:rPr>
          <w:rFonts w:ascii="Arial" w:hAnsi="Arial" w:cs="Arial"/>
          <w:b/>
          <w:bCs/>
        </w:rPr>
        <w:br w:type="page"/>
      </w:r>
    </w:p>
    <w:p w14:paraId="33F5B323" w14:textId="2E480143" w:rsidR="002D40D1" w:rsidRPr="009166E3" w:rsidRDefault="002D40D1" w:rsidP="002D40D1">
      <w:pPr>
        <w:pStyle w:val="BodyText"/>
        <w:spacing w:after="0" w:line="360" w:lineRule="auto"/>
        <w:jc w:val="both"/>
        <w:rPr>
          <w:rFonts w:ascii="Arial" w:hAnsi="Arial" w:cs="Arial"/>
          <w:bCs/>
        </w:rPr>
      </w:pPr>
      <w:r w:rsidRPr="009166E3">
        <w:rPr>
          <w:rFonts w:ascii="Arial" w:hAnsi="Arial" w:cs="Arial"/>
          <w:b/>
          <w:bCs/>
        </w:rPr>
        <w:lastRenderedPageBreak/>
        <w:t xml:space="preserve">Table </w:t>
      </w:r>
      <w:r w:rsidR="00CE30A9" w:rsidRPr="009166E3">
        <w:rPr>
          <w:rFonts w:ascii="Arial" w:hAnsi="Arial" w:cs="Arial"/>
          <w:b/>
          <w:bCs/>
        </w:rPr>
        <w:t>S</w:t>
      </w:r>
      <w:r w:rsidR="00CE30A9">
        <w:rPr>
          <w:rFonts w:ascii="Arial" w:hAnsi="Arial" w:cs="Arial"/>
          <w:b/>
          <w:bCs/>
        </w:rPr>
        <w:t>6</w:t>
      </w:r>
      <w:r w:rsidRPr="009166E3">
        <w:rPr>
          <w:rFonts w:ascii="Arial" w:hAnsi="Arial" w:cs="Arial"/>
          <w:b/>
          <w:bCs/>
        </w:rPr>
        <w:t xml:space="preserve">. </w:t>
      </w:r>
      <w:r w:rsidR="00CE5D73" w:rsidRPr="009166E3">
        <w:rPr>
          <w:rFonts w:ascii="Arial" w:hAnsi="Arial" w:cs="Arial"/>
          <w:bCs/>
        </w:rPr>
        <w:t>Drug unit costs</w:t>
      </w:r>
    </w:p>
    <w:tbl>
      <w:tblPr>
        <w:tblStyle w:val="PlainTable2"/>
        <w:tblW w:w="5225" w:type="pct"/>
        <w:tblLayout w:type="fixed"/>
        <w:tblLook w:val="0420" w:firstRow="1" w:lastRow="0" w:firstColumn="0" w:lastColumn="0" w:noHBand="0" w:noVBand="1"/>
      </w:tblPr>
      <w:tblGrid>
        <w:gridCol w:w="5103"/>
        <w:gridCol w:w="2411"/>
        <w:gridCol w:w="1918"/>
      </w:tblGrid>
      <w:tr w:rsidR="005A3383" w:rsidRPr="009166E3" w14:paraId="35B9735D" w14:textId="77777777" w:rsidTr="00B3158B">
        <w:trPr>
          <w:cnfStyle w:val="100000000000" w:firstRow="1" w:lastRow="0" w:firstColumn="0" w:lastColumn="0" w:oddVBand="0" w:evenVBand="0" w:oddHBand="0" w:evenHBand="0" w:firstRowFirstColumn="0" w:firstRowLastColumn="0" w:lastRowFirstColumn="0" w:lastRowLastColumn="0"/>
          <w:trHeight w:val="62"/>
        </w:trPr>
        <w:tc>
          <w:tcPr>
            <w:tcW w:w="2705" w:type="pct"/>
          </w:tcPr>
          <w:p w14:paraId="2755DF1F" w14:textId="77777777" w:rsidR="005A3383" w:rsidRPr="009166E3" w:rsidRDefault="005A3383" w:rsidP="00B3158B">
            <w:pPr>
              <w:spacing w:line="276" w:lineRule="auto"/>
              <w:ind w:left="-141" w:right="11"/>
              <w:jc w:val="center"/>
              <w:rPr>
                <w:rFonts w:ascii="Arial" w:eastAsia="Times New Roman" w:hAnsi="Arial" w:cs="Arial"/>
                <w:b w:val="0"/>
                <w:sz w:val="18"/>
                <w:szCs w:val="18"/>
                <w:lang w:eastAsia="en-GB"/>
              </w:rPr>
            </w:pPr>
            <w:r w:rsidRPr="009166E3">
              <w:rPr>
                <w:rFonts w:ascii="Arial" w:eastAsia="Times New Roman" w:hAnsi="Arial" w:cs="Arial"/>
                <w:b w:val="0"/>
                <w:sz w:val="18"/>
                <w:szCs w:val="18"/>
                <w:lang w:eastAsia="en-GB"/>
              </w:rPr>
              <w:t>Drug costs</w:t>
            </w:r>
          </w:p>
        </w:tc>
        <w:tc>
          <w:tcPr>
            <w:tcW w:w="1278" w:type="pct"/>
          </w:tcPr>
          <w:p w14:paraId="245D5FC9" w14:textId="77777777" w:rsidR="005A3383" w:rsidRPr="009166E3" w:rsidRDefault="005A3383" w:rsidP="00B3158B">
            <w:pPr>
              <w:spacing w:line="276" w:lineRule="auto"/>
              <w:ind w:right="180"/>
              <w:jc w:val="right"/>
              <w:rPr>
                <w:rFonts w:ascii="Arial" w:eastAsia="Times New Roman" w:hAnsi="Arial" w:cs="Arial"/>
                <w:b w:val="0"/>
                <w:sz w:val="18"/>
                <w:szCs w:val="18"/>
                <w:lang w:eastAsia="en-GB"/>
              </w:rPr>
            </w:pPr>
            <w:r w:rsidRPr="009166E3">
              <w:rPr>
                <w:rFonts w:ascii="Arial" w:eastAsia="Times New Roman" w:hAnsi="Arial" w:cs="Arial"/>
                <w:b w:val="0"/>
                <w:sz w:val="18"/>
                <w:szCs w:val="18"/>
                <w:lang w:eastAsia="en-GB"/>
              </w:rPr>
              <w:t>Cost per vial/pack</w:t>
            </w:r>
          </w:p>
        </w:tc>
        <w:tc>
          <w:tcPr>
            <w:tcW w:w="1017" w:type="pct"/>
          </w:tcPr>
          <w:p w14:paraId="2D306C5A" w14:textId="77777777" w:rsidR="005A3383" w:rsidRPr="009166E3" w:rsidRDefault="005A3383" w:rsidP="00B3158B">
            <w:pPr>
              <w:spacing w:line="276" w:lineRule="auto"/>
              <w:ind w:left="190" w:right="180"/>
              <w:jc w:val="center"/>
              <w:rPr>
                <w:rFonts w:ascii="Arial" w:eastAsia="Times New Roman" w:hAnsi="Arial" w:cs="Arial"/>
                <w:b w:val="0"/>
                <w:sz w:val="18"/>
                <w:szCs w:val="18"/>
                <w:lang w:eastAsia="en-GB"/>
              </w:rPr>
            </w:pPr>
            <w:r w:rsidRPr="009166E3">
              <w:rPr>
                <w:rFonts w:ascii="Arial" w:eastAsia="Times New Roman" w:hAnsi="Arial" w:cs="Arial"/>
                <w:b w:val="0"/>
                <w:sz w:val="18"/>
                <w:szCs w:val="18"/>
                <w:lang w:eastAsia="en-GB"/>
              </w:rPr>
              <w:t>Source</w:t>
            </w:r>
          </w:p>
        </w:tc>
      </w:tr>
      <w:tr w:rsidR="005A3383" w:rsidRPr="009166E3" w14:paraId="4F0C160B"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268B993E"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Fluorouracil 500mg/10ml</w:t>
            </w:r>
          </w:p>
        </w:tc>
        <w:tc>
          <w:tcPr>
            <w:tcW w:w="1278" w:type="pct"/>
          </w:tcPr>
          <w:p w14:paraId="5482ACEC"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£2.86</w:t>
            </w:r>
          </w:p>
        </w:tc>
        <w:tc>
          <w:tcPr>
            <w:tcW w:w="1017" w:type="pct"/>
            <w:vMerge w:val="restart"/>
          </w:tcPr>
          <w:p w14:paraId="3430CBED" w14:textId="77777777" w:rsidR="005A3383" w:rsidRPr="009166E3" w:rsidRDefault="005A3383" w:rsidP="00B3158B">
            <w:pPr>
              <w:spacing w:line="276" w:lineRule="auto"/>
              <w:ind w:left="190" w:right="180"/>
              <w:rPr>
                <w:rFonts w:ascii="Arial" w:eastAsia="Times New Roman" w:hAnsi="Arial" w:cs="Arial"/>
                <w:bCs/>
                <w:sz w:val="18"/>
                <w:szCs w:val="18"/>
                <w:vertAlign w:val="superscript"/>
                <w:lang w:eastAsia="en-GB"/>
              </w:rPr>
            </w:pPr>
            <w:r w:rsidRPr="009166E3">
              <w:rPr>
                <w:rFonts w:ascii="Arial" w:eastAsia="Times New Roman" w:hAnsi="Arial" w:cs="Arial"/>
                <w:bCs/>
                <w:sz w:val="18"/>
                <w:szCs w:val="18"/>
                <w:lang w:eastAsia="en-GB"/>
              </w:rPr>
              <w:t>eMIT</w:t>
            </w:r>
            <w:r w:rsidRPr="009166E3">
              <w:rPr>
                <w:rFonts w:ascii="Arial" w:eastAsia="Times New Roman" w:hAnsi="Arial" w:cs="Arial"/>
                <w:bCs/>
                <w:sz w:val="18"/>
                <w:szCs w:val="18"/>
                <w:vertAlign w:val="superscript"/>
                <w:lang w:eastAsia="en-GB"/>
              </w:rPr>
              <w:t>1</w:t>
            </w:r>
          </w:p>
        </w:tc>
      </w:tr>
      <w:tr w:rsidR="005A3383" w:rsidRPr="009166E3" w14:paraId="3D0F18B0" w14:textId="77777777" w:rsidTr="00B3158B">
        <w:trPr>
          <w:trHeight w:val="62"/>
        </w:trPr>
        <w:tc>
          <w:tcPr>
            <w:tcW w:w="2705" w:type="pct"/>
          </w:tcPr>
          <w:p w14:paraId="1DB680C2" w14:textId="77777777" w:rsidR="005A3383" w:rsidRPr="009166E3" w:rsidRDefault="005A3383"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Epirubicin</w:t>
            </w:r>
            <w:proofErr w:type="spellEnd"/>
            <w:r w:rsidRPr="009166E3">
              <w:rPr>
                <w:rFonts w:ascii="Arial" w:eastAsia="Times New Roman" w:hAnsi="Arial" w:cs="Arial"/>
                <w:bCs/>
                <w:sz w:val="18"/>
                <w:szCs w:val="18"/>
                <w:lang w:eastAsia="en-GB"/>
              </w:rPr>
              <w:t xml:space="preserve"> 50mg/25ml</w:t>
            </w:r>
          </w:p>
        </w:tc>
        <w:tc>
          <w:tcPr>
            <w:tcW w:w="1278" w:type="pct"/>
          </w:tcPr>
          <w:p w14:paraId="7D76675E"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£23.23</w:t>
            </w:r>
          </w:p>
        </w:tc>
        <w:tc>
          <w:tcPr>
            <w:tcW w:w="1017" w:type="pct"/>
            <w:vMerge/>
          </w:tcPr>
          <w:p w14:paraId="426879A2"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3B20E1F6"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0732F3CE"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Cyclophosphamide 1g</w:t>
            </w:r>
          </w:p>
        </w:tc>
        <w:tc>
          <w:tcPr>
            <w:tcW w:w="1278" w:type="pct"/>
          </w:tcPr>
          <w:p w14:paraId="48BFCD79"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£13.55</w:t>
            </w:r>
          </w:p>
        </w:tc>
        <w:tc>
          <w:tcPr>
            <w:tcW w:w="1017" w:type="pct"/>
            <w:vMerge/>
          </w:tcPr>
          <w:p w14:paraId="013A782C"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3EFCB1BE" w14:textId="77777777" w:rsidTr="00B3158B">
        <w:trPr>
          <w:trHeight w:val="62"/>
        </w:trPr>
        <w:tc>
          <w:tcPr>
            <w:tcW w:w="2705" w:type="pct"/>
          </w:tcPr>
          <w:p w14:paraId="77897A20"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Cyclophosphamide 500mg</w:t>
            </w:r>
          </w:p>
        </w:tc>
        <w:tc>
          <w:tcPr>
            <w:tcW w:w="1278" w:type="pct"/>
          </w:tcPr>
          <w:p w14:paraId="701F082C"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£8.23</w:t>
            </w:r>
          </w:p>
        </w:tc>
        <w:tc>
          <w:tcPr>
            <w:tcW w:w="1017" w:type="pct"/>
            <w:vMerge/>
          </w:tcPr>
          <w:p w14:paraId="71896536"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7E8FB26F"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7F3B99DD"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Docetaxel 160mg/8ml</w:t>
            </w:r>
          </w:p>
        </w:tc>
        <w:tc>
          <w:tcPr>
            <w:tcW w:w="1278" w:type="pct"/>
          </w:tcPr>
          <w:p w14:paraId="2C8ABD4E"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£17.38</w:t>
            </w:r>
          </w:p>
        </w:tc>
        <w:tc>
          <w:tcPr>
            <w:tcW w:w="1017" w:type="pct"/>
            <w:vMerge/>
          </w:tcPr>
          <w:p w14:paraId="618D234A"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0DD66365" w14:textId="77777777" w:rsidTr="00B3158B">
        <w:trPr>
          <w:trHeight w:val="62"/>
        </w:trPr>
        <w:tc>
          <w:tcPr>
            <w:tcW w:w="2705" w:type="pct"/>
          </w:tcPr>
          <w:p w14:paraId="69BD4362"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Docetaxel 20mg/1ml</w:t>
            </w:r>
          </w:p>
        </w:tc>
        <w:tc>
          <w:tcPr>
            <w:tcW w:w="1278" w:type="pct"/>
          </w:tcPr>
          <w:p w14:paraId="1CCEF892"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£3.56</w:t>
            </w:r>
          </w:p>
        </w:tc>
        <w:tc>
          <w:tcPr>
            <w:tcW w:w="1017" w:type="pct"/>
            <w:vMerge/>
          </w:tcPr>
          <w:p w14:paraId="4B22B714"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093454E4"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74AFC718"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Paclitaxel 150mg/25ml</w:t>
            </w:r>
          </w:p>
        </w:tc>
        <w:tc>
          <w:tcPr>
            <w:tcW w:w="1278" w:type="pct"/>
          </w:tcPr>
          <w:p w14:paraId="1675E6C5"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£10.15</w:t>
            </w:r>
          </w:p>
        </w:tc>
        <w:tc>
          <w:tcPr>
            <w:tcW w:w="1017" w:type="pct"/>
            <w:vMerge/>
          </w:tcPr>
          <w:p w14:paraId="4422E191"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2D9CD325" w14:textId="77777777" w:rsidTr="00B3158B">
        <w:trPr>
          <w:trHeight w:val="62"/>
        </w:trPr>
        <w:tc>
          <w:tcPr>
            <w:tcW w:w="2705" w:type="pct"/>
          </w:tcPr>
          <w:p w14:paraId="37A960CE"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Capecitabine 300mg</w:t>
            </w:r>
          </w:p>
        </w:tc>
        <w:tc>
          <w:tcPr>
            <w:tcW w:w="1278" w:type="pct"/>
          </w:tcPr>
          <w:p w14:paraId="77F39E97"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£7.77</w:t>
            </w:r>
          </w:p>
        </w:tc>
        <w:tc>
          <w:tcPr>
            <w:tcW w:w="1017" w:type="pct"/>
            <w:vMerge/>
          </w:tcPr>
          <w:p w14:paraId="58180C4D"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7E958494"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745CFEDE"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Capecitabine 500mg</w:t>
            </w:r>
          </w:p>
        </w:tc>
        <w:tc>
          <w:tcPr>
            <w:tcW w:w="1278" w:type="pct"/>
          </w:tcPr>
          <w:p w14:paraId="2EAA6EFB"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£26.30</w:t>
            </w:r>
          </w:p>
        </w:tc>
        <w:tc>
          <w:tcPr>
            <w:tcW w:w="1017" w:type="pct"/>
            <w:vMerge/>
          </w:tcPr>
          <w:p w14:paraId="5B704F0D"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03132AE1" w14:textId="77777777" w:rsidTr="00B3158B">
        <w:trPr>
          <w:trHeight w:val="62"/>
        </w:trPr>
        <w:tc>
          <w:tcPr>
            <w:tcW w:w="2705" w:type="pct"/>
          </w:tcPr>
          <w:p w14:paraId="490C2052"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Pegylated liposomal doxorubicin 50mg/25ml infusion vials</w:t>
            </w:r>
          </w:p>
        </w:tc>
        <w:tc>
          <w:tcPr>
            <w:tcW w:w="1278" w:type="pct"/>
          </w:tcPr>
          <w:p w14:paraId="7140BBAF"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£360.23</w:t>
            </w:r>
          </w:p>
        </w:tc>
        <w:tc>
          <w:tcPr>
            <w:tcW w:w="1017" w:type="pct"/>
            <w:vMerge w:val="restart"/>
          </w:tcPr>
          <w:p w14:paraId="5B6D16DE" w14:textId="77777777" w:rsidR="005A3383" w:rsidRPr="009166E3" w:rsidRDefault="005A3383" w:rsidP="00B3158B">
            <w:pPr>
              <w:spacing w:line="276" w:lineRule="auto"/>
              <w:ind w:left="190" w:right="180"/>
              <w:rPr>
                <w:rFonts w:ascii="Arial" w:eastAsia="Times New Roman" w:hAnsi="Arial" w:cs="Arial"/>
                <w:bCs/>
                <w:sz w:val="18"/>
                <w:szCs w:val="18"/>
                <w:vertAlign w:val="superscript"/>
                <w:lang w:eastAsia="en-GB"/>
              </w:rPr>
            </w:pPr>
            <w:r w:rsidRPr="009166E3">
              <w:rPr>
                <w:rFonts w:ascii="Arial" w:eastAsia="Times New Roman" w:hAnsi="Arial" w:cs="Arial"/>
                <w:bCs/>
                <w:sz w:val="18"/>
                <w:szCs w:val="18"/>
                <w:lang w:eastAsia="en-GB"/>
              </w:rPr>
              <w:t>BNF</w:t>
            </w:r>
            <w:r w:rsidRPr="009166E3">
              <w:rPr>
                <w:rFonts w:ascii="Arial" w:eastAsia="Times New Roman" w:hAnsi="Arial" w:cs="Arial"/>
                <w:bCs/>
                <w:sz w:val="18"/>
                <w:szCs w:val="18"/>
                <w:vertAlign w:val="superscript"/>
                <w:lang w:eastAsia="en-GB"/>
              </w:rPr>
              <w:t>2</w:t>
            </w:r>
          </w:p>
        </w:tc>
      </w:tr>
      <w:tr w:rsidR="005A3383" w:rsidRPr="009166E3" w14:paraId="5598DAE4"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1160A041" w14:textId="77777777" w:rsidR="005A3383" w:rsidRPr="009166E3" w:rsidRDefault="005A3383"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Eribulin</w:t>
            </w:r>
            <w:proofErr w:type="spellEnd"/>
            <w:r w:rsidRPr="009166E3">
              <w:rPr>
                <w:rFonts w:ascii="Arial" w:eastAsia="Times New Roman" w:hAnsi="Arial" w:cs="Arial"/>
                <w:bCs/>
                <w:sz w:val="18"/>
                <w:szCs w:val="18"/>
                <w:lang w:eastAsia="en-GB"/>
              </w:rPr>
              <w:t xml:space="preserve"> 0.88mg/2ml solution for injection vials</w:t>
            </w:r>
          </w:p>
        </w:tc>
        <w:tc>
          <w:tcPr>
            <w:tcW w:w="1278" w:type="pct"/>
          </w:tcPr>
          <w:p w14:paraId="42F09F07"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£361.00</w:t>
            </w:r>
          </w:p>
        </w:tc>
        <w:tc>
          <w:tcPr>
            <w:tcW w:w="1017" w:type="pct"/>
            <w:vMerge/>
          </w:tcPr>
          <w:p w14:paraId="2411AFFA"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1FDCBC80" w14:textId="77777777" w:rsidTr="00B3158B">
        <w:trPr>
          <w:trHeight w:val="62"/>
        </w:trPr>
        <w:tc>
          <w:tcPr>
            <w:tcW w:w="2705" w:type="pct"/>
          </w:tcPr>
          <w:p w14:paraId="64124B32"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Tamoxifen 20mg</w:t>
            </w:r>
          </w:p>
        </w:tc>
        <w:tc>
          <w:tcPr>
            <w:tcW w:w="1278" w:type="pct"/>
          </w:tcPr>
          <w:p w14:paraId="2CDBAC5C"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£4.20</w:t>
            </w:r>
          </w:p>
        </w:tc>
        <w:tc>
          <w:tcPr>
            <w:tcW w:w="1017" w:type="pct"/>
            <w:vMerge w:val="restart"/>
          </w:tcPr>
          <w:p w14:paraId="02700E2E"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eMIT</w:t>
            </w:r>
            <w:proofErr w:type="spellEnd"/>
          </w:p>
        </w:tc>
      </w:tr>
      <w:tr w:rsidR="005A3383" w:rsidRPr="009166E3" w14:paraId="7C085FBD"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72384068"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Anastrozole 1mg</w:t>
            </w:r>
          </w:p>
        </w:tc>
        <w:tc>
          <w:tcPr>
            <w:tcW w:w="1278" w:type="pct"/>
          </w:tcPr>
          <w:p w14:paraId="730BD8AE"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£0.98</w:t>
            </w:r>
          </w:p>
        </w:tc>
        <w:tc>
          <w:tcPr>
            <w:tcW w:w="1017" w:type="pct"/>
            <w:vMerge/>
          </w:tcPr>
          <w:p w14:paraId="288471A4"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7C42A178" w14:textId="77777777" w:rsidTr="00B3158B">
        <w:trPr>
          <w:trHeight w:val="62"/>
        </w:trPr>
        <w:tc>
          <w:tcPr>
            <w:tcW w:w="2705" w:type="pct"/>
          </w:tcPr>
          <w:p w14:paraId="684DDA95"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Letrozole 2.5mg</w:t>
            </w:r>
          </w:p>
        </w:tc>
        <w:tc>
          <w:tcPr>
            <w:tcW w:w="1278" w:type="pct"/>
          </w:tcPr>
          <w:p w14:paraId="0DC768F6"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£1.63</w:t>
            </w:r>
          </w:p>
        </w:tc>
        <w:tc>
          <w:tcPr>
            <w:tcW w:w="1017" w:type="pct"/>
            <w:vMerge/>
          </w:tcPr>
          <w:p w14:paraId="36126F3F"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2FD6FA26"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233973C7"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Exemestane 25mg</w:t>
            </w:r>
          </w:p>
        </w:tc>
        <w:tc>
          <w:tcPr>
            <w:tcW w:w="1278" w:type="pct"/>
          </w:tcPr>
          <w:p w14:paraId="6E1B6472"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£4.76</w:t>
            </w:r>
          </w:p>
        </w:tc>
        <w:tc>
          <w:tcPr>
            <w:tcW w:w="1017" w:type="pct"/>
            <w:vMerge/>
          </w:tcPr>
          <w:p w14:paraId="2BE94A5F"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74157707" w14:textId="77777777" w:rsidTr="00B3158B">
        <w:trPr>
          <w:trHeight w:val="62"/>
        </w:trPr>
        <w:tc>
          <w:tcPr>
            <w:tcW w:w="2705" w:type="pct"/>
          </w:tcPr>
          <w:p w14:paraId="65476343" w14:textId="77777777" w:rsidR="005A3383" w:rsidRPr="009166E3" w:rsidRDefault="005A3383"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Fulvestrant</w:t>
            </w:r>
            <w:proofErr w:type="spellEnd"/>
            <w:r w:rsidRPr="009166E3">
              <w:rPr>
                <w:rFonts w:ascii="Arial" w:eastAsia="Times New Roman" w:hAnsi="Arial" w:cs="Arial"/>
                <w:bCs/>
                <w:sz w:val="18"/>
                <w:szCs w:val="18"/>
                <w:lang w:eastAsia="en-GB"/>
              </w:rPr>
              <w:t xml:space="preserve"> 250mg/5ml solution for injection</w:t>
            </w:r>
          </w:p>
        </w:tc>
        <w:tc>
          <w:tcPr>
            <w:tcW w:w="1278" w:type="pct"/>
          </w:tcPr>
          <w:p w14:paraId="7EB7EAE9"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£522.41</w:t>
            </w:r>
          </w:p>
        </w:tc>
        <w:tc>
          <w:tcPr>
            <w:tcW w:w="1017" w:type="pct"/>
            <w:vMerge w:val="restart"/>
          </w:tcPr>
          <w:p w14:paraId="70BBEA39"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BNF</w:t>
            </w:r>
          </w:p>
        </w:tc>
      </w:tr>
      <w:tr w:rsidR="005A3383" w:rsidRPr="009166E3" w14:paraId="5D5E0A23"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76843E27" w14:textId="77777777" w:rsidR="005A3383" w:rsidRPr="009166E3" w:rsidRDefault="005A3383"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Everolimus</w:t>
            </w:r>
            <w:proofErr w:type="spellEnd"/>
            <w:r w:rsidRPr="009166E3">
              <w:rPr>
                <w:rFonts w:ascii="Arial" w:eastAsia="Times New Roman" w:hAnsi="Arial" w:cs="Arial"/>
                <w:bCs/>
                <w:sz w:val="18"/>
                <w:szCs w:val="18"/>
                <w:lang w:eastAsia="en-GB"/>
              </w:rPr>
              <w:t xml:space="preserve"> with </w:t>
            </w:r>
            <w:proofErr w:type="spellStart"/>
            <w:r w:rsidRPr="009166E3">
              <w:rPr>
                <w:rFonts w:ascii="Arial" w:eastAsia="Times New Roman" w:hAnsi="Arial" w:cs="Arial"/>
                <w:bCs/>
                <w:sz w:val="18"/>
                <w:szCs w:val="18"/>
                <w:lang w:eastAsia="en-GB"/>
              </w:rPr>
              <w:t>examestane</w:t>
            </w:r>
            <w:proofErr w:type="spellEnd"/>
            <w:r w:rsidRPr="009166E3">
              <w:rPr>
                <w:rFonts w:ascii="Arial" w:eastAsia="Times New Roman" w:hAnsi="Arial" w:cs="Arial"/>
                <w:bCs/>
                <w:sz w:val="18"/>
                <w:szCs w:val="18"/>
                <w:lang w:eastAsia="en-GB"/>
              </w:rPr>
              <w:t xml:space="preserve"> 5mg tablets</w:t>
            </w:r>
          </w:p>
        </w:tc>
        <w:tc>
          <w:tcPr>
            <w:tcW w:w="1278" w:type="pct"/>
          </w:tcPr>
          <w:p w14:paraId="4A514CB0"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£2,200.00</w:t>
            </w:r>
          </w:p>
        </w:tc>
        <w:tc>
          <w:tcPr>
            <w:tcW w:w="1017" w:type="pct"/>
            <w:vMerge/>
          </w:tcPr>
          <w:p w14:paraId="2BF7D2C8"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17128DFB" w14:textId="77777777" w:rsidTr="00B3158B">
        <w:trPr>
          <w:trHeight w:val="62"/>
        </w:trPr>
        <w:tc>
          <w:tcPr>
            <w:tcW w:w="2705" w:type="pct"/>
          </w:tcPr>
          <w:p w14:paraId="7BB7C57D" w14:textId="77777777" w:rsidR="005A3383" w:rsidRPr="009166E3" w:rsidRDefault="005A3383"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Everolimus</w:t>
            </w:r>
            <w:proofErr w:type="spellEnd"/>
            <w:r w:rsidRPr="009166E3">
              <w:rPr>
                <w:rFonts w:ascii="Arial" w:eastAsia="Times New Roman" w:hAnsi="Arial" w:cs="Arial"/>
                <w:bCs/>
                <w:sz w:val="18"/>
                <w:szCs w:val="18"/>
                <w:lang w:eastAsia="en-GB"/>
              </w:rPr>
              <w:t xml:space="preserve"> with </w:t>
            </w:r>
            <w:proofErr w:type="spellStart"/>
            <w:r w:rsidRPr="009166E3">
              <w:rPr>
                <w:rFonts w:ascii="Arial" w:eastAsia="Times New Roman" w:hAnsi="Arial" w:cs="Arial"/>
                <w:bCs/>
                <w:sz w:val="18"/>
                <w:szCs w:val="18"/>
                <w:lang w:eastAsia="en-GB"/>
              </w:rPr>
              <w:t>examestane</w:t>
            </w:r>
            <w:proofErr w:type="spellEnd"/>
            <w:r w:rsidRPr="009166E3">
              <w:rPr>
                <w:rFonts w:ascii="Arial" w:eastAsia="Times New Roman" w:hAnsi="Arial" w:cs="Arial"/>
                <w:bCs/>
                <w:sz w:val="18"/>
                <w:szCs w:val="18"/>
                <w:lang w:eastAsia="en-GB"/>
              </w:rPr>
              <w:t xml:space="preserve"> 10mg tablets</w:t>
            </w:r>
          </w:p>
        </w:tc>
        <w:tc>
          <w:tcPr>
            <w:tcW w:w="1278" w:type="pct"/>
          </w:tcPr>
          <w:p w14:paraId="54205860"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£2,673.00</w:t>
            </w:r>
          </w:p>
        </w:tc>
        <w:tc>
          <w:tcPr>
            <w:tcW w:w="1017" w:type="pct"/>
            <w:vMerge/>
          </w:tcPr>
          <w:p w14:paraId="77EB4066"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0D1D8C50"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3DDD92A7" w14:textId="77777777" w:rsidR="005A3383" w:rsidRPr="009166E3" w:rsidRDefault="005A3383"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Abemaciclib</w:t>
            </w:r>
            <w:proofErr w:type="spellEnd"/>
            <w:r w:rsidRPr="009166E3">
              <w:rPr>
                <w:rFonts w:ascii="Arial" w:eastAsia="Times New Roman" w:hAnsi="Arial" w:cs="Arial"/>
                <w:bCs/>
                <w:sz w:val="18"/>
                <w:szCs w:val="18"/>
                <w:lang w:eastAsia="en-GB"/>
              </w:rPr>
              <w:t xml:space="preserve"> 150mg capsule</w:t>
            </w:r>
          </w:p>
        </w:tc>
        <w:tc>
          <w:tcPr>
            <w:tcW w:w="1278" w:type="pct"/>
          </w:tcPr>
          <w:p w14:paraId="784FDA8B"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£1,475.00</w:t>
            </w:r>
          </w:p>
        </w:tc>
        <w:tc>
          <w:tcPr>
            <w:tcW w:w="1017" w:type="pct"/>
            <w:vMerge/>
          </w:tcPr>
          <w:p w14:paraId="2A800A72"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66118569" w14:textId="77777777" w:rsidTr="00B3158B">
        <w:trPr>
          <w:trHeight w:val="62"/>
        </w:trPr>
        <w:tc>
          <w:tcPr>
            <w:tcW w:w="2705" w:type="pct"/>
          </w:tcPr>
          <w:p w14:paraId="419C84D2"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Palbociclib 125mg capsule</w:t>
            </w:r>
          </w:p>
        </w:tc>
        <w:tc>
          <w:tcPr>
            <w:tcW w:w="1278" w:type="pct"/>
          </w:tcPr>
          <w:p w14:paraId="2CA04920"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£2,950.00</w:t>
            </w:r>
          </w:p>
        </w:tc>
        <w:tc>
          <w:tcPr>
            <w:tcW w:w="1017" w:type="pct"/>
            <w:vMerge/>
          </w:tcPr>
          <w:p w14:paraId="1C222C7D"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36D7B7A6"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4937EA5B" w14:textId="77777777" w:rsidR="005A3383" w:rsidRPr="009166E3" w:rsidRDefault="005A3383"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Ribociclib</w:t>
            </w:r>
            <w:proofErr w:type="spellEnd"/>
            <w:r w:rsidRPr="009166E3">
              <w:rPr>
                <w:rFonts w:ascii="Arial" w:eastAsia="Times New Roman" w:hAnsi="Arial" w:cs="Arial"/>
                <w:bCs/>
                <w:sz w:val="18"/>
                <w:szCs w:val="18"/>
                <w:lang w:eastAsia="en-GB"/>
              </w:rPr>
              <w:t xml:space="preserve"> 200mg tablet</w:t>
            </w:r>
          </w:p>
        </w:tc>
        <w:tc>
          <w:tcPr>
            <w:tcW w:w="1278" w:type="pct"/>
          </w:tcPr>
          <w:p w14:paraId="01267D67"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£983.33</w:t>
            </w:r>
          </w:p>
        </w:tc>
        <w:tc>
          <w:tcPr>
            <w:tcW w:w="1017" w:type="pct"/>
            <w:vMerge/>
          </w:tcPr>
          <w:p w14:paraId="3CA591D0"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202B38A5" w14:textId="77777777" w:rsidTr="00B3158B">
        <w:trPr>
          <w:trHeight w:val="62"/>
        </w:trPr>
        <w:tc>
          <w:tcPr>
            <w:tcW w:w="2705" w:type="pct"/>
          </w:tcPr>
          <w:p w14:paraId="0CAD2D81" w14:textId="77777777" w:rsidR="005A3383" w:rsidRPr="009166E3" w:rsidRDefault="005A3383" w:rsidP="00B3158B">
            <w:pPr>
              <w:spacing w:line="276" w:lineRule="auto"/>
              <w:ind w:right="11"/>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Aprepitant</w:t>
            </w:r>
            <w:proofErr w:type="spellEnd"/>
            <w:r w:rsidRPr="009166E3">
              <w:rPr>
                <w:rFonts w:ascii="Arial" w:eastAsia="Times New Roman" w:hAnsi="Arial" w:cs="Arial"/>
                <w:bCs/>
                <w:sz w:val="18"/>
                <w:szCs w:val="18"/>
                <w:lang w:eastAsia="en-GB"/>
              </w:rPr>
              <w:t xml:space="preserve"> pre-made pack</w:t>
            </w:r>
          </w:p>
        </w:tc>
        <w:tc>
          <w:tcPr>
            <w:tcW w:w="1278" w:type="pct"/>
          </w:tcPr>
          <w:p w14:paraId="6AB76B4D"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£8.95</w:t>
            </w:r>
          </w:p>
        </w:tc>
        <w:tc>
          <w:tcPr>
            <w:tcW w:w="1017" w:type="pct"/>
          </w:tcPr>
          <w:p w14:paraId="199C6714"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roofErr w:type="spellStart"/>
            <w:r w:rsidRPr="009166E3">
              <w:rPr>
                <w:rFonts w:ascii="Arial" w:eastAsia="Times New Roman" w:hAnsi="Arial" w:cs="Arial"/>
                <w:bCs/>
                <w:sz w:val="18"/>
                <w:szCs w:val="18"/>
                <w:lang w:eastAsia="en-GB"/>
              </w:rPr>
              <w:t>eMIT</w:t>
            </w:r>
            <w:proofErr w:type="spellEnd"/>
          </w:p>
        </w:tc>
      </w:tr>
      <w:tr w:rsidR="005A3383" w:rsidRPr="009166E3" w14:paraId="6ECD0E5B"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2705" w:type="pct"/>
          </w:tcPr>
          <w:p w14:paraId="3528C545"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Filgrastim 300mcg/0.5ml solution for injection pre-filled syringes</w:t>
            </w:r>
          </w:p>
        </w:tc>
        <w:tc>
          <w:tcPr>
            <w:tcW w:w="1278" w:type="pct"/>
          </w:tcPr>
          <w:p w14:paraId="7824ABCC"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£246.50</w:t>
            </w:r>
          </w:p>
        </w:tc>
        <w:tc>
          <w:tcPr>
            <w:tcW w:w="1017" w:type="pct"/>
            <w:vMerge w:val="restart"/>
          </w:tcPr>
          <w:p w14:paraId="31DFB91B"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r w:rsidRPr="009166E3">
              <w:rPr>
                <w:rFonts w:ascii="Arial" w:eastAsia="Times New Roman" w:hAnsi="Arial" w:cs="Arial"/>
                <w:bCs/>
                <w:sz w:val="18"/>
                <w:szCs w:val="18"/>
                <w:lang w:eastAsia="en-GB"/>
              </w:rPr>
              <w:t>BNF</w:t>
            </w:r>
          </w:p>
        </w:tc>
      </w:tr>
      <w:tr w:rsidR="005A3383" w:rsidRPr="009166E3" w14:paraId="70C2B57C" w14:textId="77777777" w:rsidTr="00B3158B">
        <w:trPr>
          <w:trHeight w:val="62"/>
        </w:trPr>
        <w:tc>
          <w:tcPr>
            <w:tcW w:w="2705" w:type="pct"/>
          </w:tcPr>
          <w:p w14:paraId="4BACB930" w14:textId="77777777" w:rsidR="005A3383" w:rsidRPr="009166E3" w:rsidRDefault="005A3383" w:rsidP="00B3158B">
            <w:pPr>
              <w:spacing w:line="276" w:lineRule="auto"/>
              <w:ind w:right="11"/>
              <w:rPr>
                <w:rFonts w:ascii="Arial" w:eastAsia="Times New Roman" w:hAnsi="Arial" w:cs="Arial"/>
                <w:bCs/>
                <w:sz w:val="18"/>
                <w:szCs w:val="18"/>
                <w:lang w:eastAsia="en-GB"/>
              </w:rPr>
            </w:pPr>
            <w:r w:rsidRPr="009166E3">
              <w:rPr>
                <w:rFonts w:ascii="Arial" w:eastAsia="Times New Roman" w:hAnsi="Arial" w:cs="Arial"/>
                <w:bCs/>
                <w:sz w:val="18"/>
                <w:szCs w:val="18"/>
                <w:lang w:eastAsia="en-GB"/>
              </w:rPr>
              <w:t>Filgrastim 480mcg/0.5ml solution for injection pre-filled syringes</w:t>
            </w:r>
          </w:p>
        </w:tc>
        <w:tc>
          <w:tcPr>
            <w:tcW w:w="1278" w:type="pct"/>
          </w:tcPr>
          <w:p w14:paraId="3C49314B" w14:textId="77777777" w:rsidR="005A3383" w:rsidRPr="009166E3" w:rsidRDefault="005A3383" w:rsidP="00B3158B">
            <w:pPr>
              <w:spacing w:line="276" w:lineRule="auto"/>
              <w:ind w:right="180"/>
              <w:jc w:val="right"/>
              <w:rPr>
                <w:rFonts w:ascii="Arial" w:eastAsia="Times New Roman" w:hAnsi="Arial" w:cs="Arial"/>
                <w:bCs/>
                <w:sz w:val="18"/>
                <w:szCs w:val="18"/>
                <w:lang w:eastAsia="en-GB"/>
              </w:rPr>
            </w:pPr>
            <w:r w:rsidRPr="009166E3">
              <w:rPr>
                <w:rFonts w:ascii="Arial" w:eastAsia="Times New Roman" w:hAnsi="Arial" w:cs="Arial"/>
                <w:bCs/>
                <w:sz w:val="18"/>
                <w:szCs w:val="18"/>
                <w:lang w:eastAsia="en-GB"/>
              </w:rPr>
              <w:t>£395.25</w:t>
            </w:r>
          </w:p>
        </w:tc>
        <w:tc>
          <w:tcPr>
            <w:tcW w:w="1017" w:type="pct"/>
            <w:vMerge/>
          </w:tcPr>
          <w:p w14:paraId="5EF4CF54" w14:textId="77777777" w:rsidR="005A3383" w:rsidRPr="009166E3" w:rsidRDefault="005A3383" w:rsidP="00B3158B">
            <w:pPr>
              <w:spacing w:line="276" w:lineRule="auto"/>
              <w:ind w:left="190" w:right="180"/>
              <w:rPr>
                <w:rFonts w:ascii="Arial" w:eastAsia="Times New Roman" w:hAnsi="Arial" w:cs="Arial"/>
                <w:bCs/>
                <w:sz w:val="18"/>
                <w:szCs w:val="18"/>
                <w:lang w:eastAsia="en-GB"/>
              </w:rPr>
            </w:pPr>
          </w:p>
        </w:tc>
      </w:tr>
      <w:tr w:rsidR="005A3383" w:rsidRPr="009166E3" w14:paraId="1FBE5586" w14:textId="77777777" w:rsidTr="00B3158B">
        <w:trPr>
          <w:cnfStyle w:val="000000100000" w:firstRow="0" w:lastRow="0" w:firstColumn="0" w:lastColumn="0" w:oddVBand="0" w:evenVBand="0" w:oddHBand="1" w:evenHBand="0" w:firstRowFirstColumn="0" w:firstRowLastColumn="0" w:lastRowFirstColumn="0" w:lastRowLastColumn="0"/>
          <w:trHeight w:val="62"/>
        </w:trPr>
        <w:tc>
          <w:tcPr>
            <w:tcW w:w="5000" w:type="pct"/>
            <w:gridSpan w:val="3"/>
            <w:tcBorders>
              <w:bottom w:val="nil"/>
            </w:tcBorders>
          </w:tcPr>
          <w:p w14:paraId="78B94C6E" w14:textId="5BE5FF39" w:rsidR="005A3383" w:rsidRPr="009166E3" w:rsidRDefault="005A3383" w:rsidP="00B3158B">
            <w:pPr>
              <w:spacing w:line="276" w:lineRule="auto"/>
              <w:ind w:left="190" w:right="180"/>
              <w:rPr>
                <w:rFonts w:ascii="Arial" w:eastAsia="Times New Roman" w:hAnsi="Arial" w:cs="Arial"/>
                <w:bCs/>
                <w:sz w:val="16"/>
                <w:szCs w:val="16"/>
                <w:lang w:eastAsia="en-GB"/>
              </w:rPr>
            </w:pPr>
            <w:r w:rsidRPr="009166E3">
              <w:rPr>
                <w:rFonts w:ascii="Arial" w:eastAsia="Times New Roman" w:hAnsi="Arial" w:cs="Arial"/>
                <w:bCs/>
                <w:sz w:val="16"/>
                <w:szCs w:val="16"/>
                <w:vertAlign w:val="superscript"/>
                <w:lang w:eastAsia="en-GB"/>
              </w:rPr>
              <w:t>1</w:t>
            </w:r>
            <w:r w:rsidRPr="009166E3">
              <w:rPr>
                <w:rFonts w:ascii="Arial" w:eastAsia="Times New Roman" w:hAnsi="Arial" w:cs="Arial"/>
                <w:bCs/>
                <w:sz w:val="16"/>
                <w:szCs w:val="16"/>
                <w:lang w:eastAsia="en-GB"/>
              </w:rPr>
              <w:t xml:space="preserve"> Drugs and pharmaceutical electronic market information tool (</w:t>
            </w:r>
            <w:proofErr w:type="spellStart"/>
            <w:r w:rsidRPr="009166E3">
              <w:rPr>
                <w:rFonts w:ascii="Arial" w:eastAsia="Times New Roman" w:hAnsi="Arial" w:cs="Arial"/>
                <w:bCs/>
                <w:sz w:val="16"/>
                <w:szCs w:val="16"/>
                <w:lang w:eastAsia="en-GB"/>
              </w:rPr>
              <w:t>eMIT</w:t>
            </w:r>
            <w:proofErr w:type="spellEnd"/>
            <w:r w:rsidRPr="009166E3">
              <w:rPr>
                <w:rFonts w:ascii="Arial" w:eastAsia="Times New Roman" w:hAnsi="Arial" w:cs="Arial"/>
                <w:bCs/>
                <w:sz w:val="16"/>
                <w:szCs w:val="16"/>
                <w:lang w:eastAsia="en-GB"/>
              </w:rPr>
              <w:t xml:space="preserve">) </w:t>
            </w:r>
            <w:r w:rsidRPr="009166E3">
              <w:rPr>
                <w:rFonts w:ascii="Arial" w:eastAsia="Times New Roman" w:hAnsi="Arial" w:cs="Arial"/>
                <w:bCs/>
                <w:sz w:val="16"/>
                <w:szCs w:val="16"/>
                <w:lang w:eastAsia="en-GB"/>
              </w:rPr>
              <w:fldChar w:fldCharType="begin" w:fldLock="1"/>
            </w:r>
            <w:r w:rsidR="001759D7" w:rsidRPr="009166E3">
              <w:rPr>
                <w:rFonts w:ascii="Arial" w:eastAsia="Times New Roman" w:hAnsi="Arial" w:cs="Arial"/>
                <w:bCs/>
                <w:sz w:val="16"/>
                <w:szCs w:val="16"/>
                <w:lang w:eastAsia="en-GB"/>
              </w:rPr>
              <w:instrText>ADDIN CSL_CITATION {"citationItems":[{"id":"ITEM-1","itemData":{"URL":"https://www.gov.uk/government/publications/drugs-and-pharmaceutical-electronic-market-information-emit","accessed":{"date-parts":[["2022","1","7"]]},"author":[{"dropping-particle":"","family":"Department of Health and Social Care","given":"","non-dropping-particle":"","parse-names":false,"suffix":""}],"id":"ITEM-1","issued":{"date-parts":[["2021"]]},"title":"Drugs and pharmaceutical electronic market information tool (eMIT)","type":"webpage"},"uris":["http://www.mendeley.com/documents/?uuid=52e52628-dab5-4de6-8558-11f79777009d"]}],"mendeley":{"formattedCitation":"&lt;sup&gt;3&lt;/sup&gt;","plainTextFormattedCitation":"3","previouslyFormattedCitation":"&lt;sup&gt;36&lt;/sup&gt;"},"properties":{"noteIndex":0},"schema":"https://github.com/citation-style-language/schema/raw/master/csl-citation.json"}</w:instrText>
            </w:r>
            <w:r w:rsidRPr="009166E3">
              <w:rPr>
                <w:rFonts w:ascii="Arial" w:eastAsia="Times New Roman" w:hAnsi="Arial" w:cs="Arial"/>
                <w:bCs/>
                <w:sz w:val="16"/>
                <w:szCs w:val="16"/>
                <w:lang w:eastAsia="en-GB"/>
              </w:rPr>
              <w:fldChar w:fldCharType="separate"/>
            </w:r>
            <w:r w:rsidR="001759D7" w:rsidRPr="009166E3">
              <w:rPr>
                <w:rFonts w:ascii="Arial" w:eastAsia="Times New Roman" w:hAnsi="Arial" w:cs="Arial"/>
                <w:bCs/>
                <w:noProof/>
                <w:sz w:val="16"/>
                <w:szCs w:val="16"/>
                <w:vertAlign w:val="superscript"/>
                <w:lang w:eastAsia="en-GB"/>
              </w:rPr>
              <w:t>3</w:t>
            </w:r>
            <w:r w:rsidRPr="009166E3">
              <w:rPr>
                <w:rFonts w:ascii="Arial" w:eastAsia="Times New Roman" w:hAnsi="Arial" w:cs="Arial"/>
                <w:bCs/>
                <w:sz w:val="16"/>
                <w:szCs w:val="16"/>
                <w:lang w:eastAsia="en-GB"/>
              </w:rPr>
              <w:fldChar w:fldCharType="end"/>
            </w:r>
          </w:p>
          <w:p w14:paraId="77B617DC" w14:textId="1C5D0D71" w:rsidR="005A3383" w:rsidRPr="009166E3" w:rsidRDefault="005A3383" w:rsidP="00B3158B">
            <w:pPr>
              <w:spacing w:line="276" w:lineRule="auto"/>
              <w:ind w:left="190" w:right="180"/>
              <w:rPr>
                <w:rFonts w:ascii="Arial" w:eastAsia="Times New Roman" w:hAnsi="Arial" w:cs="Arial"/>
                <w:bCs/>
                <w:sz w:val="18"/>
                <w:szCs w:val="18"/>
                <w:lang w:eastAsia="en-GB"/>
              </w:rPr>
            </w:pPr>
            <w:r w:rsidRPr="009166E3">
              <w:rPr>
                <w:rFonts w:ascii="Arial" w:eastAsia="Times New Roman" w:hAnsi="Arial" w:cs="Arial"/>
                <w:bCs/>
                <w:sz w:val="16"/>
                <w:szCs w:val="16"/>
                <w:vertAlign w:val="superscript"/>
                <w:lang w:eastAsia="en-GB"/>
              </w:rPr>
              <w:t>2</w:t>
            </w:r>
            <w:r w:rsidRPr="009166E3">
              <w:rPr>
                <w:rFonts w:ascii="Arial" w:eastAsia="Times New Roman" w:hAnsi="Arial" w:cs="Arial"/>
                <w:bCs/>
                <w:sz w:val="16"/>
                <w:szCs w:val="16"/>
                <w:lang w:eastAsia="en-GB"/>
              </w:rPr>
              <w:t xml:space="preserve"> British National Formulary </w:t>
            </w:r>
            <w:r w:rsidRPr="009166E3">
              <w:rPr>
                <w:rFonts w:ascii="Arial" w:eastAsia="Times New Roman" w:hAnsi="Arial" w:cs="Arial"/>
                <w:bCs/>
                <w:sz w:val="16"/>
                <w:szCs w:val="16"/>
                <w:lang w:eastAsia="en-GB"/>
              </w:rPr>
              <w:fldChar w:fldCharType="begin" w:fldLock="1"/>
            </w:r>
            <w:r w:rsidR="001759D7" w:rsidRPr="009166E3">
              <w:rPr>
                <w:rFonts w:ascii="Arial" w:eastAsia="Times New Roman" w:hAnsi="Arial" w:cs="Arial"/>
                <w:bCs/>
                <w:sz w:val="16"/>
                <w:szCs w:val="16"/>
                <w:lang w:eastAsia="en-GB"/>
              </w:rPr>
              <w:instrText>ADDIN CSL_CITATION {"citationItems":[{"id":"ITEM-1","itemData":{"URL":"https://bnf.nice.org.uk/","accessed":{"date-parts":[["2022","1","7"]]},"author":[{"dropping-particle":"","family":"National Institute for Health and Care Excellence","given":"","non-dropping-particle":"","parse-names":false,"suffix":""}],"id":"ITEM-1","issued":{"date-parts":[["2020"]]},"title":"British National Formulary","type":"webpage"},"uris":["http://www.mendeley.com/documents/?uuid=2e4d699a-e717-43ff-817b-24ec2c6f13d4"]}],"mendeley":{"formattedCitation":"&lt;sup&gt;4&lt;/sup&gt;","plainTextFormattedCitation":"4","previouslyFormattedCitation":"&lt;sup&gt;37&lt;/sup&gt;"},"properties":{"noteIndex":0},"schema":"https://github.com/citation-style-language/schema/raw/master/csl-citation.json"}</w:instrText>
            </w:r>
            <w:r w:rsidRPr="009166E3">
              <w:rPr>
                <w:rFonts w:ascii="Arial" w:eastAsia="Times New Roman" w:hAnsi="Arial" w:cs="Arial"/>
                <w:bCs/>
                <w:sz w:val="16"/>
                <w:szCs w:val="16"/>
                <w:lang w:eastAsia="en-GB"/>
              </w:rPr>
              <w:fldChar w:fldCharType="separate"/>
            </w:r>
            <w:r w:rsidR="001759D7" w:rsidRPr="009166E3">
              <w:rPr>
                <w:rFonts w:ascii="Arial" w:eastAsia="Times New Roman" w:hAnsi="Arial" w:cs="Arial"/>
                <w:bCs/>
                <w:noProof/>
                <w:sz w:val="16"/>
                <w:szCs w:val="16"/>
                <w:vertAlign w:val="superscript"/>
                <w:lang w:eastAsia="en-GB"/>
              </w:rPr>
              <w:t>4</w:t>
            </w:r>
            <w:r w:rsidRPr="009166E3">
              <w:rPr>
                <w:rFonts w:ascii="Arial" w:eastAsia="Times New Roman" w:hAnsi="Arial" w:cs="Arial"/>
                <w:bCs/>
                <w:sz w:val="16"/>
                <w:szCs w:val="16"/>
                <w:lang w:eastAsia="en-GB"/>
              </w:rPr>
              <w:fldChar w:fldCharType="end"/>
            </w:r>
          </w:p>
        </w:tc>
      </w:tr>
    </w:tbl>
    <w:p w14:paraId="2DEBD568" w14:textId="63E3C03B" w:rsidR="0061440D" w:rsidRPr="009166E3" w:rsidRDefault="0061440D" w:rsidP="004D123F">
      <w:pPr>
        <w:pStyle w:val="BodyText"/>
        <w:spacing w:after="160" w:line="480" w:lineRule="auto"/>
        <w:jc w:val="both"/>
        <w:rPr>
          <w:rFonts w:ascii="Arial" w:hAnsi="Arial" w:cs="Arial"/>
          <w:b/>
          <w:bCs/>
        </w:rPr>
      </w:pPr>
    </w:p>
    <w:p w14:paraId="38CF83D4" w14:textId="77777777" w:rsidR="004B5EAA" w:rsidRDefault="004B5EAA">
      <w:pPr>
        <w:rPr>
          <w:rFonts w:ascii="Arial" w:hAnsi="Arial" w:cs="Arial"/>
          <w:b/>
          <w:bCs/>
        </w:rPr>
      </w:pPr>
      <w:r>
        <w:rPr>
          <w:rFonts w:ascii="Arial" w:hAnsi="Arial" w:cs="Arial"/>
          <w:b/>
          <w:bCs/>
        </w:rPr>
        <w:br w:type="page"/>
      </w:r>
    </w:p>
    <w:p w14:paraId="698F47D5" w14:textId="140FAF94" w:rsidR="005A3383" w:rsidRPr="009166E3" w:rsidRDefault="005A3383" w:rsidP="005A3383">
      <w:pPr>
        <w:pStyle w:val="BodyText"/>
        <w:spacing w:after="0" w:line="360" w:lineRule="auto"/>
        <w:jc w:val="both"/>
        <w:rPr>
          <w:rFonts w:ascii="Arial" w:hAnsi="Arial" w:cs="Arial"/>
          <w:bCs/>
        </w:rPr>
      </w:pPr>
      <w:r w:rsidRPr="009166E3">
        <w:rPr>
          <w:rFonts w:ascii="Arial" w:hAnsi="Arial" w:cs="Arial"/>
          <w:b/>
          <w:bCs/>
        </w:rPr>
        <w:lastRenderedPageBreak/>
        <w:t xml:space="preserve">Table </w:t>
      </w:r>
      <w:r w:rsidR="008805D8" w:rsidRPr="009166E3">
        <w:rPr>
          <w:rFonts w:ascii="Arial" w:hAnsi="Arial" w:cs="Arial"/>
          <w:b/>
          <w:bCs/>
        </w:rPr>
        <w:t>S</w:t>
      </w:r>
      <w:r w:rsidR="008805D8">
        <w:rPr>
          <w:rFonts w:ascii="Arial" w:hAnsi="Arial" w:cs="Arial"/>
          <w:b/>
          <w:bCs/>
        </w:rPr>
        <w:t>7</w:t>
      </w:r>
      <w:r w:rsidRPr="009166E3">
        <w:rPr>
          <w:rFonts w:ascii="Arial" w:hAnsi="Arial" w:cs="Arial"/>
          <w:b/>
          <w:bCs/>
        </w:rPr>
        <w:t xml:space="preserve">. </w:t>
      </w:r>
      <w:r w:rsidR="0032151B" w:rsidRPr="009166E3">
        <w:rPr>
          <w:rFonts w:ascii="Arial" w:hAnsi="Arial" w:cs="Arial"/>
          <w:bCs/>
        </w:rPr>
        <w:t>Cost of treatment regimens in metastatic breast cancer</w:t>
      </w:r>
    </w:p>
    <w:tbl>
      <w:tblPr>
        <w:tblStyle w:val="TableGrid3"/>
        <w:tblW w:w="0" w:type="auto"/>
        <w:tblLook w:val="04A0" w:firstRow="1" w:lastRow="0" w:firstColumn="1" w:lastColumn="0" w:noHBand="0" w:noVBand="1"/>
      </w:tblPr>
      <w:tblGrid>
        <w:gridCol w:w="2794"/>
        <w:gridCol w:w="805"/>
        <w:gridCol w:w="962"/>
        <w:gridCol w:w="962"/>
        <w:gridCol w:w="1263"/>
        <w:gridCol w:w="1123"/>
        <w:gridCol w:w="1117"/>
      </w:tblGrid>
      <w:tr w:rsidR="00116B58" w:rsidRPr="009166E3" w14:paraId="58274C75" w14:textId="77777777" w:rsidTr="00B3158B">
        <w:tc>
          <w:tcPr>
            <w:tcW w:w="2835" w:type="dxa"/>
            <w:tcBorders>
              <w:left w:val="nil"/>
              <w:bottom w:val="single" w:sz="4" w:space="0" w:color="auto"/>
              <w:right w:val="nil"/>
            </w:tcBorders>
          </w:tcPr>
          <w:p w14:paraId="66368135"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Drug/dosage</w:t>
            </w:r>
          </w:p>
        </w:tc>
        <w:tc>
          <w:tcPr>
            <w:tcW w:w="805" w:type="dxa"/>
            <w:tcBorders>
              <w:left w:val="nil"/>
              <w:bottom w:val="single" w:sz="4" w:space="0" w:color="auto"/>
              <w:right w:val="nil"/>
            </w:tcBorders>
          </w:tcPr>
          <w:p w14:paraId="5407B49B" w14:textId="77777777" w:rsidR="00116B58" w:rsidRPr="009166E3" w:rsidRDefault="00116B58" w:rsidP="00B3158B">
            <w:pPr>
              <w:jc w:val="center"/>
              <w:rPr>
                <w:rFonts w:ascii="Arial" w:hAnsi="Arial" w:cs="Arial"/>
                <w:bCs/>
                <w:sz w:val="18"/>
                <w:szCs w:val="18"/>
                <w:vertAlign w:val="superscript"/>
              </w:rPr>
            </w:pPr>
            <w:r w:rsidRPr="009166E3">
              <w:rPr>
                <w:rFonts w:ascii="Arial" w:hAnsi="Arial" w:cs="Arial"/>
                <w:bCs/>
                <w:sz w:val="18"/>
                <w:szCs w:val="18"/>
              </w:rPr>
              <w:t>1</w:t>
            </w:r>
            <w:r w:rsidRPr="009166E3">
              <w:rPr>
                <w:rFonts w:ascii="Arial" w:hAnsi="Arial" w:cs="Arial"/>
                <w:bCs/>
                <w:sz w:val="18"/>
                <w:szCs w:val="18"/>
                <w:vertAlign w:val="superscript"/>
              </w:rPr>
              <w:t>st</w:t>
            </w:r>
            <w:r w:rsidRPr="009166E3">
              <w:rPr>
                <w:rFonts w:ascii="Arial" w:hAnsi="Arial" w:cs="Arial"/>
                <w:bCs/>
                <w:sz w:val="18"/>
                <w:szCs w:val="18"/>
              </w:rPr>
              <w:t xml:space="preserve"> line</w:t>
            </w:r>
            <w:r w:rsidRPr="009166E3">
              <w:rPr>
                <w:rFonts w:ascii="Arial" w:hAnsi="Arial" w:cs="Arial"/>
                <w:bCs/>
                <w:sz w:val="18"/>
                <w:szCs w:val="18"/>
                <w:vertAlign w:val="superscript"/>
              </w:rPr>
              <w:t>1</w:t>
            </w:r>
          </w:p>
        </w:tc>
        <w:tc>
          <w:tcPr>
            <w:tcW w:w="977" w:type="dxa"/>
            <w:tcBorders>
              <w:left w:val="nil"/>
              <w:bottom w:val="single" w:sz="4" w:space="0" w:color="auto"/>
              <w:right w:val="nil"/>
            </w:tcBorders>
          </w:tcPr>
          <w:p w14:paraId="46A87CCB" w14:textId="77777777" w:rsidR="00116B58" w:rsidRPr="009166E3" w:rsidRDefault="00116B58" w:rsidP="00B3158B">
            <w:pPr>
              <w:jc w:val="center"/>
              <w:rPr>
                <w:rFonts w:ascii="Arial" w:hAnsi="Arial" w:cs="Arial"/>
                <w:bCs/>
                <w:sz w:val="18"/>
                <w:szCs w:val="18"/>
                <w:vertAlign w:val="superscript"/>
              </w:rPr>
            </w:pPr>
            <w:r w:rsidRPr="009166E3">
              <w:rPr>
                <w:rFonts w:ascii="Arial" w:hAnsi="Arial" w:cs="Arial"/>
                <w:bCs/>
                <w:sz w:val="18"/>
                <w:szCs w:val="18"/>
              </w:rPr>
              <w:t>2</w:t>
            </w:r>
            <w:r w:rsidRPr="009166E3">
              <w:rPr>
                <w:rFonts w:ascii="Arial" w:hAnsi="Arial" w:cs="Arial"/>
                <w:bCs/>
                <w:sz w:val="18"/>
                <w:szCs w:val="18"/>
                <w:vertAlign w:val="superscript"/>
              </w:rPr>
              <w:t>nd</w:t>
            </w:r>
            <w:r w:rsidRPr="009166E3">
              <w:rPr>
                <w:rFonts w:ascii="Arial" w:hAnsi="Arial" w:cs="Arial"/>
                <w:bCs/>
                <w:sz w:val="18"/>
                <w:szCs w:val="18"/>
              </w:rPr>
              <w:t xml:space="preserve"> line</w:t>
            </w:r>
            <w:r w:rsidRPr="009166E3">
              <w:rPr>
                <w:rFonts w:ascii="Arial" w:hAnsi="Arial" w:cs="Arial"/>
                <w:bCs/>
                <w:sz w:val="18"/>
                <w:szCs w:val="18"/>
                <w:vertAlign w:val="superscript"/>
              </w:rPr>
              <w:t>1</w:t>
            </w:r>
          </w:p>
        </w:tc>
        <w:tc>
          <w:tcPr>
            <w:tcW w:w="977" w:type="dxa"/>
            <w:tcBorders>
              <w:left w:val="nil"/>
              <w:bottom w:val="single" w:sz="4" w:space="0" w:color="auto"/>
              <w:right w:val="nil"/>
            </w:tcBorders>
          </w:tcPr>
          <w:p w14:paraId="48C85375" w14:textId="77777777" w:rsidR="00116B58" w:rsidRPr="009166E3" w:rsidRDefault="00116B58" w:rsidP="00B3158B">
            <w:pPr>
              <w:jc w:val="center"/>
              <w:rPr>
                <w:rFonts w:ascii="Arial" w:hAnsi="Arial" w:cs="Arial"/>
                <w:bCs/>
                <w:sz w:val="18"/>
                <w:szCs w:val="18"/>
                <w:vertAlign w:val="superscript"/>
              </w:rPr>
            </w:pPr>
            <w:r w:rsidRPr="009166E3">
              <w:rPr>
                <w:rFonts w:ascii="Arial" w:hAnsi="Arial" w:cs="Arial"/>
                <w:bCs/>
                <w:sz w:val="18"/>
                <w:szCs w:val="18"/>
              </w:rPr>
              <w:t>3</w:t>
            </w:r>
            <w:r w:rsidRPr="009166E3">
              <w:rPr>
                <w:rFonts w:ascii="Arial" w:hAnsi="Arial" w:cs="Arial"/>
                <w:bCs/>
                <w:sz w:val="18"/>
                <w:szCs w:val="18"/>
                <w:vertAlign w:val="superscript"/>
              </w:rPr>
              <w:t>rd</w:t>
            </w:r>
            <w:r w:rsidRPr="009166E3">
              <w:rPr>
                <w:rFonts w:ascii="Arial" w:hAnsi="Arial" w:cs="Arial"/>
                <w:bCs/>
                <w:sz w:val="18"/>
                <w:szCs w:val="18"/>
              </w:rPr>
              <w:t xml:space="preserve"> line</w:t>
            </w:r>
            <w:r w:rsidRPr="009166E3">
              <w:rPr>
                <w:rFonts w:ascii="Arial" w:hAnsi="Arial" w:cs="Arial"/>
                <w:bCs/>
                <w:sz w:val="18"/>
                <w:szCs w:val="18"/>
                <w:vertAlign w:val="superscript"/>
              </w:rPr>
              <w:t>1</w:t>
            </w:r>
          </w:p>
        </w:tc>
        <w:tc>
          <w:tcPr>
            <w:tcW w:w="1268" w:type="dxa"/>
            <w:tcBorders>
              <w:left w:val="nil"/>
              <w:bottom w:val="single" w:sz="4" w:space="0" w:color="auto"/>
              <w:right w:val="nil"/>
            </w:tcBorders>
          </w:tcPr>
          <w:p w14:paraId="483695EE" w14:textId="77777777" w:rsidR="00116B58" w:rsidRPr="009166E3" w:rsidRDefault="00116B58" w:rsidP="00B3158B">
            <w:pPr>
              <w:jc w:val="center"/>
              <w:rPr>
                <w:rFonts w:ascii="Arial" w:hAnsi="Arial" w:cs="Arial"/>
                <w:bCs/>
                <w:sz w:val="18"/>
                <w:szCs w:val="18"/>
                <w:vertAlign w:val="superscript"/>
              </w:rPr>
            </w:pPr>
            <w:r w:rsidRPr="009166E3">
              <w:rPr>
                <w:rFonts w:ascii="Arial" w:hAnsi="Arial" w:cs="Arial"/>
                <w:bCs/>
                <w:sz w:val="18"/>
                <w:szCs w:val="18"/>
              </w:rPr>
              <w:t>Acquisition cost per model cycle</w:t>
            </w:r>
            <w:r w:rsidRPr="009166E3">
              <w:rPr>
                <w:rFonts w:ascii="Arial" w:hAnsi="Arial" w:cs="Arial"/>
                <w:bCs/>
                <w:sz w:val="18"/>
                <w:szCs w:val="18"/>
                <w:vertAlign w:val="superscript"/>
              </w:rPr>
              <w:t>3</w:t>
            </w:r>
          </w:p>
        </w:tc>
        <w:tc>
          <w:tcPr>
            <w:tcW w:w="1127" w:type="dxa"/>
            <w:tcBorders>
              <w:left w:val="nil"/>
              <w:bottom w:val="single" w:sz="4" w:space="0" w:color="auto"/>
              <w:right w:val="nil"/>
            </w:tcBorders>
          </w:tcPr>
          <w:p w14:paraId="7122B0E9" w14:textId="77777777" w:rsidR="00116B58" w:rsidRPr="009166E3" w:rsidRDefault="00116B58" w:rsidP="00B3158B">
            <w:pPr>
              <w:jc w:val="center"/>
              <w:rPr>
                <w:rFonts w:ascii="Arial" w:hAnsi="Arial" w:cs="Arial"/>
                <w:bCs/>
                <w:sz w:val="18"/>
                <w:szCs w:val="18"/>
              </w:rPr>
            </w:pPr>
            <w:r w:rsidRPr="009166E3">
              <w:rPr>
                <w:rFonts w:ascii="Arial" w:hAnsi="Arial" w:cs="Arial"/>
                <w:bCs/>
                <w:sz w:val="18"/>
                <w:szCs w:val="18"/>
              </w:rPr>
              <w:t>Admin cost per model cycle</w:t>
            </w:r>
          </w:p>
        </w:tc>
        <w:tc>
          <w:tcPr>
            <w:tcW w:w="1037" w:type="dxa"/>
            <w:tcBorders>
              <w:left w:val="nil"/>
              <w:bottom w:val="single" w:sz="4" w:space="0" w:color="auto"/>
              <w:right w:val="nil"/>
            </w:tcBorders>
          </w:tcPr>
          <w:p w14:paraId="5AE9D899" w14:textId="77777777" w:rsidR="00116B58" w:rsidRPr="009166E3" w:rsidRDefault="00116B58" w:rsidP="00B3158B">
            <w:pPr>
              <w:jc w:val="center"/>
              <w:rPr>
                <w:rFonts w:ascii="Arial" w:hAnsi="Arial" w:cs="Arial"/>
                <w:bCs/>
                <w:sz w:val="18"/>
                <w:szCs w:val="18"/>
              </w:rPr>
            </w:pPr>
            <w:r w:rsidRPr="009166E3">
              <w:rPr>
                <w:rFonts w:ascii="Arial" w:hAnsi="Arial" w:cs="Arial"/>
                <w:bCs/>
                <w:sz w:val="18"/>
                <w:szCs w:val="18"/>
              </w:rPr>
              <w:t>Total per cycle cost</w:t>
            </w:r>
          </w:p>
        </w:tc>
      </w:tr>
      <w:tr w:rsidR="00116B58" w:rsidRPr="009166E3" w14:paraId="74533B12" w14:textId="77777777" w:rsidTr="00B3158B">
        <w:tc>
          <w:tcPr>
            <w:tcW w:w="2835" w:type="dxa"/>
            <w:tcBorders>
              <w:left w:val="nil"/>
              <w:bottom w:val="nil"/>
              <w:right w:val="nil"/>
            </w:tcBorders>
          </w:tcPr>
          <w:p w14:paraId="76AD0D67"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Chemotherapy</w:t>
            </w:r>
          </w:p>
        </w:tc>
        <w:tc>
          <w:tcPr>
            <w:tcW w:w="805" w:type="dxa"/>
            <w:tcBorders>
              <w:left w:val="nil"/>
              <w:bottom w:val="nil"/>
              <w:right w:val="nil"/>
            </w:tcBorders>
          </w:tcPr>
          <w:p w14:paraId="67E80DA5" w14:textId="77777777" w:rsidR="00116B58" w:rsidRPr="009166E3" w:rsidRDefault="00116B58" w:rsidP="00B3158B">
            <w:pPr>
              <w:rPr>
                <w:rFonts w:ascii="Arial" w:hAnsi="Arial" w:cs="Arial"/>
                <w:bCs/>
                <w:sz w:val="18"/>
                <w:szCs w:val="18"/>
              </w:rPr>
            </w:pPr>
          </w:p>
        </w:tc>
        <w:tc>
          <w:tcPr>
            <w:tcW w:w="977" w:type="dxa"/>
            <w:tcBorders>
              <w:left w:val="nil"/>
              <w:bottom w:val="nil"/>
              <w:right w:val="nil"/>
            </w:tcBorders>
          </w:tcPr>
          <w:p w14:paraId="4C605C11" w14:textId="77777777" w:rsidR="00116B58" w:rsidRPr="009166E3" w:rsidRDefault="00116B58" w:rsidP="00B3158B">
            <w:pPr>
              <w:rPr>
                <w:rFonts w:ascii="Arial" w:hAnsi="Arial" w:cs="Arial"/>
                <w:bCs/>
                <w:sz w:val="18"/>
                <w:szCs w:val="18"/>
              </w:rPr>
            </w:pPr>
          </w:p>
        </w:tc>
        <w:tc>
          <w:tcPr>
            <w:tcW w:w="977" w:type="dxa"/>
            <w:tcBorders>
              <w:left w:val="nil"/>
              <w:bottom w:val="nil"/>
              <w:right w:val="nil"/>
            </w:tcBorders>
          </w:tcPr>
          <w:p w14:paraId="27B8CBF3" w14:textId="77777777" w:rsidR="00116B58" w:rsidRPr="009166E3" w:rsidRDefault="00116B58" w:rsidP="00B3158B">
            <w:pPr>
              <w:rPr>
                <w:rFonts w:ascii="Arial" w:hAnsi="Arial" w:cs="Arial"/>
                <w:bCs/>
                <w:sz w:val="18"/>
                <w:szCs w:val="18"/>
              </w:rPr>
            </w:pPr>
          </w:p>
        </w:tc>
        <w:tc>
          <w:tcPr>
            <w:tcW w:w="1268" w:type="dxa"/>
            <w:tcBorders>
              <w:left w:val="nil"/>
              <w:bottom w:val="nil"/>
              <w:right w:val="nil"/>
            </w:tcBorders>
          </w:tcPr>
          <w:p w14:paraId="7774DF99" w14:textId="77777777" w:rsidR="00116B58" w:rsidRPr="009166E3" w:rsidRDefault="00116B58" w:rsidP="00B3158B">
            <w:pPr>
              <w:rPr>
                <w:rFonts w:ascii="Arial" w:hAnsi="Arial" w:cs="Arial"/>
                <w:bCs/>
                <w:sz w:val="18"/>
                <w:szCs w:val="18"/>
              </w:rPr>
            </w:pPr>
          </w:p>
        </w:tc>
        <w:tc>
          <w:tcPr>
            <w:tcW w:w="1127" w:type="dxa"/>
            <w:tcBorders>
              <w:left w:val="nil"/>
              <w:bottom w:val="nil"/>
              <w:right w:val="nil"/>
            </w:tcBorders>
          </w:tcPr>
          <w:p w14:paraId="59B2E4DF" w14:textId="77777777" w:rsidR="00116B58" w:rsidRPr="009166E3" w:rsidRDefault="00116B58" w:rsidP="00B3158B">
            <w:pPr>
              <w:rPr>
                <w:rFonts w:ascii="Arial" w:hAnsi="Arial" w:cs="Arial"/>
                <w:bCs/>
                <w:sz w:val="18"/>
                <w:szCs w:val="18"/>
              </w:rPr>
            </w:pPr>
          </w:p>
        </w:tc>
        <w:tc>
          <w:tcPr>
            <w:tcW w:w="1037" w:type="dxa"/>
            <w:tcBorders>
              <w:left w:val="nil"/>
              <w:bottom w:val="nil"/>
              <w:right w:val="nil"/>
            </w:tcBorders>
          </w:tcPr>
          <w:p w14:paraId="3F031541" w14:textId="77777777" w:rsidR="00116B58" w:rsidRPr="009166E3" w:rsidRDefault="00116B58" w:rsidP="00B3158B">
            <w:pPr>
              <w:rPr>
                <w:rFonts w:ascii="Arial" w:hAnsi="Arial" w:cs="Arial"/>
                <w:bCs/>
                <w:sz w:val="18"/>
                <w:szCs w:val="18"/>
              </w:rPr>
            </w:pPr>
          </w:p>
        </w:tc>
      </w:tr>
      <w:tr w:rsidR="00116B58" w:rsidRPr="009166E3" w14:paraId="4A1F5075" w14:textId="77777777" w:rsidTr="00B3158B">
        <w:tc>
          <w:tcPr>
            <w:tcW w:w="2835" w:type="dxa"/>
            <w:tcBorders>
              <w:top w:val="nil"/>
              <w:left w:val="nil"/>
              <w:bottom w:val="nil"/>
              <w:right w:val="nil"/>
            </w:tcBorders>
          </w:tcPr>
          <w:p w14:paraId="380E2749"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Paclitaxel 175mg/m</w:t>
            </w:r>
            <w:r w:rsidRPr="009166E3">
              <w:rPr>
                <w:rFonts w:ascii="Arial" w:hAnsi="Arial" w:cs="Arial"/>
                <w:bCs/>
                <w:sz w:val="18"/>
                <w:szCs w:val="18"/>
                <w:vertAlign w:val="superscript"/>
              </w:rPr>
              <w:t>2</w:t>
            </w:r>
            <w:r w:rsidRPr="009166E3">
              <w:rPr>
                <w:rFonts w:ascii="Arial" w:hAnsi="Arial" w:cs="Arial"/>
                <w:bCs/>
                <w:sz w:val="18"/>
                <w:szCs w:val="18"/>
              </w:rPr>
              <w:t xml:space="preserve"> monthly</w:t>
            </w:r>
          </w:p>
        </w:tc>
        <w:tc>
          <w:tcPr>
            <w:tcW w:w="805" w:type="dxa"/>
            <w:tcBorders>
              <w:top w:val="nil"/>
              <w:left w:val="nil"/>
              <w:bottom w:val="nil"/>
              <w:right w:val="nil"/>
            </w:tcBorders>
          </w:tcPr>
          <w:p w14:paraId="1205FE34"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40%</w:t>
            </w:r>
          </w:p>
        </w:tc>
        <w:tc>
          <w:tcPr>
            <w:tcW w:w="977" w:type="dxa"/>
            <w:tcBorders>
              <w:top w:val="nil"/>
              <w:left w:val="nil"/>
              <w:bottom w:val="nil"/>
              <w:right w:val="nil"/>
            </w:tcBorders>
          </w:tcPr>
          <w:p w14:paraId="0AF5CCD6"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26%</w:t>
            </w:r>
          </w:p>
        </w:tc>
        <w:tc>
          <w:tcPr>
            <w:tcW w:w="977" w:type="dxa"/>
            <w:tcBorders>
              <w:top w:val="nil"/>
              <w:left w:val="nil"/>
              <w:bottom w:val="nil"/>
              <w:right w:val="nil"/>
            </w:tcBorders>
          </w:tcPr>
          <w:p w14:paraId="12BFED36"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1268" w:type="dxa"/>
            <w:tcBorders>
              <w:top w:val="nil"/>
              <w:left w:val="nil"/>
              <w:bottom w:val="nil"/>
              <w:right w:val="nil"/>
            </w:tcBorders>
          </w:tcPr>
          <w:p w14:paraId="67FBDE52"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£2,399.74</w:t>
            </w:r>
          </w:p>
        </w:tc>
        <w:tc>
          <w:tcPr>
            <w:tcW w:w="1127" w:type="dxa"/>
            <w:tcBorders>
              <w:top w:val="nil"/>
              <w:left w:val="nil"/>
              <w:bottom w:val="nil"/>
              <w:right w:val="nil"/>
            </w:tcBorders>
          </w:tcPr>
          <w:p w14:paraId="448CE85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£4,533.90</w:t>
            </w:r>
          </w:p>
        </w:tc>
        <w:tc>
          <w:tcPr>
            <w:tcW w:w="1037" w:type="dxa"/>
            <w:tcBorders>
              <w:top w:val="nil"/>
              <w:left w:val="nil"/>
              <w:bottom w:val="nil"/>
              <w:right w:val="nil"/>
            </w:tcBorders>
          </w:tcPr>
          <w:p w14:paraId="6CBA8222"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£5,993.64</w:t>
            </w:r>
          </w:p>
        </w:tc>
      </w:tr>
      <w:tr w:rsidR="00116B58" w:rsidRPr="009166E3" w14:paraId="064AE1B0" w14:textId="77777777" w:rsidTr="00B3158B">
        <w:tc>
          <w:tcPr>
            <w:tcW w:w="2835" w:type="dxa"/>
            <w:tcBorders>
              <w:top w:val="nil"/>
              <w:left w:val="nil"/>
              <w:bottom w:val="nil"/>
              <w:right w:val="nil"/>
            </w:tcBorders>
          </w:tcPr>
          <w:p w14:paraId="2E5E66F5"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Docetaxel 75mg/m</w:t>
            </w:r>
            <w:r w:rsidRPr="009166E3">
              <w:rPr>
                <w:rFonts w:ascii="Arial" w:hAnsi="Arial" w:cs="Arial"/>
                <w:bCs/>
                <w:sz w:val="18"/>
                <w:szCs w:val="18"/>
                <w:vertAlign w:val="superscript"/>
              </w:rPr>
              <w:t>2</w:t>
            </w:r>
            <w:r w:rsidRPr="009166E3">
              <w:rPr>
                <w:rFonts w:ascii="Arial" w:hAnsi="Arial" w:cs="Arial"/>
                <w:bCs/>
                <w:sz w:val="18"/>
                <w:szCs w:val="18"/>
              </w:rPr>
              <w:t xml:space="preserve"> monthly</w:t>
            </w:r>
          </w:p>
        </w:tc>
        <w:tc>
          <w:tcPr>
            <w:tcW w:w="805" w:type="dxa"/>
            <w:tcBorders>
              <w:top w:val="nil"/>
              <w:left w:val="nil"/>
              <w:bottom w:val="nil"/>
              <w:right w:val="nil"/>
            </w:tcBorders>
          </w:tcPr>
          <w:p w14:paraId="76A07F4C"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27%</w:t>
            </w:r>
          </w:p>
        </w:tc>
        <w:tc>
          <w:tcPr>
            <w:tcW w:w="977" w:type="dxa"/>
            <w:tcBorders>
              <w:top w:val="nil"/>
              <w:left w:val="nil"/>
              <w:bottom w:val="nil"/>
              <w:right w:val="nil"/>
            </w:tcBorders>
          </w:tcPr>
          <w:p w14:paraId="06406C97"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17%</w:t>
            </w:r>
          </w:p>
        </w:tc>
        <w:tc>
          <w:tcPr>
            <w:tcW w:w="977" w:type="dxa"/>
            <w:tcBorders>
              <w:top w:val="nil"/>
              <w:left w:val="nil"/>
              <w:bottom w:val="nil"/>
              <w:right w:val="nil"/>
            </w:tcBorders>
          </w:tcPr>
          <w:p w14:paraId="70929892"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1268" w:type="dxa"/>
            <w:tcBorders>
              <w:top w:val="nil"/>
              <w:left w:val="nil"/>
              <w:bottom w:val="nil"/>
              <w:right w:val="nil"/>
            </w:tcBorders>
          </w:tcPr>
          <w:p w14:paraId="42F41053"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£2,321.32</w:t>
            </w:r>
          </w:p>
        </w:tc>
        <w:tc>
          <w:tcPr>
            <w:tcW w:w="1127" w:type="dxa"/>
            <w:tcBorders>
              <w:top w:val="nil"/>
              <w:left w:val="nil"/>
              <w:bottom w:val="nil"/>
              <w:right w:val="nil"/>
            </w:tcBorders>
          </w:tcPr>
          <w:p w14:paraId="28232096"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£4,533.90</w:t>
            </w:r>
          </w:p>
        </w:tc>
        <w:tc>
          <w:tcPr>
            <w:tcW w:w="1037" w:type="dxa"/>
            <w:tcBorders>
              <w:top w:val="nil"/>
              <w:left w:val="nil"/>
              <w:bottom w:val="nil"/>
              <w:right w:val="nil"/>
            </w:tcBorders>
          </w:tcPr>
          <w:p w14:paraId="66A5EB90"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£5,855.22</w:t>
            </w:r>
          </w:p>
        </w:tc>
      </w:tr>
      <w:tr w:rsidR="00116B58" w:rsidRPr="009166E3" w14:paraId="1213AC95" w14:textId="77777777" w:rsidTr="00B3158B">
        <w:tc>
          <w:tcPr>
            <w:tcW w:w="2835" w:type="dxa"/>
            <w:tcBorders>
              <w:top w:val="nil"/>
              <w:left w:val="nil"/>
              <w:bottom w:val="nil"/>
              <w:right w:val="nil"/>
            </w:tcBorders>
          </w:tcPr>
          <w:p w14:paraId="01C0BF69"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Capecitabine 1250 mg/m</w:t>
            </w:r>
            <w:r w:rsidRPr="009166E3">
              <w:rPr>
                <w:rFonts w:ascii="Arial" w:hAnsi="Arial" w:cs="Arial"/>
                <w:bCs/>
                <w:sz w:val="18"/>
                <w:szCs w:val="18"/>
                <w:vertAlign w:val="superscript"/>
              </w:rPr>
              <w:t>2</w:t>
            </w:r>
            <w:r w:rsidRPr="009166E3">
              <w:rPr>
                <w:rFonts w:ascii="Arial" w:hAnsi="Arial" w:cs="Arial"/>
                <w:bCs/>
                <w:sz w:val="18"/>
                <w:szCs w:val="18"/>
              </w:rPr>
              <w:t xml:space="preserve"> daily</w:t>
            </w:r>
          </w:p>
        </w:tc>
        <w:tc>
          <w:tcPr>
            <w:tcW w:w="805" w:type="dxa"/>
            <w:tcBorders>
              <w:top w:val="nil"/>
              <w:left w:val="nil"/>
              <w:bottom w:val="nil"/>
              <w:right w:val="nil"/>
            </w:tcBorders>
          </w:tcPr>
          <w:p w14:paraId="5A7BC18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18%</w:t>
            </w:r>
          </w:p>
        </w:tc>
        <w:tc>
          <w:tcPr>
            <w:tcW w:w="977" w:type="dxa"/>
            <w:tcBorders>
              <w:top w:val="nil"/>
              <w:left w:val="nil"/>
              <w:bottom w:val="nil"/>
              <w:right w:val="nil"/>
            </w:tcBorders>
          </w:tcPr>
          <w:p w14:paraId="58BC8CEC"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47%</w:t>
            </w:r>
          </w:p>
        </w:tc>
        <w:tc>
          <w:tcPr>
            <w:tcW w:w="977" w:type="dxa"/>
            <w:tcBorders>
              <w:top w:val="nil"/>
              <w:left w:val="nil"/>
              <w:bottom w:val="nil"/>
              <w:right w:val="nil"/>
            </w:tcBorders>
          </w:tcPr>
          <w:p w14:paraId="547716A5"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82%</w:t>
            </w:r>
          </w:p>
        </w:tc>
        <w:tc>
          <w:tcPr>
            <w:tcW w:w="1268" w:type="dxa"/>
            <w:tcBorders>
              <w:top w:val="nil"/>
              <w:left w:val="nil"/>
              <w:bottom w:val="nil"/>
              <w:right w:val="nil"/>
            </w:tcBorders>
          </w:tcPr>
          <w:p w14:paraId="77AC9AC5"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£169.04</w:t>
            </w:r>
          </w:p>
        </w:tc>
        <w:tc>
          <w:tcPr>
            <w:tcW w:w="1127" w:type="dxa"/>
            <w:tcBorders>
              <w:top w:val="nil"/>
              <w:left w:val="nil"/>
              <w:bottom w:val="nil"/>
              <w:right w:val="nil"/>
            </w:tcBorders>
          </w:tcPr>
          <w:p w14:paraId="33BA67CF"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112D4DF0"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£169.04</w:t>
            </w:r>
          </w:p>
        </w:tc>
      </w:tr>
      <w:tr w:rsidR="00116B58" w:rsidRPr="009166E3" w14:paraId="345D94B0" w14:textId="77777777" w:rsidTr="00B3158B">
        <w:tc>
          <w:tcPr>
            <w:tcW w:w="2835" w:type="dxa"/>
            <w:tcBorders>
              <w:top w:val="nil"/>
              <w:left w:val="nil"/>
              <w:bottom w:val="nil"/>
              <w:right w:val="nil"/>
            </w:tcBorders>
          </w:tcPr>
          <w:p w14:paraId="17D0930B" w14:textId="77777777" w:rsidR="00116B58" w:rsidRPr="009166E3" w:rsidRDefault="00116B58" w:rsidP="00B3158B">
            <w:pPr>
              <w:rPr>
                <w:rFonts w:ascii="Arial" w:hAnsi="Arial" w:cs="Arial"/>
                <w:bCs/>
                <w:sz w:val="18"/>
                <w:szCs w:val="18"/>
              </w:rPr>
            </w:pPr>
            <w:proofErr w:type="spellStart"/>
            <w:r w:rsidRPr="009166E3">
              <w:rPr>
                <w:rFonts w:ascii="Arial" w:hAnsi="Arial" w:cs="Arial"/>
                <w:bCs/>
                <w:sz w:val="18"/>
                <w:szCs w:val="18"/>
              </w:rPr>
              <w:t>Epirubicin</w:t>
            </w:r>
            <w:proofErr w:type="spellEnd"/>
            <w:r w:rsidRPr="009166E3">
              <w:rPr>
                <w:rFonts w:ascii="Arial" w:hAnsi="Arial" w:cs="Arial"/>
                <w:bCs/>
                <w:sz w:val="18"/>
                <w:szCs w:val="18"/>
              </w:rPr>
              <w:t xml:space="preserve"> 90mg/m</w:t>
            </w:r>
            <w:r w:rsidRPr="009166E3">
              <w:rPr>
                <w:rFonts w:ascii="Arial" w:hAnsi="Arial" w:cs="Arial"/>
                <w:bCs/>
                <w:sz w:val="18"/>
                <w:szCs w:val="18"/>
                <w:vertAlign w:val="superscript"/>
              </w:rPr>
              <w:t>2</w:t>
            </w:r>
            <w:r w:rsidRPr="009166E3">
              <w:rPr>
                <w:rFonts w:ascii="Arial" w:hAnsi="Arial" w:cs="Arial"/>
                <w:bCs/>
                <w:sz w:val="18"/>
                <w:szCs w:val="18"/>
              </w:rPr>
              <w:t xml:space="preserve"> per + cyclophosphamide 600mg/m</w:t>
            </w:r>
            <w:r w:rsidRPr="009166E3">
              <w:rPr>
                <w:rFonts w:ascii="Arial" w:hAnsi="Arial" w:cs="Arial"/>
                <w:bCs/>
                <w:sz w:val="18"/>
                <w:szCs w:val="18"/>
                <w:vertAlign w:val="superscript"/>
              </w:rPr>
              <w:t>2</w:t>
            </w:r>
            <w:r w:rsidRPr="009166E3">
              <w:rPr>
                <w:rFonts w:ascii="Arial" w:hAnsi="Arial" w:cs="Arial"/>
                <w:bCs/>
                <w:sz w:val="18"/>
                <w:szCs w:val="18"/>
              </w:rPr>
              <w:t xml:space="preserve"> monthly </w:t>
            </w:r>
          </w:p>
        </w:tc>
        <w:tc>
          <w:tcPr>
            <w:tcW w:w="805" w:type="dxa"/>
            <w:tcBorders>
              <w:top w:val="nil"/>
              <w:left w:val="nil"/>
              <w:bottom w:val="nil"/>
              <w:right w:val="nil"/>
            </w:tcBorders>
          </w:tcPr>
          <w:p w14:paraId="37A5C857"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15%</w:t>
            </w:r>
          </w:p>
        </w:tc>
        <w:tc>
          <w:tcPr>
            <w:tcW w:w="977" w:type="dxa"/>
            <w:tcBorders>
              <w:top w:val="nil"/>
              <w:left w:val="nil"/>
              <w:bottom w:val="nil"/>
              <w:right w:val="nil"/>
            </w:tcBorders>
          </w:tcPr>
          <w:p w14:paraId="6E03860C"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977" w:type="dxa"/>
            <w:tcBorders>
              <w:top w:val="nil"/>
              <w:left w:val="nil"/>
              <w:bottom w:val="nil"/>
              <w:right w:val="nil"/>
            </w:tcBorders>
          </w:tcPr>
          <w:p w14:paraId="183A6F66"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1268" w:type="dxa"/>
            <w:tcBorders>
              <w:top w:val="nil"/>
              <w:left w:val="nil"/>
              <w:bottom w:val="nil"/>
              <w:right w:val="nil"/>
            </w:tcBorders>
          </w:tcPr>
          <w:p w14:paraId="14D06B68"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£1,140.20</w:t>
            </w:r>
          </w:p>
        </w:tc>
        <w:tc>
          <w:tcPr>
            <w:tcW w:w="1127" w:type="dxa"/>
            <w:tcBorders>
              <w:top w:val="nil"/>
              <w:left w:val="nil"/>
              <w:bottom w:val="nil"/>
              <w:right w:val="nil"/>
            </w:tcBorders>
          </w:tcPr>
          <w:p w14:paraId="1AB535F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£4,533.90</w:t>
            </w:r>
          </w:p>
        </w:tc>
        <w:tc>
          <w:tcPr>
            <w:tcW w:w="1037" w:type="dxa"/>
            <w:tcBorders>
              <w:top w:val="nil"/>
              <w:left w:val="nil"/>
              <w:bottom w:val="nil"/>
              <w:right w:val="nil"/>
            </w:tcBorders>
          </w:tcPr>
          <w:p w14:paraId="34E445FC"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£5,674.10</w:t>
            </w:r>
          </w:p>
        </w:tc>
      </w:tr>
      <w:tr w:rsidR="00116B58" w:rsidRPr="009166E3" w14:paraId="25AE3116" w14:textId="77777777" w:rsidTr="00B3158B">
        <w:tc>
          <w:tcPr>
            <w:tcW w:w="2835" w:type="dxa"/>
            <w:tcBorders>
              <w:top w:val="nil"/>
              <w:left w:val="nil"/>
              <w:bottom w:val="nil"/>
              <w:right w:val="nil"/>
            </w:tcBorders>
          </w:tcPr>
          <w:p w14:paraId="051DEA00" w14:textId="77777777" w:rsidR="00116B58" w:rsidRPr="009166E3" w:rsidRDefault="00116B58" w:rsidP="00B3158B">
            <w:pPr>
              <w:rPr>
                <w:rFonts w:ascii="Arial" w:hAnsi="Arial" w:cs="Arial"/>
                <w:bCs/>
                <w:sz w:val="18"/>
                <w:szCs w:val="18"/>
              </w:rPr>
            </w:pPr>
            <w:proofErr w:type="spellStart"/>
            <w:r w:rsidRPr="009166E3">
              <w:rPr>
                <w:rFonts w:ascii="Arial" w:eastAsia="Times New Roman" w:hAnsi="Arial" w:cs="Arial"/>
                <w:bCs/>
                <w:sz w:val="18"/>
                <w:szCs w:val="18"/>
                <w:lang w:eastAsia="en-GB"/>
              </w:rPr>
              <w:t>Caelyx</w:t>
            </w:r>
            <w:proofErr w:type="spellEnd"/>
            <w:r w:rsidRPr="009166E3">
              <w:rPr>
                <w:rFonts w:ascii="Arial" w:eastAsia="Times New Roman" w:hAnsi="Arial" w:cs="Arial"/>
                <w:bCs/>
                <w:sz w:val="18"/>
                <w:szCs w:val="18"/>
                <w:lang w:eastAsia="en-GB"/>
              </w:rPr>
              <w:t xml:space="preserve"> 50mg</w:t>
            </w:r>
            <w:r w:rsidRPr="009166E3">
              <w:rPr>
                <w:rFonts w:ascii="Arial" w:hAnsi="Arial" w:cs="Arial"/>
                <w:bCs/>
                <w:sz w:val="18"/>
                <w:szCs w:val="18"/>
              </w:rPr>
              <w:t>/m</w:t>
            </w:r>
            <w:r w:rsidRPr="009166E3">
              <w:rPr>
                <w:rFonts w:ascii="Arial" w:hAnsi="Arial" w:cs="Arial"/>
                <w:bCs/>
                <w:sz w:val="18"/>
                <w:szCs w:val="18"/>
                <w:vertAlign w:val="superscript"/>
              </w:rPr>
              <w:t>2</w:t>
            </w:r>
            <w:r w:rsidRPr="009166E3">
              <w:rPr>
                <w:rFonts w:ascii="Arial" w:hAnsi="Arial" w:cs="Arial"/>
                <w:bCs/>
                <w:sz w:val="18"/>
                <w:szCs w:val="18"/>
              </w:rPr>
              <w:t xml:space="preserve"> monthly</w:t>
            </w:r>
          </w:p>
        </w:tc>
        <w:tc>
          <w:tcPr>
            <w:tcW w:w="805" w:type="dxa"/>
            <w:tcBorders>
              <w:top w:val="nil"/>
              <w:left w:val="nil"/>
              <w:bottom w:val="nil"/>
              <w:right w:val="nil"/>
            </w:tcBorders>
          </w:tcPr>
          <w:p w14:paraId="67A6AF1B"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977" w:type="dxa"/>
            <w:tcBorders>
              <w:top w:val="nil"/>
              <w:left w:val="nil"/>
              <w:bottom w:val="nil"/>
              <w:right w:val="nil"/>
            </w:tcBorders>
          </w:tcPr>
          <w:p w14:paraId="009885FD"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10%</w:t>
            </w:r>
          </w:p>
        </w:tc>
        <w:tc>
          <w:tcPr>
            <w:tcW w:w="977" w:type="dxa"/>
            <w:tcBorders>
              <w:top w:val="nil"/>
              <w:left w:val="nil"/>
              <w:bottom w:val="nil"/>
              <w:right w:val="nil"/>
            </w:tcBorders>
          </w:tcPr>
          <w:p w14:paraId="7658F2F4"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1268" w:type="dxa"/>
            <w:tcBorders>
              <w:top w:val="nil"/>
              <w:left w:val="nil"/>
              <w:bottom w:val="nil"/>
              <w:right w:val="nil"/>
            </w:tcBorders>
          </w:tcPr>
          <w:p w14:paraId="4D6D75C0"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£4,322.76</w:t>
            </w:r>
          </w:p>
        </w:tc>
        <w:tc>
          <w:tcPr>
            <w:tcW w:w="1127" w:type="dxa"/>
            <w:tcBorders>
              <w:top w:val="nil"/>
              <w:left w:val="nil"/>
              <w:bottom w:val="nil"/>
              <w:right w:val="nil"/>
            </w:tcBorders>
          </w:tcPr>
          <w:p w14:paraId="7B4B168C"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£4,533.90</w:t>
            </w:r>
          </w:p>
        </w:tc>
        <w:tc>
          <w:tcPr>
            <w:tcW w:w="1037" w:type="dxa"/>
            <w:tcBorders>
              <w:top w:val="nil"/>
              <w:left w:val="nil"/>
              <w:bottom w:val="nil"/>
              <w:right w:val="nil"/>
            </w:tcBorders>
          </w:tcPr>
          <w:p w14:paraId="0AACE3DC"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£8,856.66</w:t>
            </w:r>
          </w:p>
        </w:tc>
      </w:tr>
      <w:tr w:rsidR="00116B58" w:rsidRPr="009166E3" w14:paraId="042A66F3" w14:textId="77777777" w:rsidTr="00B3158B">
        <w:tc>
          <w:tcPr>
            <w:tcW w:w="2835" w:type="dxa"/>
            <w:tcBorders>
              <w:top w:val="nil"/>
              <w:left w:val="nil"/>
              <w:bottom w:val="nil"/>
              <w:right w:val="nil"/>
            </w:tcBorders>
          </w:tcPr>
          <w:p w14:paraId="269DDB61" w14:textId="77777777" w:rsidR="00116B58" w:rsidRPr="009166E3" w:rsidRDefault="00116B58" w:rsidP="00B3158B">
            <w:pPr>
              <w:rPr>
                <w:rFonts w:ascii="Arial" w:hAnsi="Arial" w:cs="Arial"/>
                <w:bCs/>
                <w:sz w:val="18"/>
                <w:szCs w:val="18"/>
              </w:rPr>
            </w:pPr>
            <w:proofErr w:type="spellStart"/>
            <w:r w:rsidRPr="009166E3">
              <w:rPr>
                <w:rFonts w:ascii="Arial" w:eastAsia="Times New Roman" w:hAnsi="Arial" w:cs="Arial"/>
                <w:bCs/>
                <w:sz w:val="18"/>
                <w:szCs w:val="18"/>
                <w:lang w:eastAsia="en-GB"/>
              </w:rPr>
              <w:t>Eribulin</w:t>
            </w:r>
            <w:proofErr w:type="spellEnd"/>
            <w:r w:rsidRPr="009166E3">
              <w:rPr>
                <w:rFonts w:ascii="Arial" w:eastAsia="Times New Roman" w:hAnsi="Arial" w:cs="Arial"/>
                <w:bCs/>
                <w:sz w:val="18"/>
                <w:szCs w:val="18"/>
                <w:lang w:eastAsia="en-GB"/>
              </w:rPr>
              <w:t xml:space="preserve"> 1.23mg</w:t>
            </w:r>
            <w:r w:rsidRPr="009166E3">
              <w:rPr>
                <w:rFonts w:ascii="Arial" w:hAnsi="Arial" w:cs="Arial"/>
                <w:bCs/>
                <w:sz w:val="18"/>
                <w:szCs w:val="18"/>
              </w:rPr>
              <w:t>/m</w:t>
            </w:r>
            <w:r w:rsidRPr="009166E3">
              <w:rPr>
                <w:rFonts w:ascii="Arial" w:hAnsi="Arial" w:cs="Arial"/>
                <w:bCs/>
                <w:sz w:val="18"/>
                <w:szCs w:val="18"/>
                <w:vertAlign w:val="superscript"/>
              </w:rPr>
              <w:t>2</w:t>
            </w:r>
            <w:r w:rsidRPr="009166E3">
              <w:rPr>
                <w:rFonts w:ascii="Arial" w:hAnsi="Arial" w:cs="Arial"/>
                <w:bCs/>
                <w:sz w:val="18"/>
                <w:szCs w:val="18"/>
              </w:rPr>
              <w:t xml:space="preserve"> twice/month</w:t>
            </w:r>
          </w:p>
        </w:tc>
        <w:tc>
          <w:tcPr>
            <w:tcW w:w="805" w:type="dxa"/>
            <w:tcBorders>
              <w:top w:val="nil"/>
              <w:left w:val="nil"/>
              <w:bottom w:val="nil"/>
              <w:right w:val="nil"/>
            </w:tcBorders>
          </w:tcPr>
          <w:p w14:paraId="10F5EF88"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977" w:type="dxa"/>
            <w:tcBorders>
              <w:top w:val="nil"/>
              <w:left w:val="nil"/>
              <w:bottom w:val="nil"/>
              <w:right w:val="nil"/>
            </w:tcBorders>
          </w:tcPr>
          <w:p w14:paraId="45F2FF56"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977" w:type="dxa"/>
            <w:tcBorders>
              <w:top w:val="nil"/>
              <w:left w:val="nil"/>
              <w:bottom w:val="nil"/>
              <w:right w:val="nil"/>
            </w:tcBorders>
          </w:tcPr>
          <w:p w14:paraId="163A524C"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18%</w:t>
            </w:r>
          </w:p>
        </w:tc>
        <w:tc>
          <w:tcPr>
            <w:tcW w:w="1268" w:type="dxa"/>
            <w:tcBorders>
              <w:top w:val="nil"/>
              <w:left w:val="nil"/>
              <w:bottom w:val="nil"/>
              <w:right w:val="nil"/>
            </w:tcBorders>
          </w:tcPr>
          <w:p w14:paraId="5673EF18"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£12,996.00</w:t>
            </w:r>
          </w:p>
        </w:tc>
        <w:tc>
          <w:tcPr>
            <w:tcW w:w="1127" w:type="dxa"/>
            <w:tcBorders>
              <w:top w:val="nil"/>
              <w:left w:val="nil"/>
              <w:bottom w:val="nil"/>
              <w:right w:val="nil"/>
            </w:tcBorders>
          </w:tcPr>
          <w:p w14:paraId="38A8627B"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£8,244.84</w:t>
            </w:r>
          </w:p>
        </w:tc>
        <w:tc>
          <w:tcPr>
            <w:tcW w:w="1037" w:type="dxa"/>
            <w:tcBorders>
              <w:top w:val="nil"/>
              <w:left w:val="nil"/>
              <w:bottom w:val="nil"/>
              <w:right w:val="nil"/>
            </w:tcBorders>
          </w:tcPr>
          <w:p w14:paraId="2ED6DEB4"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£21,240.84</w:t>
            </w:r>
          </w:p>
        </w:tc>
      </w:tr>
      <w:tr w:rsidR="00116B58" w:rsidRPr="009166E3" w14:paraId="7502C3DB" w14:textId="77777777" w:rsidTr="00B3158B">
        <w:tc>
          <w:tcPr>
            <w:tcW w:w="2835" w:type="dxa"/>
            <w:tcBorders>
              <w:top w:val="nil"/>
              <w:left w:val="nil"/>
              <w:bottom w:val="nil"/>
              <w:right w:val="nil"/>
            </w:tcBorders>
          </w:tcPr>
          <w:p w14:paraId="69BC3DA9"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CDK4/6 inhibitors</w:t>
            </w:r>
          </w:p>
        </w:tc>
        <w:tc>
          <w:tcPr>
            <w:tcW w:w="805" w:type="dxa"/>
            <w:tcBorders>
              <w:top w:val="nil"/>
              <w:left w:val="nil"/>
              <w:bottom w:val="nil"/>
              <w:right w:val="nil"/>
            </w:tcBorders>
          </w:tcPr>
          <w:p w14:paraId="75965DE0" w14:textId="77777777" w:rsidR="00116B58" w:rsidRPr="009166E3" w:rsidRDefault="00116B58" w:rsidP="00B3158B">
            <w:pPr>
              <w:jc w:val="right"/>
              <w:rPr>
                <w:rFonts w:ascii="Arial" w:hAnsi="Arial" w:cs="Arial"/>
                <w:bCs/>
                <w:sz w:val="18"/>
                <w:szCs w:val="18"/>
              </w:rPr>
            </w:pPr>
          </w:p>
        </w:tc>
        <w:tc>
          <w:tcPr>
            <w:tcW w:w="977" w:type="dxa"/>
            <w:tcBorders>
              <w:top w:val="nil"/>
              <w:left w:val="nil"/>
              <w:bottom w:val="nil"/>
              <w:right w:val="nil"/>
            </w:tcBorders>
          </w:tcPr>
          <w:p w14:paraId="249C4048" w14:textId="77777777" w:rsidR="00116B58" w:rsidRPr="009166E3" w:rsidRDefault="00116B58" w:rsidP="00B3158B">
            <w:pPr>
              <w:jc w:val="right"/>
              <w:rPr>
                <w:rFonts w:ascii="Arial" w:hAnsi="Arial" w:cs="Arial"/>
                <w:bCs/>
                <w:sz w:val="18"/>
                <w:szCs w:val="18"/>
              </w:rPr>
            </w:pPr>
          </w:p>
        </w:tc>
        <w:tc>
          <w:tcPr>
            <w:tcW w:w="977" w:type="dxa"/>
            <w:tcBorders>
              <w:top w:val="nil"/>
              <w:left w:val="nil"/>
              <w:bottom w:val="nil"/>
              <w:right w:val="nil"/>
            </w:tcBorders>
          </w:tcPr>
          <w:p w14:paraId="195ABED5" w14:textId="77777777" w:rsidR="00116B58" w:rsidRPr="009166E3" w:rsidRDefault="00116B58" w:rsidP="00B3158B">
            <w:pPr>
              <w:jc w:val="right"/>
              <w:rPr>
                <w:rFonts w:ascii="Arial" w:hAnsi="Arial" w:cs="Arial"/>
                <w:bCs/>
                <w:sz w:val="18"/>
                <w:szCs w:val="18"/>
              </w:rPr>
            </w:pPr>
          </w:p>
        </w:tc>
        <w:tc>
          <w:tcPr>
            <w:tcW w:w="1268" w:type="dxa"/>
            <w:tcBorders>
              <w:top w:val="nil"/>
              <w:left w:val="nil"/>
              <w:bottom w:val="nil"/>
              <w:right w:val="nil"/>
            </w:tcBorders>
          </w:tcPr>
          <w:p w14:paraId="4957BF74" w14:textId="77777777" w:rsidR="00116B58" w:rsidRPr="009166E3" w:rsidRDefault="00116B58" w:rsidP="00B3158B">
            <w:pPr>
              <w:jc w:val="right"/>
              <w:rPr>
                <w:rFonts w:ascii="Arial" w:hAnsi="Arial" w:cs="Arial"/>
                <w:bCs/>
                <w:sz w:val="18"/>
                <w:szCs w:val="18"/>
              </w:rPr>
            </w:pPr>
          </w:p>
        </w:tc>
        <w:tc>
          <w:tcPr>
            <w:tcW w:w="1127" w:type="dxa"/>
            <w:tcBorders>
              <w:top w:val="nil"/>
              <w:left w:val="nil"/>
              <w:bottom w:val="nil"/>
              <w:right w:val="nil"/>
            </w:tcBorders>
          </w:tcPr>
          <w:p w14:paraId="4658A952" w14:textId="77777777" w:rsidR="00116B58" w:rsidRPr="009166E3" w:rsidRDefault="00116B58" w:rsidP="00B3158B">
            <w:pPr>
              <w:jc w:val="right"/>
              <w:rPr>
                <w:rFonts w:ascii="Arial" w:hAnsi="Arial" w:cs="Arial"/>
                <w:bCs/>
                <w:sz w:val="18"/>
                <w:szCs w:val="18"/>
              </w:rPr>
            </w:pPr>
          </w:p>
        </w:tc>
        <w:tc>
          <w:tcPr>
            <w:tcW w:w="1037" w:type="dxa"/>
            <w:tcBorders>
              <w:top w:val="nil"/>
              <w:left w:val="nil"/>
              <w:bottom w:val="nil"/>
              <w:right w:val="nil"/>
            </w:tcBorders>
          </w:tcPr>
          <w:p w14:paraId="52648302" w14:textId="77777777" w:rsidR="00116B58" w:rsidRPr="009166E3" w:rsidRDefault="00116B58" w:rsidP="00B3158B">
            <w:pPr>
              <w:jc w:val="right"/>
              <w:rPr>
                <w:rFonts w:ascii="Arial" w:hAnsi="Arial" w:cs="Arial"/>
                <w:bCs/>
                <w:sz w:val="18"/>
                <w:szCs w:val="18"/>
              </w:rPr>
            </w:pPr>
          </w:p>
        </w:tc>
      </w:tr>
      <w:tr w:rsidR="00116B58" w:rsidRPr="009166E3" w14:paraId="3FC43BF1" w14:textId="77777777" w:rsidTr="00B3158B">
        <w:tc>
          <w:tcPr>
            <w:tcW w:w="2835" w:type="dxa"/>
            <w:tcBorders>
              <w:top w:val="nil"/>
              <w:left w:val="nil"/>
              <w:bottom w:val="nil"/>
              <w:right w:val="nil"/>
            </w:tcBorders>
          </w:tcPr>
          <w:p w14:paraId="0620AA7D" w14:textId="77777777" w:rsidR="00116B58" w:rsidRPr="009166E3" w:rsidRDefault="00116B58" w:rsidP="00B3158B">
            <w:pPr>
              <w:rPr>
                <w:rFonts w:ascii="Arial" w:hAnsi="Arial" w:cs="Arial"/>
                <w:bCs/>
                <w:sz w:val="18"/>
                <w:szCs w:val="18"/>
              </w:rPr>
            </w:pPr>
            <w:proofErr w:type="spellStart"/>
            <w:r w:rsidRPr="009166E3">
              <w:rPr>
                <w:rFonts w:ascii="Arial" w:hAnsi="Arial" w:cs="Arial"/>
                <w:bCs/>
                <w:sz w:val="18"/>
                <w:szCs w:val="18"/>
              </w:rPr>
              <w:t>Abemaciclib</w:t>
            </w:r>
            <w:proofErr w:type="spellEnd"/>
            <w:r w:rsidRPr="009166E3">
              <w:rPr>
                <w:rFonts w:ascii="Arial" w:hAnsi="Arial" w:cs="Arial"/>
                <w:bCs/>
                <w:sz w:val="18"/>
                <w:szCs w:val="18"/>
              </w:rPr>
              <w:t xml:space="preserve"> 150mg x 56 per month</w:t>
            </w:r>
          </w:p>
        </w:tc>
        <w:tc>
          <w:tcPr>
            <w:tcW w:w="805" w:type="dxa"/>
            <w:tcBorders>
              <w:top w:val="nil"/>
              <w:left w:val="nil"/>
              <w:bottom w:val="nil"/>
              <w:right w:val="nil"/>
            </w:tcBorders>
          </w:tcPr>
          <w:p w14:paraId="2E392FB0" w14:textId="77777777" w:rsidR="00116B58" w:rsidRPr="009166E3" w:rsidRDefault="00116B58" w:rsidP="00B3158B">
            <w:pPr>
              <w:jc w:val="right"/>
              <w:rPr>
                <w:rFonts w:ascii="Arial" w:hAnsi="Arial" w:cs="Arial"/>
                <w:bCs/>
                <w:sz w:val="18"/>
                <w:szCs w:val="18"/>
                <w:vertAlign w:val="superscript"/>
              </w:rPr>
            </w:pPr>
            <w:r w:rsidRPr="009166E3">
              <w:rPr>
                <w:rFonts w:ascii="Arial" w:hAnsi="Arial" w:cs="Arial"/>
                <w:bCs/>
                <w:sz w:val="18"/>
                <w:szCs w:val="18"/>
              </w:rPr>
              <w:t>33.3%</w:t>
            </w:r>
            <w:r w:rsidRPr="009166E3">
              <w:rPr>
                <w:rFonts w:ascii="Arial" w:hAnsi="Arial" w:cs="Arial"/>
                <w:bCs/>
                <w:sz w:val="18"/>
                <w:szCs w:val="18"/>
                <w:vertAlign w:val="superscript"/>
              </w:rPr>
              <w:t>2</w:t>
            </w:r>
          </w:p>
        </w:tc>
        <w:tc>
          <w:tcPr>
            <w:tcW w:w="977" w:type="dxa"/>
            <w:tcBorders>
              <w:top w:val="nil"/>
              <w:left w:val="nil"/>
              <w:bottom w:val="nil"/>
              <w:right w:val="nil"/>
            </w:tcBorders>
          </w:tcPr>
          <w:p w14:paraId="62E74834"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977" w:type="dxa"/>
            <w:tcBorders>
              <w:top w:val="nil"/>
              <w:left w:val="nil"/>
              <w:bottom w:val="nil"/>
              <w:right w:val="nil"/>
            </w:tcBorders>
          </w:tcPr>
          <w:p w14:paraId="5DC9E7DA"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1268" w:type="dxa"/>
            <w:tcBorders>
              <w:top w:val="nil"/>
              <w:left w:val="nil"/>
              <w:bottom w:val="nil"/>
              <w:right w:val="nil"/>
            </w:tcBorders>
          </w:tcPr>
          <w:p w14:paraId="25D084CB"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£17,715.66</w:t>
            </w:r>
          </w:p>
        </w:tc>
        <w:tc>
          <w:tcPr>
            <w:tcW w:w="1127" w:type="dxa"/>
            <w:tcBorders>
              <w:top w:val="nil"/>
              <w:left w:val="nil"/>
              <w:bottom w:val="nil"/>
              <w:right w:val="nil"/>
            </w:tcBorders>
          </w:tcPr>
          <w:p w14:paraId="4B83171E"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7F1ABCA7"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£17,715.66</w:t>
            </w:r>
          </w:p>
        </w:tc>
      </w:tr>
      <w:tr w:rsidR="00116B58" w:rsidRPr="009166E3" w14:paraId="19418A5B" w14:textId="77777777" w:rsidTr="00B3158B">
        <w:tc>
          <w:tcPr>
            <w:tcW w:w="2835" w:type="dxa"/>
            <w:tcBorders>
              <w:top w:val="nil"/>
              <w:left w:val="nil"/>
              <w:bottom w:val="nil"/>
              <w:right w:val="nil"/>
            </w:tcBorders>
          </w:tcPr>
          <w:p w14:paraId="663C6E55"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Palbociclib 125mg x 21 per month</w:t>
            </w:r>
          </w:p>
        </w:tc>
        <w:tc>
          <w:tcPr>
            <w:tcW w:w="805" w:type="dxa"/>
            <w:tcBorders>
              <w:top w:val="nil"/>
              <w:left w:val="nil"/>
              <w:bottom w:val="nil"/>
              <w:right w:val="nil"/>
            </w:tcBorders>
          </w:tcPr>
          <w:p w14:paraId="37618E4B" w14:textId="77777777" w:rsidR="00116B58" w:rsidRPr="009166E3" w:rsidRDefault="00116B58" w:rsidP="00B3158B">
            <w:pPr>
              <w:jc w:val="right"/>
              <w:rPr>
                <w:rFonts w:ascii="Arial" w:hAnsi="Arial" w:cs="Arial"/>
                <w:bCs/>
                <w:sz w:val="18"/>
                <w:szCs w:val="18"/>
                <w:vertAlign w:val="superscript"/>
              </w:rPr>
            </w:pPr>
            <w:r w:rsidRPr="009166E3">
              <w:rPr>
                <w:rFonts w:ascii="Arial" w:hAnsi="Arial" w:cs="Arial"/>
                <w:bCs/>
                <w:sz w:val="18"/>
                <w:szCs w:val="18"/>
              </w:rPr>
              <w:t>33.3%</w:t>
            </w:r>
            <w:r w:rsidRPr="009166E3">
              <w:rPr>
                <w:rFonts w:ascii="Arial" w:hAnsi="Arial" w:cs="Arial"/>
                <w:bCs/>
                <w:sz w:val="18"/>
                <w:szCs w:val="18"/>
                <w:vertAlign w:val="superscript"/>
              </w:rPr>
              <w:t>2</w:t>
            </w:r>
          </w:p>
        </w:tc>
        <w:tc>
          <w:tcPr>
            <w:tcW w:w="977" w:type="dxa"/>
            <w:tcBorders>
              <w:top w:val="nil"/>
              <w:left w:val="nil"/>
              <w:bottom w:val="nil"/>
              <w:right w:val="nil"/>
            </w:tcBorders>
          </w:tcPr>
          <w:p w14:paraId="349C9DCD"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977" w:type="dxa"/>
            <w:tcBorders>
              <w:top w:val="nil"/>
              <w:left w:val="nil"/>
              <w:bottom w:val="nil"/>
              <w:right w:val="nil"/>
            </w:tcBorders>
          </w:tcPr>
          <w:p w14:paraId="775E910B"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1268" w:type="dxa"/>
            <w:tcBorders>
              <w:top w:val="nil"/>
              <w:left w:val="nil"/>
              <w:bottom w:val="nil"/>
              <w:right w:val="nil"/>
            </w:tcBorders>
          </w:tcPr>
          <w:p w14:paraId="01EF4F75"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£17,709.78</w:t>
            </w:r>
          </w:p>
        </w:tc>
        <w:tc>
          <w:tcPr>
            <w:tcW w:w="1127" w:type="dxa"/>
            <w:tcBorders>
              <w:top w:val="nil"/>
              <w:left w:val="nil"/>
              <w:bottom w:val="nil"/>
              <w:right w:val="nil"/>
            </w:tcBorders>
          </w:tcPr>
          <w:p w14:paraId="54C7E3BD"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1378B842"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£17,709.78</w:t>
            </w:r>
          </w:p>
        </w:tc>
      </w:tr>
      <w:tr w:rsidR="00116B58" w:rsidRPr="009166E3" w14:paraId="1CA78B3C" w14:textId="77777777" w:rsidTr="00B3158B">
        <w:tc>
          <w:tcPr>
            <w:tcW w:w="2835" w:type="dxa"/>
            <w:tcBorders>
              <w:top w:val="nil"/>
              <w:left w:val="nil"/>
              <w:bottom w:val="nil"/>
              <w:right w:val="nil"/>
            </w:tcBorders>
          </w:tcPr>
          <w:p w14:paraId="02657863" w14:textId="77777777" w:rsidR="00116B58" w:rsidRPr="009166E3" w:rsidRDefault="00116B58" w:rsidP="00B3158B">
            <w:pPr>
              <w:rPr>
                <w:rFonts w:ascii="Arial" w:hAnsi="Arial" w:cs="Arial"/>
                <w:bCs/>
                <w:sz w:val="18"/>
                <w:szCs w:val="18"/>
              </w:rPr>
            </w:pPr>
            <w:proofErr w:type="spellStart"/>
            <w:r w:rsidRPr="009166E3">
              <w:rPr>
                <w:rFonts w:ascii="Arial" w:hAnsi="Arial" w:cs="Arial"/>
                <w:bCs/>
                <w:sz w:val="18"/>
                <w:szCs w:val="18"/>
              </w:rPr>
              <w:t>Ribociclib</w:t>
            </w:r>
            <w:proofErr w:type="spellEnd"/>
            <w:r w:rsidRPr="009166E3">
              <w:rPr>
                <w:rFonts w:ascii="Arial" w:hAnsi="Arial" w:cs="Arial"/>
                <w:bCs/>
                <w:sz w:val="18"/>
                <w:szCs w:val="18"/>
              </w:rPr>
              <w:t xml:space="preserve"> 125mg x 21 per month</w:t>
            </w:r>
          </w:p>
        </w:tc>
        <w:tc>
          <w:tcPr>
            <w:tcW w:w="805" w:type="dxa"/>
            <w:tcBorders>
              <w:top w:val="nil"/>
              <w:left w:val="nil"/>
              <w:bottom w:val="nil"/>
              <w:right w:val="nil"/>
            </w:tcBorders>
          </w:tcPr>
          <w:p w14:paraId="09C831B4" w14:textId="77777777" w:rsidR="00116B58" w:rsidRPr="009166E3" w:rsidRDefault="00116B58" w:rsidP="00B3158B">
            <w:pPr>
              <w:jc w:val="right"/>
              <w:rPr>
                <w:rFonts w:ascii="Arial" w:hAnsi="Arial" w:cs="Arial"/>
                <w:bCs/>
                <w:sz w:val="18"/>
                <w:szCs w:val="18"/>
                <w:vertAlign w:val="superscript"/>
              </w:rPr>
            </w:pPr>
            <w:r w:rsidRPr="009166E3">
              <w:rPr>
                <w:rFonts w:ascii="Arial" w:hAnsi="Arial" w:cs="Arial"/>
                <w:bCs/>
                <w:sz w:val="18"/>
                <w:szCs w:val="18"/>
              </w:rPr>
              <w:t>33.3%</w:t>
            </w:r>
            <w:r w:rsidRPr="009166E3">
              <w:rPr>
                <w:rFonts w:ascii="Arial" w:hAnsi="Arial" w:cs="Arial"/>
                <w:bCs/>
                <w:sz w:val="18"/>
                <w:szCs w:val="18"/>
                <w:vertAlign w:val="superscript"/>
              </w:rPr>
              <w:t>2</w:t>
            </w:r>
          </w:p>
        </w:tc>
        <w:tc>
          <w:tcPr>
            <w:tcW w:w="977" w:type="dxa"/>
            <w:tcBorders>
              <w:top w:val="nil"/>
              <w:left w:val="nil"/>
              <w:bottom w:val="nil"/>
              <w:right w:val="nil"/>
            </w:tcBorders>
          </w:tcPr>
          <w:p w14:paraId="602781A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977" w:type="dxa"/>
            <w:tcBorders>
              <w:top w:val="nil"/>
              <w:left w:val="nil"/>
              <w:bottom w:val="nil"/>
              <w:right w:val="nil"/>
            </w:tcBorders>
          </w:tcPr>
          <w:p w14:paraId="66A614DD"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1268" w:type="dxa"/>
            <w:tcBorders>
              <w:top w:val="nil"/>
              <w:left w:val="nil"/>
              <w:bottom w:val="nil"/>
              <w:right w:val="nil"/>
            </w:tcBorders>
          </w:tcPr>
          <w:p w14:paraId="0C7B431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£17,709.72</w:t>
            </w:r>
          </w:p>
        </w:tc>
        <w:tc>
          <w:tcPr>
            <w:tcW w:w="1127" w:type="dxa"/>
            <w:tcBorders>
              <w:top w:val="nil"/>
              <w:left w:val="nil"/>
              <w:bottom w:val="nil"/>
              <w:right w:val="nil"/>
            </w:tcBorders>
          </w:tcPr>
          <w:p w14:paraId="6FC9BD44"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296ED9D5"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£17,709.72</w:t>
            </w:r>
          </w:p>
        </w:tc>
      </w:tr>
      <w:tr w:rsidR="00116B58" w:rsidRPr="009166E3" w14:paraId="3DC88A06" w14:textId="77777777" w:rsidTr="00B3158B">
        <w:tc>
          <w:tcPr>
            <w:tcW w:w="2835" w:type="dxa"/>
            <w:tcBorders>
              <w:top w:val="nil"/>
              <w:left w:val="nil"/>
              <w:bottom w:val="nil"/>
              <w:right w:val="nil"/>
            </w:tcBorders>
          </w:tcPr>
          <w:p w14:paraId="629541E1"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Endocrine therapy</w:t>
            </w:r>
          </w:p>
        </w:tc>
        <w:tc>
          <w:tcPr>
            <w:tcW w:w="805" w:type="dxa"/>
            <w:tcBorders>
              <w:top w:val="nil"/>
              <w:left w:val="nil"/>
              <w:bottom w:val="nil"/>
              <w:right w:val="nil"/>
            </w:tcBorders>
          </w:tcPr>
          <w:p w14:paraId="130D40B7" w14:textId="77777777" w:rsidR="00116B58" w:rsidRPr="009166E3" w:rsidRDefault="00116B58" w:rsidP="00B3158B">
            <w:pPr>
              <w:jc w:val="right"/>
              <w:rPr>
                <w:rFonts w:ascii="Arial" w:hAnsi="Arial" w:cs="Arial"/>
                <w:bCs/>
                <w:sz w:val="18"/>
                <w:szCs w:val="18"/>
              </w:rPr>
            </w:pPr>
          </w:p>
        </w:tc>
        <w:tc>
          <w:tcPr>
            <w:tcW w:w="977" w:type="dxa"/>
            <w:tcBorders>
              <w:top w:val="nil"/>
              <w:left w:val="nil"/>
              <w:bottom w:val="nil"/>
              <w:right w:val="nil"/>
            </w:tcBorders>
          </w:tcPr>
          <w:p w14:paraId="7E785623" w14:textId="77777777" w:rsidR="00116B58" w:rsidRPr="009166E3" w:rsidRDefault="00116B58" w:rsidP="00B3158B">
            <w:pPr>
              <w:jc w:val="right"/>
              <w:rPr>
                <w:rFonts w:ascii="Arial" w:hAnsi="Arial" w:cs="Arial"/>
                <w:bCs/>
                <w:sz w:val="18"/>
                <w:szCs w:val="18"/>
              </w:rPr>
            </w:pPr>
          </w:p>
        </w:tc>
        <w:tc>
          <w:tcPr>
            <w:tcW w:w="977" w:type="dxa"/>
            <w:tcBorders>
              <w:top w:val="nil"/>
              <w:left w:val="nil"/>
              <w:bottom w:val="nil"/>
              <w:right w:val="nil"/>
            </w:tcBorders>
          </w:tcPr>
          <w:p w14:paraId="698D7C9D" w14:textId="77777777" w:rsidR="00116B58" w:rsidRPr="009166E3" w:rsidRDefault="00116B58" w:rsidP="00B3158B">
            <w:pPr>
              <w:jc w:val="right"/>
              <w:rPr>
                <w:rFonts w:ascii="Arial" w:hAnsi="Arial" w:cs="Arial"/>
                <w:bCs/>
                <w:sz w:val="18"/>
                <w:szCs w:val="18"/>
              </w:rPr>
            </w:pPr>
          </w:p>
        </w:tc>
        <w:tc>
          <w:tcPr>
            <w:tcW w:w="1268" w:type="dxa"/>
            <w:tcBorders>
              <w:top w:val="nil"/>
              <w:left w:val="nil"/>
              <w:bottom w:val="nil"/>
              <w:right w:val="nil"/>
            </w:tcBorders>
          </w:tcPr>
          <w:p w14:paraId="73F295A2" w14:textId="77777777" w:rsidR="00116B58" w:rsidRPr="009166E3" w:rsidRDefault="00116B58" w:rsidP="00B3158B">
            <w:pPr>
              <w:jc w:val="right"/>
              <w:rPr>
                <w:rFonts w:ascii="Arial" w:hAnsi="Arial" w:cs="Arial"/>
                <w:bCs/>
                <w:sz w:val="18"/>
                <w:szCs w:val="18"/>
              </w:rPr>
            </w:pPr>
          </w:p>
        </w:tc>
        <w:tc>
          <w:tcPr>
            <w:tcW w:w="1127" w:type="dxa"/>
            <w:tcBorders>
              <w:top w:val="nil"/>
              <w:left w:val="nil"/>
              <w:bottom w:val="nil"/>
              <w:right w:val="nil"/>
            </w:tcBorders>
          </w:tcPr>
          <w:p w14:paraId="3C6358B2" w14:textId="77777777" w:rsidR="00116B58" w:rsidRPr="009166E3" w:rsidRDefault="00116B58" w:rsidP="00B3158B">
            <w:pPr>
              <w:jc w:val="right"/>
              <w:rPr>
                <w:rFonts w:ascii="Arial" w:hAnsi="Arial" w:cs="Arial"/>
                <w:bCs/>
                <w:sz w:val="18"/>
                <w:szCs w:val="18"/>
              </w:rPr>
            </w:pPr>
          </w:p>
        </w:tc>
        <w:tc>
          <w:tcPr>
            <w:tcW w:w="1037" w:type="dxa"/>
            <w:tcBorders>
              <w:top w:val="nil"/>
              <w:left w:val="nil"/>
              <w:bottom w:val="nil"/>
              <w:right w:val="nil"/>
            </w:tcBorders>
          </w:tcPr>
          <w:p w14:paraId="4A4E6D6B" w14:textId="77777777" w:rsidR="00116B58" w:rsidRPr="009166E3" w:rsidRDefault="00116B58" w:rsidP="00B3158B">
            <w:pPr>
              <w:jc w:val="right"/>
              <w:rPr>
                <w:rFonts w:ascii="Arial" w:hAnsi="Arial" w:cs="Arial"/>
                <w:bCs/>
                <w:sz w:val="18"/>
                <w:szCs w:val="18"/>
              </w:rPr>
            </w:pPr>
          </w:p>
        </w:tc>
      </w:tr>
      <w:tr w:rsidR="00116B58" w:rsidRPr="009166E3" w14:paraId="31B86CA4" w14:textId="77777777" w:rsidTr="00B3158B">
        <w:tc>
          <w:tcPr>
            <w:tcW w:w="2835" w:type="dxa"/>
            <w:tcBorders>
              <w:top w:val="nil"/>
              <w:left w:val="nil"/>
              <w:bottom w:val="nil"/>
              <w:right w:val="nil"/>
            </w:tcBorders>
          </w:tcPr>
          <w:p w14:paraId="5163CE16"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Tamoxifen 20mg/day</w:t>
            </w:r>
          </w:p>
        </w:tc>
        <w:tc>
          <w:tcPr>
            <w:tcW w:w="805" w:type="dxa"/>
            <w:tcBorders>
              <w:top w:val="nil"/>
              <w:left w:val="nil"/>
              <w:bottom w:val="nil"/>
              <w:right w:val="nil"/>
            </w:tcBorders>
          </w:tcPr>
          <w:p w14:paraId="7CE60DE3"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18%</w:t>
            </w:r>
          </w:p>
        </w:tc>
        <w:tc>
          <w:tcPr>
            <w:tcW w:w="977" w:type="dxa"/>
            <w:tcBorders>
              <w:top w:val="nil"/>
              <w:left w:val="nil"/>
              <w:bottom w:val="nil"/>
              <w:right w:val="nil"/>
            </w:tcBorders>
          </w:tcPr>
          <w:p w14:paraId="20AFACE3"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15%</w:t>
            </w:r>
          </w:p>
        </w:tc>
        <w:tc>
          <w:tcPr>
            <w:tcW w:w="977" w:type="dxa"/>
            <w:tcBorders>
              <w:top w:val="nil"/>
              <w:left w:val="nil"/>
              <w:bottom w:val="nil"/>
              <w:right w:val="nil"/>
            </w:tcBorders>
          </w:tcPr>
          <w:p w14:paraId="0E8837D7"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29%</w:t>
            </w:r>
          </w:p>
        </w:tc>
        <w:tc>
          <w:tcPr>
            <w:tcW w:w="1268" w:type="dxa"/>
            <w:tcBorders>
              <w:top w:val="nil"/>
              <w:left w:val="nil"/>
              <w:bottom w:val="nil"/>
              <w:right w:val="nil"/>
            </w:tcBorders>
          </w:tcPr>
          <w:p w14:paraId="1AD2EF80"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£50.96</w:t>
            </w:r>
          </w:p>
        </w:tc>
        <w:tc>
          <w:tcPr>
            <w:tcW w:w="1127" w:type="dxa"/>
            <w:tcBorders>
              <w:top w:val="nil"/>
              <w:left w:val="nil"/>
              <w:bottom w:val="nil"/>
              <w:right w:val="nil"/>
            </w:tcBorders>
          </w:tcPr>
          <w:p w14:paraId="293AC46A"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4E8DD1DA"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£50.96</w:t>
            </w:r>
          </w:p>
        </w:tc>
      </w:tr>
      <w:tr w:rsidR="00116B58" w:rsidRPr="009166E3" w14:paraId="354272A4" w14:textId="77777777" w:rsidTr="00B3158B">
        <w:tc>
          <w:tcPr>
            <w:tcW w:w="2835" w:type="dxa"/>
            <w:tcBorders>
              <w:top w:val="nil"/>
              <w:left w:val="nil"/>
              <w:bottom w:val="nil"/>
              <w:right w:val="nil"/>
            </w:tcBorders>
          </w:tcPr>
          <w:p w14:paraId="0B2C9E42" w14:textId="77777777" w:rsidR="00116B58" w:rsidRPr="009166E3" w:rsidRDefault="00116B58" w:rsidP="00B3158B">
            <w:pPr>
              <w:rPr>
                <w:rFonts w:ascii="Arial" w:hAnsi="Arial" w:cs="Arial"/>
                <w:bCs/>
                <w:sz w:val="18"/>
                <w:szCs w:val="18"/>
              </w:rPr>
            </w:pPr>
            <w:proofErr w:type="spellStart"/>
            <w:r w:rsidRPr="009166E3">
              <w:rPr>
                <w:rFonts w:ascii="Arial" w:hAnsi="Arial" w:cs="Arial"/>
                <w:bCs/>
                <w:sz w:val="18"/>
                <w:szCs w:val="18"/>
              </w:rPr>
              <w:t>Anastrazole</w:t>
            </w:r>
            <w:proofErr w:type="spellEnd"/>
            <w:r w:rsidRPr="009166E3">
              <w:rPr>
                <w:rFonts w:ascii="Arial" w:hAnsi="Arial" w:cs="Arial"/>
                <w:bCs/>
                <w:sz w:val="18"/>
                <w:szCs w:val="18"/>
              </w:rPr>
              <w:t xml:space="preserve"> 1mg/day</w:t>
            </w:r>
          </w:p>
        </w:tc>
        <w:tc>
          <w:tcPr>
            <w:tcW w:w="805" w:type="dxa"/>
            <w:tcBorders>
              <w:top w:val="nil"/>
              <w:left w:val="nil"/>
              <w:bottom w:val="nil"/>
              <w:right w:val="nil"/>
            </w:tcBorders>
          </w:tcPr>
          <w:p w14:paraId="49BFF2D0"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31%</w:t>
            </w:r>
          </w:p>
        </w:tc>
        <w:tc>
          <w:tcPr>
            <w:tcW w:w="977" w:type="dxa"/>
            <w:tcBorders>
              <w:top w:val="nil"/>
              <w:left w:val="nil"/>
              <w:bottom w:val="nil"/>
              <w:right w:val="nil"/>
            </w:tcBorders>
          </w:tcPr>
          <w:p w14:paraId="63D2EF2D"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9%</w:t>
            </w:r>
          </w:p>
        </w:tc>
        <w:tc>
          <w:tcPr>
            <w:tcW w:w="977" w:type="dxa"/>
            <w:tcBorders>
              <w:top w:val="nil"/>
              <w:left w:val="nil"/>
              <w:bottom w:val="nil"/>
              <w:right w:val="nil"/>
            </w:tcBorders>
          </w:tcPr>
          <w:p w14:paraId="2E2E747B"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14%</w:t>
            </w:r>
          </w:p>
        </w:tc>
        <w:tc>
          <w:tcPr>
            <w:tcW w:w="1268" w:type="dxa"/>
            <w:tcBorders>
              <w:top w:val="nil"/>
              <w:left w:val="nil"/>
              <w:bottom w:val="nil"/>
              <w:right w:val="nil"/>
            </w:tcBorders>
          </w:tcPr>
          <w:p w14:paraId="47375213"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£6.37</w:t>
            </w:r>
          </w:p>
        </w:tc>
        <w:tc>
          <w:tcPr>
            <w:tcW w:w="1127" w:type="dxa"/>
            <w:tcBorders>
              <w:top w:val="nil"/>
              <w:left w:val="nil"/>
              <w:bottom w:val="nil"/>
              <w:right w:val="nil"/>
            </w:tcBorders>
          </w:tcPr>
          <w:p w14:paraId="30547001"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3259ACAF"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£6.37</w:t>
            </w:r>
          </w:p>
        </w:tc>
      </w:tr>
      <w:tr w:rsidR="00116B58" w:rsidRPr="009166E3" w14:paraId="3C69B3B9" w14:textId="77777777" w:rsidTr="00B3158B">
        <w:tc>
          <w:tcPr>
            <w:tcW w:w="2835" w:type="dxa"/>
            <w:tcBorders>
              <w:top w:val="nil"/>
              <w:left w:val="nil"/>
              <w:bottom w:val="nil"/>
              <w:right w:val="nil"/>
            </w:tcBorders>
          </w:tcPr>
          <w:p w14:paraId="5134D8D7"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Letrozole 2.5mg/day</w:t>
            </w:r>
          </w:p>
        </w:tc>
        <w:tc>
          <w:tcPr>
            <w:tcW w:w="805" w:type="dxa"/>
            <w:tcBorders>
              <w:top w:val="nil"/>
              <w:left w:val="nil"/>
              <w:bottom w:val="nil"/>
              <w:right w:val="nil"/>
            </w:tcBorders>
          </w:tcPr>
          <w:p w14:paraId="736F9315"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39%</w:t>
            </w:r>
          </w:p>
        </w:tc>
        <w:tc>
          <w:tcPr>
            <w:tcW w:w="977" w:type="dxa"/>
            <w:tcBorders>
              <w:top w:val="nil"/>
              <w:left w:val="nil"/>
              <w:bottom w:val="nil"/>
              <w:right w:val="nil"/>
            </w:tcBorders>
          </w:tcPr>
          <w:p w14:paraId="1A6A8AD0"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18%</w:t>
            </w:r>
          </w:p>
        </w:tc>
        <w:tc>
          <w:tcPr>
            <w:tcW w:w="977" w:type="dxa"/>
            <w:tcBorders>
              <w:top w:val="nil"/>
              <w:left w:val="nil"/>
              <w:bottom w:val="nil"/>
              <w:right w:val="nil"/>
            </w:tcBorders>
          </w:tcPr>
          <w:p w14:paraId="045BFC8C"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14%</w:t>
            </w:r>
          </w:p>
        </w:tc>
        <w:tc>
          <w:tcPr>
            <w:tcW w:w="1268" w:type="dxa"/>
            <w:tcBorders>
              <w:top w:val="nil"/>
              <w:left w:val="nil"/>
              <w:bottom w:val="nil"/>
              <w:right w:val="nil"/>
            </w:tcBorders>
          </w:tcPr>
          <w:p w14:paraId="57F43610"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£10.60</w:t>
            </w:r>
          </w:p>
        </w:tc>
        <w:tc>
          <w:tcPr>
            <w:tcW w:w="1127" w:type="dxa"/>
            <w:tcBorders>
              <w:top w:val="nil"/>
              <w:left w:val="nil"/>
              <w:bottom w:val="nil"/>
              <w:right w:val="nil"/>
            </w:tcBorders>
          </w:tcPr>
          <w:p w14:paraId="4ECAEE4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5A2444A1"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£10.60</w:t>
            </w:r>
          </w:p>
        </w:tc>
      </w:tr>
      <w:tr w:rsidR="00116B58" w:rsidRPr="009166E3" w14:paraId="2D7116F2" w14:textId="77777777" w:rsidTr="00B3158B">
        <w:tc>
          <w:tcPr>
            <w:tcW w:w="2835" w:type="dxa"/>
            <w:tcBorders>
              <w:top w:val="nil"/>
              <w:left w:val="nil"/>
              <w:bottom w:val="nil"/>
              <w:right w:val="nil"/>
            </w:tcBorders>
          </w:tcPr>
          <w:p w14:paraId="3E2094E0" w14:textId="77777777" w:rsidR="00116B58" w:rsidRPr="009166E3" w:rsidRDefault="00116B58" w:rsidP="00B3158B">
            <w:pPr>
              <w:rPr>
                <w:rFonts w:ascii="Arial" w:hAnsi="Arial" w:cs="Arial"/>
                <w:bCs/>
                <w:sz w:val="18"/>
                <w:szCs w:val="18"/>
              </w:rPr>
            </w:pPr>
            <w:r w:rsidRPr="009166E3">
              <w:rPr>
                <w:rFonts w:ascii="Arial" w:hAnsi="Arial" w:cs="Arial"/>
                <w:bCs/>
                <w:sz w:val="18"/>
                <w:szCs w:val="18"/>
              </w:rPr>
              <w:t>Exemestane 25mg daily</w:t>
            </w:r>
          </w:p>
        </w:tc>
        <w:tc>
          <w:tcPr>
            <w:tcW w:w="805" w:type="dxa"/>
            <w:tcBorders>
              <w:top w:val="nil"/>
              <w:left w:val="nil"/>
              <w:bottom w:val="nil"/>
              <w:right w:val="nil"/>
            </w:tcBorders>
          </w:tcPr>
          <w:p w14:paraId="02FC38F5"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7%</w:t>
            </w:r>
          </w:p>
        </w:tc>
        <w:tc>
          <w:tcPr>
            <w:tcW w:w="977" w:type="dxa"/>
            <w:tcBorders>
              <w:top w:val="nil"/>
              <w:left w:val="nil"/>
              <w:bottom w:val="nil"/>
              <w:right w:val="nil"/>
            </w:tcBorders>
          </w:tcPr>
          <w:p w14:paraId="2121D1D8"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18%</w:t>
            </w:r>
          </w:p>
        </w:tc>
        <w:tc>
          <w:tcPr>
            <w:tcW w:w="977" w:type="dxa"/>
            <w:tcBorders>
              <w:top w:val="nil"/>
              <w:left w:val="nil"/>
              <w:bottom w:val="nil"/>
              <w:right w:val="nil"/>
            </w:tcBorders>
          </w:tcPr>
          <w:p w14:paraId="297BFFD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14%</w:t>
            </w:r>
          </w:p>
        </w:tc>
        <w:tc>
          <w:tcPr>
            <w:tcW w:w="1268" w:type="dxa"/>
            <w:tcBorders>
              <w:top w:val="nil"/>
              <w:left w:val="nil"/>
              <w:bottom w:val="nil"/>
              <w:right w:val="nil"/>
            </w:tcBorders>
          </w:tcPr>
          <w:p w14:paraId="1512F10A"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£28.88</w:t>
            </w:r>
          </w:p>
        </w:tc>
        <w:tc>
          <w:tcPr>
            <w:tcW w:w="1127" w:type="dxa"/>
            <w:tcBorders>
              <w:top w:val="nil"/>
              <w:left w:val="nil"/>
              <w:bottom w:val="nil"/>
              <w:right w:val="nil"/>
            </w:tcBorders>
          </w:tcPr>
          <w:p w14:paraId="12B5D1DF"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64410531"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£28.88</w:t>
            </w:r>
          </w:p>
        </w:tc>
      </w:tr>
      <w:tr w:rsidR="00116B58" w:rsidRPr="009166E3" w14:paraId="6DB31C3D" w14:textId="77777777" w:rsidTr="00B3158B">
        <w:tc>
          <w:tcPr>
            <w:tcW w:w="2835" w:type="dxa"/>
            <w:tcBorders>
              <w:top w:val="nil"/>
              <w:left w:val="nil"/>
              <w:bottom w:val="nil"/>
              <w:right w:val="nil"/>
            </w:tcBorders>
          </w:tcPr>
          <w:p w14:paraId="668A1C33" w14:textId="77777777" w:rsidR="00116B58" w:rsidRPr="009166E3" w:rsidRDefault="00116B58" w:rsidP="00B3158B">
            <w:pPr>
              <w:rPr>
                <w:rFonts w:ascii="Arial" w:hAnsi="Arial" w:cs="Arial"/>
                <w:bCs/>
                <w:sz w:val="18"/>
                <w:szCs w:val="18"/>
              </w:rPr>
            </w:pPr>
            <w:proofErr w:type="spellStart"/>
            <w:r w:rsidRPr="009166E3">
              <w:rPr>
                <w:rFonts w:ascii="Arial" w:eastAsia="Times New Roman" w:hAnsi="Arial" w:cs="Arial"/>
                <w:bCs/>
                <w:sz w:val="18"/>
                <w:szCs w:val="18"/>
                <w:lang w:eastAsia="en-GB"/>
              </w:rPr>
              <w:t>Everolimus</w:t>
            </w:r>
            <w:proofErr w:type="spellEnd"/>
            <w:r w:rsidRPr="009166E3">
              <w:rPr>
                <w:rFonts w:ascii="Arial" w:eastAsia="Times New Roman" w:hAnsi="Arial" w:cs="Arial"/>
                <w:bCs/>
                <w:sz w:val="18"/>
                <w:szCs w:val="18"/>
                <w:lang w:eastAsia="en-GB"/>
              </w:rPr>
              <w:t xml:space="preserve"> 10mg &amp; exemestane 25mg daily</w:t>
            </w:r>
          </w:p>
        </w:tc>
        <w:tc>
          <w:tcPr>
            <w:tcW w:w="805" w:type="dxa"/>
            <w:tcBorders>
              <w:top w:val="nil"/>
              <w:left w:val="nil"/>
              <w:bottom w:val="nil"/>
              <w:right w:val="nil"/>
            </w:tcBorders>
          </w:tcPr>
          <w:p w14:paraId="5B68CC02"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977" w:type="dxa"/>
            <w:tcBorders>
              <w:top w:val="nil"/>
              <w:left w:val="nil"/>
              <w:bottom w:val="nil"/>
              <w:right w:val="nil"/>
            </w:tcBorders>
          </w:tcPr>
          <w:p w14:paraId="5E674FC0"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16%</w:t>
            </w:r>
          </w:p>
        </w:tc>
        <w:tc>
          <w:tcPr>
            <w:tcW w:w="977" w:type="dxa"/>
            <w:tcBorders>
              <w:top w:val="nil"/>
              <w:left w:val="nil"/>
              <w:bottom w:val="nil"/>
              <w:right w:val="nil"/>
            </w:tcBorders>
          </w:tcPr>
          <w:p w14:paraId="3C6B6F96"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29%</w:t>
            </w:r>
          </w:p>
        </w:tc>
        <w:tc>
          <w:tcPr>
            <w:tcW w:w="1268" w:type="dxa"/>
            <w:tcBorders>
              <w:top w:val="nil"/>
              <w:left w:val="nil"/>
              <w:bottom w:val="nil"/>
              <w:right w:val="nil"/>
            </w:tcBorders>
          </w:tcPr>
          <w:p w14:paraId="00A4AA7B"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£16,245.08</w:t>
            </w:r>
          </w:p>
        </w:tc>
        <w:tc>
          <w:tcPr>
            <w:tcW w:w="1127" w:type="dxa"/>
            <w:tcBorders>
              <w:top w:val="nil"/>
              <w:left w:val="nil"/>
              <w:bottom w:val="nil"/>
              <w:right w:val="nil"/>
            </w:tcBorders>
          </w:tcPr>
          <w:p w14:paraId="482CF41E"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£0.00</w:t>
            </w:r>
          </w:p>
        </w:tc>
        <w:tc>
          <w:tcPr>
            <w:tcW w:w="1037" w:type="dxa"/>
            <w:tcBorders>
              <w:top w:val="nil"/>
              <w:left w:val="nil"/>
              <w:bottom w:val="nil"/>
              <w:right w:val="nil"/>
            </w:tcBorders>
          </w:tcPr>
          <w:p w14:paraId="7F9E0F04"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£16,245.08</w:t>
            </w:r>
          </w:p>
        </w:tc>
      </w:tr>
      <w:tr w:rsidR="00116B58" w:rsidRPr="009166E3" w14:paraId="5B9C4BD8" w14:textId="77777777" w:rsidTr="00B3158B">
        <w:tc>
          <w:tcPr>
            <w:tcW w:w="2835" w:type="dxa"/>
            <w:tcBorders>
              <w:top w:val="nil"/>
              <w:left w:val="nil"/>
              <w:bottom w:val="nil"/>
              <w:right w:val="nil"/>
            </w:tcBorders>
          </w:tcPr>
          <w:p w14:paraId="0B4F3FE2" w14:textId="77777777" w:rsidR="00116B58" w:rsidRPr="009166E3" w:rsidRDefault="00116B58" w:rsidP="00B3158B">
            <w:pPr>
              <w:rPr>
                <w:rFonts w:ascii="Arial" w:hAnsi="Arial" w:cs="Arial"/>
                <w:bCs/>
                <w:sz w:val="18"/>
                <w:szCs w:val="18"/>
              </w:rPr>
            </w:pPr>
            <w:proofErr w:type="spellStart"/>
            <w:r w:rsidRPr="009166E3">
              <w:rPr>
                <w:rFonts w:ascii="Arial" w:eastAsia="Times New Roman" w:hAnsi="Arial" w:cs="Arial"/>
                <w:bCs/>
                <w:sz w:val="18"/>
                <w:szCs w:val="18"/>
                <w:lang w:eastAsia="en-GB"/>
              </w:rPr>
              <w:t>Fulvestrant</w:t>
            </w:r>
            <w:proofErr w:type="spellEnd"/>
            <w:r w:rsidRPr="009166E3">
              <w:rPr>
                <w:rFonts w:ascii="Arial" w:eastAsia="Times New Roman" w:hAnsi="Arial" w:cs="Arial"/>
                <w:bCs/>
                <w:sz w:val="18"/>
                <w:szCs w:val="18"/>
                <w:lang w:eastAsia="en-GB"/>
              </w:rPr>
              <w:t xml:space="preserve"> 500mg x 2 doses in first month &amp; 1 dose in months 2-6</w:t>
            </w:r>
          </w:p>
        </w:tc>
        <w:tc>
          <w:tcPr>
            <w:tcW w:w="805" w:type="dxa"/>
            <w:tcBorders>
              <w:top w:val="nil"/>
              <w:left w:val="nil"/>
              <w:bottom w:val="nil"/>
              <w:right w:val="nil"/>
            </w:tcBorders>
          </w:tcPr>
          <w:p w14:paraId="7A526DFB"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4%</w:t>
            </w:r>
          </w:p>
        </w:tc>
        <w:tc>
          <w:tcPr>
            <w:tcW w:w="977" w:type="dxa"/>
            <w:tcBorders>
              <w:top w:val="nil"/>
              <w:left w:val="nil"/>
              <w:bottom w:val="nil"/>
              <w:right w:val="nil"/>
            </w:tcBorders>
          </w:tcPr>
          <w:p w14:paraId="47522ED1"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23%</w:t>
            </w:r>
          </w:p>
        </w:tc>
        <w:tc>
          <w:tcPr>
            <w:tcW w:w="977" w:type="dxa"/>
            <w:tcBorders>
              <w:top w:val="nil"/>
              <w:left w:val="nil"/>
              <w:bottom w:val="nil"/>
              <w:right w:val="nil"/>
            </w:tcBorders>
          </w:tcPr>
          <w:p w14:paraId="36DAF2D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0%</w:t>
            </w:r>
          </w:p>
        </w:tc>
        <w:tc>
          <w:tcPr>
            <w:tcW w:w="1268" w:type="dxa"/>
            <w:tcBorders>
              <w:top w:val="nil"/>
              <w:left w:val="nil"/>
              <w:bottom w:val="nil"/>
              <w:right w:val="nil"/>
            </w:tcBorders>
          </w:tcPr>
          <w:p w14:paraId="08A35064"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£3,656.87</w:t>
            </w:r>
          </w:p>
        </w:tc>
        <w:tc>
          <w:tcPr>
            <w:tcW w:w="1127" w:type="dxa"/>
            <w:tcBorders>
              <w:top w:val="nil"/>
              <w:left w:val="nil"/>
              <w:bottom w:val="nil"/>
              <w:right w:val="nil"/>
            </w:tcBorders>
          </w:tcPr>
          <w:p w14:paraId="7C4FD2D5"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£238.83</w:t>
            </w:r>
          </w:p>
        </w:tc>
        <w:tc>
          <w:tcPr>
            <w:tcW w:w="1037" w:type="dxa"/>
            <w:tcBorders>
              <w:top w:val="nil"/>
              <w:left w:val="nil"/>
              <w:bottom w:val="nil"/>
              <w:right w:val="nil"/>
            </w:tcBorders>
          </w:tcPr>
          <w:p w14:paraId="1D5832A9" w14:textId="77777777" w:rsidR="00116B58" w:rsidRPr="009166E3" w:rsidRDefault="00116B58" w:rsidP="00B3158B">
            <w:pPr>
              <w:jc w:val="right"/>
              <w:rPr>
                <w:rFonts w:ascii="Arial" w:hAnsi="Arial" w:cs="Arial"/>
                <w:bCs/>
                <w:sz w:val="18"/>
                <w:szCs w:val="18"/>
              </w:rPr>
            </w:pPr>
            <w:r w:rsidRPr="009166E3">
              <w:rPr>
                <w:rFonts w:ascii="Arial" w:hAnsi="Arial" w:cs="Arial"/>
                <w:bCs/>
                <w:sz w:val="18"/>
                <w:szCs w:val="18"/>
              </w:rPr>
              <w:t>£3,895.70</w:t>
            </w:r>
          </w:p>
        </w:tc>
      </w:tr>
      <w:tr w:rsidR="00116B58" w:rsidRPr="009166E3" w14:paraId="058630F5" w14:textId="77777777" w:rsidTr="00B3158B">
        <w:tc>
          <w:tcPr>
            <w:tcW w:w="9026" w:type="dxa"/>
            <w:gridSpan w:val="7"/>
            <w:tcBorders>
              <w:top w:val="single" w:sz="4" w:space="0" w:color="auto"/>
              <w:left w:val="nil"/>
              <w:bottom w:val="nil"/>
              <w:right w:val="nil"/>
            </w:tcBorders>
          </w:tcPr>
          <w:p w14:paraId="16167E21" w14:textId="57BFEDAB" w:rsidR="00116B58" w:rsidRPr="009166E3" w:rsidRDefault="00116B58" w:rsidP="00B3158B">
            <w:pPr>
              <w:rPr>
                <w:rFonts w:ascii="Arial" w:hAnsi="Arial" w:cs="Arial"/>
                <w:bCs/>
                <w:sz w:val="16"/>
                <w:szCs w:val="16"/>
              </w:rPr>
            </w:pPr>
            <w:r w:rsidRPr="009166E3">
              <w:rPr>
                <w:rFonts w:ascii="Arial" w:hAnsi="Arial" w:cs="Arial"/>
                <w:bCs/>
                <w:sz w:val="16"/>
                <w:szCs w:val="16"/>
                <w:vertAlign w:val="superscript"/>
              </w:rPr>
              <w:t>1</w:t>
            </w:r>
            <w:r w:rsidRPr="009166E3">
              <w:rPr>
                <w:rFonts w:ascii="Arial" w:hAnsi="Arial" w:cs="Arial"/>
                <w:bCs/>
                <w:sz w:val="16"/>
                <w:szCs w:val="16"/>
              </w:rPr>
              <w:t xml:space="preserve"> Treatment distributions from </w:t>
            </w:r>
            <w:proofErr w:type="spellStart"/>
            <w:r w:rsidRPr="009166E3">
              <w:rPr>
                <w:rFonts w:ascii="Arial" w:hAnsi="Arial" w:cs="Arial"/>
                <w:bCs/>
                <w:sz w:val="16"/>
                <w:szCs w:val="16"/>
              </w:rPr>
              <w:t>Kurosky</w:t>
            </w:r>
            <w:proofErr w:type="spellEnd"/>
            <w:r w:rsidRPr="009166E3">
              <w:rPr>
                <w:rFonts w:ascii="Arial" w:hAnsi="Arial" w:cs="Arial"/>
                <w:bCs/>
                <w:sz w:val="16"/>
                <w:szCs w:val="16"/>
              </w:rPr>
              <w:t xml:space="preserve"> et al. </w:t>
            </w:r>
            <w:r w:rsidRPr="009166E3">
              <w:rPr>
                <w:rFonts w:ascii="Arial" w:hAnsi="Arial" w:cs="Arial"/>
                <w:bCs/>
                <w:sz w:val="16"/>
                <w:szCs w:val="16"/>
              </w:rPr>
              <w:fldChar w:fldCharType="begin" w:fldLock="1"/>
            </w:r>
            <w:r w:rsidR="001759D7" w:rsidRPr="009166E3">
              <w:rPr>
                <w:rFonts w:ascii="Arial" w:hAnsi="Arial" w:cs="Arial"/>
                <w:bCs/>
                <w:sz w:val="16"/>
                <w:szCs w:val="16"/>
              </w:rPr>
              <w:instrText>ADDIN CSL_CITATION {"citationItems":[{"id":"ITEM-1","itemData":{"DOI":"10.1016/j.clbc.2017.10.008","ISSN":"19380666","abstract":"With the emergence of novel therapies for metastatic ER + /HER-2 − breast cancer, substantial changes in treatment options are impending. This study analyzed medical records of a sample of 901 patients with metastatic ER + /HER-2 − breast cancer across 7 countries to describe current real-world treatment patterns and factors associated with disease progression and survival. Receipt of endocrine therapy was associated with longer time to progression and overall survival compared to chemotherapy in the first- and second-line settings. Median time to disease progression was less than a year regardless of therapy type (endocrine or chemotherapy) after both first- and second-line treatment, indicating a need for new treatment strategies that delay progression without affecting quality of life among these patients. Purpose: To describe treatment patterns and clinical outcomes among postmenopausal women with metastatic ER + /HER-2 − breast cancer treated with ≥ 2 lines of endocrine therapy or chemotherapy in the metastatic setting. Patients and Methods: Retrospective medical record review was conducted in Canada, the United Kingdom, Belgium, the Netherlands, Germany, Spain, and France. Baseline characteristics were assessed at the date of metastatic diagnosis. Time to progression (TTP) and overall survival (OS) were estimated by Kaplan-Meier analyses. Multivariable models were used to evaluate factors associated with disease progression. Results: Among 901 patients, the mean (standard deviation) age at metastatic diagnosis was 62.7 (9.7) years; 67.26% were initially diagnosed with metastatic disease, 66.37% had visceral disease, and 25.86% had bone metastasis only. Two-thirds of patients received endocrine therapy for first-line treatment. Fifty-nine percent received endocrine therapy, and 37.18% received chemotherapy for second-line treatment. The most common reason for stopping treatment was disease progression. Median (95% confidence interval [CI]) TTP on first-line endocrine treatment was 11.3 (10.7-12.2) months and 7.0 (6.3-7.9) months on chemotherapy. Median (95% CI) TTP on second-line endocrine therapy was 8.1 (7.5-9.1) months and 6.1 (5.4-6.8) months on chemotherapy. Median (95% CI) OS was 68.6 (52.2-83.7) months after first-line endocrine therapy and 39.7 (34.5-48.7) months after chemotherapy. Conclusion: Patients prescribed endocrine therapy had longer TTP and OS than patients prescribed chemotherapy in the first- and second-line settings. Disease pr…","author":[{"dropping-particle":"","family":"Kurosky","given":"Samantha K.","non-dropping-particle":"","parse-names":false,"suffix":""},{"dropping-particle":"","family":"Mitra","given":"Debanjali","non-dropping-particle":"","parse-names":false,"suffix":""},{"dropping-particle":"","family":"Zanotti","given":"Giovanni","non-dropping-particle":"","parse-names":false,"suffix":""},{"dropping-particle":"","family":"Kaye","given":"James A.","non-dropping-particle":"","parse-names":false,"suffix":""}],"container-title":"Clinical Breast Cancer","id":"ITEM-1","issue":"4","issued":{"date-parts":[["2018","8","1"]]},"page":"e529-e538","publisher":"Elsevier Inc.","title":"Treatment Patterns and Outcomes of Patients With Metastatic ER + /HER-2 − Breast Cancer: A Multicountry Retrospective Medical Record Review","type":"article-journal","volume":"18"},"uris":["http://www.mendeley.com/documents/?uuid=2416dcb1-65c2-3001-8fd2-5a4d493e2f9d"]}],"mendeley":{"formattedCitation":"&lt;sup&gt;5&lt;/sup&gt;","plainTextFormattedCitation":"5","previouslyFormattedCitation":"&lt;sup&gt;44&lt;/sup&gt;"},"properties":{"noteIndex":0},"schema":"https://github.com/citation-style-language/schema/raw/master/csl-citation.json"}</w:instrText>
            </w:r>
            <w:r w:rsidRPr="009166E3">
              <w:rPr>
                <w:rFonts w:ascii="Arial" w:hAnsi="Arial" w:cs="Arial"/>
                <w:bCs/>
                <w:sz w:val="16"/>
                <w:szCs w:val="16"/>
              </w:rPr>
              <w:fldChar w:fldCharType="separate"/>
            </w:r>
            <w:r w:rsidR="001759D7" w:rsidRPr="009166E3">
              <w:rPr>
                <w:rFonts w:ascii="Arial" w:hAnsi="Arial" w:cs="Arial"/>
                <w:bCs/>
                <w:noProof/>
                <w:sz w:val="16"/>
                <w:szCs w:val="16"/>
                <w:vertAlign w:val="superscript"/>
              </w:rPr>
              <w:t>5</w:t>
            </w:r>
            <w:r w:rsidRPr="009166E3">
              <w:rPr>
                <w:rFonts w:ascii="Arial" w:hAnsi="Arial" w:cs="Arial"/>
                <w:bCs/>
                <w:sz w:val="16"/>
                <w:szCs w:val="16"/>
              </w:rPr>
              <w:fldChar w:fldCharType="end"/>
            </w:r>
            <w:r w:rsidRPr="009166E3">
              <w:rPr>
                <w:rFonts w:ascii="Arial" w:hAnsi="Arial" w:cs="Arial"/>
                <w:bCs/>
                <w:sz w:val="16"/>
                <w:szCs w:val="16"/>
              </w:rPr>
              <w:t xml:space="preserve"> and NICE TA563 </w:t>
            </w:r>
            <w:r w:rsidRPr="009166E3">
              <w:rPr>
                <w:rFonts w:ascii="Arial" w:hAnsi="Arial" w:cs="Arial"/>
                <w:bCs/>
                <w:sz w:val="16"/>
                <w:szCs w:val="16"/>
              </w:rPr>
              <w:fldChar w:fldCharType="begin" w:fldLock="1"/>
            </w:r>
            <w:r w:rsidR="001759D7" w:rsidRPr="009166E3">
              <w:rPr>
                <w:rFonts w:ascii="Arial" w:hAnsi="Arial" w:cs="Arial"/>
                <w:bCs/>
                <w:sz w:val="16"/>
                <w:szCs w:val="16"/>
              </w:rPr>
              <w:instrText>ADDIN CSL_CITATION {"citationItems":[{"id":"ITEM-1","itemData":{"author":[{"dropping-particle":"","family":"National Institute for Health and Care Excellence","given":"","non-dropping-particle":"","parse-names":false,"suffix":""}],"id":"ITEM-1","issued":{"date-parts":[["2019"]]},"title":"Abemaciclib with an aromatose inhibitor for previously untreated, hormone receptor-positive, HER2-negative, locally advanced or metastatic breast cancer","type":"report"},"uris":["http://www.mendeley.com/documents/?uuid=e438141c-2d74-4605-a0b6-1b01fcebab26"]}],"mendeley":{"formattedCitation":"&lt;sup&gt;6&lt;/sup&gt;","plainTextFormattedCitation":"6","previouslyFormattedCitation":"&lt;sup&gt;42&lt;/sup&gt;"},"properties":{"noteIndex":0},"schema":"https://github.com/citation-style-language/schema/raw/master/csl-citation.json"}</w:instrText>
            </w:r>
            <w:r w:rsidRPr="009166E3">
              <w:rPr>
                <w:rFonts w:ascii="Arial" w:hAnsi="Arial" w:cs="Arial"/>
                <w:bCs/>
                <w:sz w:val="16"/>
                <w:szCs w:val="16"/>
              </w:rPr>
              <w:fldChar w:fldCharType="separate"/>
            </w:r>
            <w:r w:rsidR="001759D7" w:rsidRPr="009166E3">
              <w:rPr>
                <w:rFonts w:ascii="Arial" w:hAnsi="Arial" w:cs="Arial"/>
                <w:bCs/>
                <w:noProof/>
                <w:sz w:val="16"/>
                <w:szCs w:val="16"/>
                <w:vertAlign w:val="superscript"/>
              </w:rPr>
              <w:t>6</w:t>
            </w:r>
            <w:r w:rsidRPr="009166E3">
              <w:rPr>
                <w:rFonts w:ascii="Arial" w:hAnsi="Arial" w:cs="Arial"/>
                <w:bCs/>
                <w:sz w:val="16"/>
                <w:szCs w:val="16"/>
              </w:rPr>
              <w:fldChar w:fldCharType="end"/>
            </w:r>
          </w:p>
          <w:p w14:paraId="77F17799" w14:textId="77777777" w:rsidR="00116B58" w:rsidRPr="009166E3" w:rsidRDefault="00116B58" w:rsidP="00B3158B">
            <w:pPr>
              <w:rPr>
                <w:rFonts w:ascii="Arial" w:hAnsi="Arial" w:cs="Arial"/>
                <w:bCs/>
                <w:sz w:val="16"/>
                <w:szCs w:val="16"/>
              </w:rPr>
            </w:pPr>
            <w:r w:rsidRPr="009166E3">
              <w:rPr>
                <w:rFonts w:ascii="Arial" w:hAnsi="Arial" w:cs="Arial"/>
                <w:bCs/>
                <w:sz w:val="16"/>
                <w:szCs w:val="16"/>
                <w:vertAlign w:val="superscript"/>
              </w:rPr>
              <w:t>2</w:t>
            </w:r>
            <w:r w:rsidRPr="009166E3">
              <w:rPr>
                <w:rFonts w:ascii="Arial" w:hAnsi="Arial" w:cs="Arial"/>
                <w:bCs/>
                <w:sz w:val="16"/>
                <w:szCs w:val="16"/>
              </w:rPr>
              <w:t xml:space="preserve"> Assumption </w:t>
            </w:r>
            <w:r w:rsidRPr="009166E3">
              <w:rPr>
                <w:rFonts w:ascii="Arial" w:hAnsi="Arial" w:cs="Arial"/>
                <w:bCs/>
                <w:sz w:val="16"/>
                <w:szCs w:val="16"/>
                <w:vertAlign w:val="superscript"/>
              </w:rPr>
              <w:t>3</w:t>
            </w:r>
            <w:r w:rsidRPr="009166E3">
              <w:rPr>
                <w:rFonts w:ascii="Arial" w:hAnsi="Arial" w:cs="Arial"/>
                <w:bCs/>
                <w:sz w:val="16"/>
                <w:szCs w:val="16"/>
              </w:rPr>
              <w:t xml:space="preserve"> Inclusive of G-CSF and </w:t>
            </w:r>
            <w:proofErr w:type="spellStart"/>
            <w:r w:rsidRPr="009166E3">
              <w:rPr>
                <w:rFonts w:ascii="Arial" w:hAnsi="Arial" w:cs="Arial"/>
                <w:bCs/>
                <w:sz w:val="16"/>
                <w:szCs w:val="16"/>
              </w:rPr>
              <w:t>aprepitant</w:t>
            </w:r>
            <w:proofErr w:type="spellEnd"/>
          </w:p>
        </w:tc>
      </w:tr>
    </w:tbl>
    <w:p w14:paraId="7E42DADF" w14:textId="77777777" w:rsidR="00116B58" w:rsidRPr="009166E3" w:rsidRDefault="00116B58" w:rsidP="00116B58">
      <w:pPr>
        <w:pStyle w:val="BodyText"/>
        <w:spacing w:after="0" w:line="360" w:lineRule="auto"/>
        <w:jc w:val="both"/>
        <w:rPr>
          <w:rFonts w:ascii="Arial" w:hAnsi="Arial" w:cs="Arial"/>
          <w:b/>
          <w:bCs/>
        </w:rPr>
      </w:pPr>
    </w:p>
    <w:p w14:paraId="6AB47C8C" w14:textId="4C82E095" w:rsidR="00B80161" w:rsidRPr="009166E3" w:rsidRDefault="00B80161" w:rsidP="004D123F">
      <w:pPr>
        <w:pStyle w:val="BodyText"/>
        <w:spacing w:after="160" w:line="480" w:lineRule="auto"/>
        <w:jc w:val="both"/>
        <w:rPr>
          <w:rFonts w:ascii="Arial" w:hAnsi="Arial" w:cs="Arial"/>
          <w:b/>
          <w:bCs/>
        </w:rPr>
      </w:pPr>
    </w:p>
    <w:p w14:paraId="6DCF3196" w14:textId="73AB5814" w:rsidR="001759D7" w:rsidRPr="009166E3" w:rsidRDefault="001759D7" w:rsidP="001759D7">
      <w:pPr>
        <w:pStyle w:val="BodyText"/>
        <w:spacing w:after="0" w:line="480" w:lineRule="auto"/>
        <w:jc w:val="both"/>
        <w:outlineLvl w:val="1"/>
        <w:rPr>
          <w:rFonts w:ascii="Arial" w:hAnsi="Arial" w:cs="Arial"/>
          <w:b/>
          <w:bCs/>
        </w:rPr>
      </w:pPr>
      <w:r w:rsidRPr="009166E3">
        <w:rPr>
          <w:rFonts w:ascii="Arial" w:hAnsi="Arial" w:cs="Arial"/>
          <w:b/>
          <w:bCs/>
        </w:rPr>
        <w:t>Supplementary references</w:t>
      </w:r>
    </w:p>
    <w:p w14:paraId="294C52D7" w14:textId="74BD6AAC"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b/>
          <w:bCs/>
        </w:rPr>
        <w:fldChar w:fldCharType="begin" w:fldLock="1"/>
      </w:r>
      <w:r w:rsidRPr="009166E3">
        <w:rPr>
          <w:rFonts w:ascii="Arial" w:hAnsi="Arial" w:cs="Arial"/>
          <w:b/>
          <w:bCs/>
        </w:rPr>
        <w:instrText xml:space="preserve">ADDIN Mendeley Bibliography CSL_BIBLIOGRAPHY </w:instrText>
      </w:r>
      <w:r w:rsidRPr="009166E3">
        <w:rPr>
          <w:rFonts w:ascii="Arial" w:hAnsi="Arial" w:cs="Arial"/>
          <w:b/>
          <w:bCs/>
        </w:rPr>
        <w:fldChar w:fldCharType="separate"/>
      </w:r>
      <w:r w:rsidRPr="009166E3">
        <w:rPr>
          <w:rFonts w:ascii="Arial" w:hAnsi="Arial" w:cs="Arial"/>
          <w:noProof/>
          <w:szCs w:val="24"/>
        </w:rPr>
        <w:t xml:space="preserve">1. </w:t>
      </w:r>
      <w:r w:rsidRPr="009166E3">
        <w:rPr>
          <w:rFonts w:ascii="Arial" w:hAnsi="Arial" w:cs="Arial"/>
          <w:noProof/>
          <w:szCs w:val="24"/>
        </w:rPr>
        <w:tab/>
        <w:t xml:space="preserve">Hinde S, Theriou C, May S, et al. The cost-effectiveness of EndoPredict to inform adjuvant chemotherapy decisions in early breast cancer. </w:t>
      </w:r>
      <w:r w:rsidRPr="009166E3">
        <w:rPr>
          <w:rFonts w:ascii="Arial" w:hAnsi="Arial" w:cs="Arial"/>
          <w:i/>
          <w:iCs/>
          <w:noProof/>
          <w:szCs w:val="24"/>
        </w:rPr>
        <w:t>Heal Policy Technol</w:t>
      </w:r>
      <w:r w:rsidRPr="009166E3">
        <w:rPr>
          <w:rFonts w:ascii="Arial" w:hAnsi="Arial" w:cs="Arial"/>
          <w:noProof/>
          <w:szCs w:val="24"/>
        </w:rPr>
        <w:t>. 2019;8(1):75-83. doi:10.1016/j.hlpt.2018.12.001</w:t>
      </w:r>
    </w:p>
    <w:p w14:paraId="7012C204"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2. </w:t>
      </w:r>
      <w:r w:rsidRPr="009166E3">
        <w:rPr>
          <w:rFonts w:ascii="Arial" w:hAnsi="Arial" w:cs="Arial"/>
          <w:noProof/>
          <w:szCs w:val="24"/>
        </w:rPr>
        <w:tab/>
        <w:t>NHS Improvement. National schedule of NHS costs 2019/20. Published 2021. Accessed April 28, 2020. https://improvement.nhs.uk/resources/national-cost-collection/</w:t>
      </w:r>
    </w:p>
    <w:p w14:paraId="1AAA1156"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3. </w:t>
      </w:r>
      <w:r w:rsidRPr="009166E3">
        <w:rPr>
          <w:rFonts w:ascii="Arial" w:hAnsi="Arial" w:cs="Arial"/>
          <w:noProof/>
          <w:szCs w:val="24"/>
        </w:rPr>
        <w:tab/>
        <w:t>Department of Health and Social Care. Drugs and pharmaceutical electronic market information tool (eMIT). Published 2021. Accessed January 7, 2022. https://www.gov.uk/government/publications/drugs-and-pharmaceutical-electronic-market-information-emit</w:t>
      </w:r>
    </w:p>
    <w:p w14:paraId="0967C9B7"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4. </w:t>
      </w:r>
      <w:r w:rsidRPr="009166E3">
        <w:rPr>
          <w:rFonts w:ascii="Arial" w:hAnsi="Arial" w:cs="Arial"/>
          <w:noProof/>
          <w:szCs w:val="24"/>
        </w:rPr>
        <w:tab/>
        <w:t xml:space="preserve">National Institute for Health and Care Excellence. British National Formulary. </w:t>
      </w:r>
      <w:r w:rsidRPr="009166E3">
        <w:rPr>
          <w:rFonts w:ascii="Arial" w:hAnsi="Arial" w:cs="Arial"/>
          <w:noProof/>
          <w:szCs w:val="24"/>
        </w:rPr>
        <w:lastRenderedPageBreak/>
        <w:t>Published 2020. Accessed January 7, 2022. https://bnf.nice.org.uk/</w:t>
      </w:r>
    </w:p>
    <w:p w14:paraId="6DB2312B"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5. </w:t>
      </w:r>
      <w:r w:rsidRPr="009166E3">
        <w:rPr>
          <w:rFonts w:ascii="Arial" w:hAnsi="Arial" w:cs="Arial"/>
          <w:noProof/>
          <w:szCs w:val="24"/>
        </w:rPr>
        <w:tab/>
        <w:t xml:space="preserve">Kurosky SK, Mitra D, Zanotti G, Kaye JA. Treatment Patterns and Outcomes of Patients With Metastatic ER + /HER-2 − Breast Cancer: A Multicountry Retrospective Medical Record Review. </w:t>
      </w:r>
      <w:r w:rsidRPr="009166E3">
        <w:rPr>
          <w:rFonts w:ascii="Arial" w:hAnsi="Arial" w:cs="Arial"/>
          <w:i/>
          <w:iCs/>
          <w:noProof/>
          <w:szCs w:val="24"/>
        </w:rPr>
        <w:t>Clin Breast Cancer</w:t>
      </w:r>
      <w:r w:rsidRPr="009166E3">
        <w:rPr>
          <w:rFonts w:ascii="Arial" w:hAnsi="Arial" w:cs="Arial"/>
          <w:noProof/>
          <w:szCs w:val="24"/>
        </w:rPr>
        <w:t>. 2018;18(4):e529-e538. doi:10.1016/j.clbc.2017.10.008</w:t>
      </w:r>
    </w:p>
    <w:p w14:paraId="68152798"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6. </w:t>
      </w:r>
      <w:r w:rsidRPr="009166E3">
        <w:rPr>
          <w:rFonts w:ascii="Arial" w:hAnsi="Arial" w:cs="Arial"/>
          <w:noProof/>
          <w:szCs w:val="24"/>
        </w:rPr>
        <w:tab/>
        <w:t xml:space="preserve">National Institute for Health and Care Excellence. </w:t>
      </w:r>
      <w:r w:rsidRPr="009166E3">
        <w:rPr>
          <w:rFonts w:ascii="Arial" w:hAnsi="Arial" w:cs="Arial"/>
          <w:i/>
          <w:iCs/>
          <w:noProof/>
          <w:szCs w:val="24"/>
        </w:rPr>
        <w:t>Abemaciclib with an Aromatose Inhibitor for Previously Untreated, Hormone Receptor-Positive, HER2-Negative, Locally Advanced or Metastatic Breast Cancer</w:t>
      </w:r>
      <w:r w:rsidRPr="009166E3">
        <w:rPr>
          <w:rFonts w:ascii="Arial" w:hAnsi="Arial" w:cs="Arial"/>
          <w:noProof/>
          <w:szCs w:val="24"/>
        </w:rPr>
        <w:t>.; 2019.</w:t>
      </w:r>
    </w:p>
    <w:p w14:paraId="0E9CDE7E"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7. </w:t>
      </w:r>
      <w:r w:rsidRPr="009166E3">
        <w:rPr>
          <w:rFonts w:ascii="Arial" w:hAnsi="Arial" w:cs="Arial"/>
          <w:noProof/>
          <w:szCs w:val="24"/>
        </w:rPr>
        <w:tab/>
        <w:t xml:space="preserve">Sparano JA, Gray RJ, Makower DF, et al. Adjuvant Chemotherapy Guided by a 21-Gene Expression Assay in Breast Cancer. </w:t>
      </w:r>
      <w:r w:rsidRPr="009166E3">
        <w:rPr>
          <w:rFonts w:ascii="Arial" w:hAnsi="Arial" w:cs="Arial"/>
          <w:i/>
          <w:iCs/>
          <w:noProof/>
          <w:szCs w:val="24"/>
        </w:rPr>
        <w:t>N Engl J Med</w:t>
      </w:r>
      <w:r w:rsidRPr="009166E3">
        <w:rPr>
          <w:rFonts w:ascii="Arial" w:hAnsi="Arial" w:cs="Arial"/>
          <w:noProof/>
          <w:szCs w:val="24"/>
        </w:rPr>
        <w:t>. 2018;379(2):111-121. doi:10.1056/NEJMoa1804710</w:t>
      </w:r>
    </w:p>
    <w:p w14:paraId="33104D4F"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8. </w:t>
      </w:r>
      <w:r w:rsidRPr="009166E3">
        <w:rPr>
          <w:rFonts w:ascii="Arial" w:hAnsi="Arial" w:cs="Arial"/>
          <w:noProof/>
          <w:szCs w:val="24"/>
        </w:rPr>
        <w:tab/>
        <w:t xml:space="preserve">National Institute for Health and Care Excellence. </w:t>
      </w:r>
      <w:r w:rsidRPr="009166E3">
        <w:rPr>
          <w:rFonts w:ascii="Arial" w:hAnsi="Arial" w:cs="Arial"/>
          <w:i/>
          <w:iCs/>
          <w:noProof/>
          <w:szCs w:val="24"/>
        </w:rPr>
        <w:t>Tumour Profiling Tests to Guide Adjuvant Chemotherapy Decisions in Early Breast Cancer</w:t>
      </w:r>
      <w:r w:rsidRPr="009166E3">
        <w:rPr>
          <w:rFonts w:ascii="Arial" w:hAnsi="Arial" w:cs="Arial"/>
          <w:noProof/>
          <w:szCs w:val="24"/>
        </w:rPr>
        <w:t>.; 2018.</w:t>
      </w:r>
    </w:p>
    <w:p w14:paraId="137298C2"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9. </w:t>
      </w:r>
      <w:r w:rsidRPr="009166E3">
        <w:rPr>
          <w:rFonts w:ascii="Arial" w:hAnsi="Arial" w:cs="Arial"/>
          <w:noProof/>
          <w:szCs w:val="24"/>
        </w:rPr>
        <w:tab/>
        <w:t xml:space="preserve">Stemmer SM, Steiner M, Rizel S, et al. Clinical outcomes in patients with node-negative breast cancer treated based on the recurrence score results: evidence from a large prospectively designed registry. </w:t>
      </w:r>
      <w:r w:rsidRPr="009166E3">
        <w:rPr>
          <w:rFonts w:ascii="Arial" w:hAnsi="Arial" w:cs="Arial"/>
          <w:i/>
          <w:iCs/>
          <w:noProof/>
          <w:szCs w:val="24"/>
        </w:rPr>
        <w:t>npj Breast Cancer</w:t>
      </w:r>
      <w:r w:rsidRPr="009166E3">
        <w:rPr>
          <w:rFonts w:ascii="Arial" w:hAnsi="Arial" w:cs="Arial"/>
          <w:noProof/>
          <w:szCs w:val="24"/>
        </w:rPr>
        <w:t>. 2017;3(1). doi:10.1038/s41523-017-0034-6</w:t>
      </w:r>
    </w:p>
    <w:p w14:paraId="2E5B01C6"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10. </w:t>
      </w:r>
      <w:r w:rsidRPr="009166E3">
        <w:rPr>
          <w:rFonts w:ascii="Arial" w:hAnsi="Arial" w:cs="Arial"/>
          <w:noProof/>
          <w:szCs w:val="24"/>
        </w:rPr>
        <w:tab/>
        <w:t xml:space="preserve">Geyer CE, Tang G, Mamounas EP, et al. 21-Gene assay as predictor of chemotherapy benefit in HER2-negative breast cancer. </w:t>
      </w:r>
      <w:r w:rsidRPr="009166E3">
        <w:rPr>
          <w:rFonts w:ascii="Arial" w:hAnsi="Arial" w:cs="Arial"/>
          <w:i/>
          <w:iCs/>
          <w:noProof/>
          <w:szCs w:val="24"/>
        </w:rPr>
        <w:t>npj Breast Cancer</w:t>
      </w:r>
      <w:r w:rsidRPr="009166E3">
        <w:rPr>
          <w:rFonts w:ascii="Arial" w:hAnsi="Arial" w:cs="Arial"/>
          <w:noProof/>
          <w:szCs w:val="24"/>
        </w:rPr>
        <w:t>. 2018;4(1). doi:10.1038/s41523-018-0090-6</w:t>
      </w:r>
    </w:p>
    <w:p w14:paraId="745FE4B7"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11. </w:t>
      </w:r>
      <w:r w:rsidRPr="009166E3">
        <w:rPr>
          <w:rFonts w:ascii="Arial" w:hAnsi="Arial" w:cs="Arial"/>
          <w:noProof/>
          <w:szCs w:val="24"/>
        </w:rPr>
        <w:tab/>
        <w:t xml:space="preserve">De Bock GH, Putter H, Bonnema J, Van Der Hage JA, Bartelink H, Van De Velde CJ. The impact of loco-regional recurrences on metastatic progression in early-stage breast cancer: A multistate model. </w:t>
      </w:r>
      <w:r w:rsidRPr="009166E3">
        <w:rPr>
          <w:rFonts w:ascii="Arial" w:hAnsi="Arial" w:cs="Arial"/>
          <w:i/>
          <w:iCs/>
          <w:noProof/>
          <w:szCs w:val="24"/>
        </w:rPr>
        <w:t>Breast Cancer Res Treat</w:t>
      </w:r>
      <w:r w:rsidRPr="009166E3">
        <w:rPr>
          <w:rFonts w:ascii="Arial" w:hAnsi="Arial" w:cs="Arial"/>
          <w:noProof/>
          <w:szCs w:val="24"/>
        </w:rPr>
        <w:t>. 2009;117(2):401-408. doi:10.1007/s10549-008-0300-2</w:t>
      </w:r>
    </w:p>
    <w:p w14:paraId="1DD62DE1"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12. </w:t>
      </w:r>
      <w:r w:rsidRPr="009166E3">
        <w:rPr>
          <w:rFonts w:ascii="Arial" w:hAnsi="Arial" w:cs="Arial"/>
          <w:noProof/>
          <w:szCs w:val="24"/>
        </w:rPr>
        <w:tab/>
        <w:t xml:space="preserve">Petrelli F, Borgonovo K, Cabiddu M, Lonati V, Barni S. Mortality, leukemic risk, and cardiovascular toxicity of adjuvant anthracycline and taxane chemotherapy in breast cancer: a meta-analysis. </w:t>
      </w:r>
      <w:r w:rsidRPr="009166E3">
        <w:rPr>
          <w:rFonts w:ascii="Arial" w:hAnsi="Arial" w:cs="Arial"/>
          <w:i/>
          <w:iCs/>
          <w:noProof/>
          <w:szCs w:val="24"/>
        </w:rPr>
        <w:t>Breast Cancer Res Treat 2012 1352</w:t>
      </w:r>
      <w:r w:rsidRPr="009166E3">
        <w:rPr>
          <w:rFonts w:ascii="Arial" w:hAnsi="Arial" w:cs="Arial"/>
          <w:noProof/>
          <w:szCs w:val="24"/>
        </w:rPr>
        <w:t>. 2012;135(2):335-346. doi:10.1007/S10549-012-2121-6</w:t>
      </w:r>
    </w:p>
    <w:p w14:paraId="3CAACBB5"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lastRenderedPageBreak/>
        <w:t xml:space="preserve">13. </w:t>
      </w:r>
      <w:r w:rsidRPr="009166E3">
        <w:rPr>
          <w:rFonts w:ascii="Arial" w:hAnsi="Arial" w:cs="Arial"/>
          <w:noProof/>
          <w:szCs w:val="24"/>
        </w:rPr>
        <w:tab/>
        <w:t>Office for National Statistics. National life tables 2016-2018, United Kingdom. Published 2019. Accessed February 3, 2021. https://www.ons.gov.uk/releases/nationallifetablesuk2016to2018</w:t>
      </w:r>
    </w:p>
    <w:p w14:paraId="7F55B6B7"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14. </w:t>
      </w:r>
      <w:r w:rsidRPr="009166E3">
        <w:rPr>
          <w:rFonts w:ascii="Arial" w:hAnsi="Arial" w:cs="Arial"/>
          <w:noProof/>
          <w:szCs w:val="24"/>
        </w:rPr>
        <w:tab/>
        <w:t xml:space="preserve">Sledge GW, Toi M, Neven P, et al. The Effect of Abemaciclib Plus Fulvestrant on Overall Survival in Hormone Receptor–Positive, ERBB2-Negative Breast Cancer That Progressed on Endocrine Therapy—MONARCH 2: A Randomized Clinical Trial. </w:t>
      </w:r>
      <w:r w:rsidRPr="009166E3">
        <w:rPr>
          <w:rFonts w:ascii="Arial" w:hAnsi="Arial" w:cs="Arial"/>
          <w:i/>
          <w:iCs/>
          <w:noProof/>
          <w:szCs w:val="24"/>
        </w:rPr>
        <w:t>JAMA Oncol</w:t>
      </w:r>
      <w:r w:rsidRPr="009166E3">
        <w:rPr>
          <w:rFonts w:ascii="Arial" w:hAnsi="Arial" w:cs="Arial"/>
          <w:noProof/>
          <w:szCs w:val="24"/>
        </w:rPr>
        <w:t>. 2020;6(1):116-124. doi:10.1001/JAMAONCOL.2019.4782</w:t>
      </w:r>
    </w:p>
    <w:p w14:paraId="164F9420"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15. </w:t>
      </w:r>
      <w:r w:rsidRPr="009166E3">
        <w:rPr>
          <w:rFonts w:ascii="Arial" w:hAnsi="Arial" w:cs="Arial"/>
          <w:noProof/>
          <w:szCs w:val="24"/>
        </w:rPr>
        <w:tab/>
        <w:t xml:space="preserve">National Institute for Health and Care Excellence. </w:t>
      </w:r>
      <w:r w:rsidRPr="009166E3">
        <w:rPr>
          <w:rFonts w:ascii="Arial" w:hAnsi="Arial" w:cs="Arial"/>
          <w:i/>
          <w:iCs/>
          <w:noProof/>
          <w:szCs w:val="24"/>
        </w:rPr>
        <w:t>Liposomal Cytarabine–Daunorubicin for Untreated Acute Myeloid Leukaemia</w:t>
      </w:r>
      <w:r w:rsidRPr="009166E3">
        <w:rPr>
          <w:rFonts w:ascii="Arial" w:hAnsi="Arial" w:cs="Arial"/>
          <w:noProof/>
          <w:szCs w:val="24"/>
        </w:rPr>
        <w:t>.; 2018.</w:t>
      </w:r>
    </w:p>
    <w:p w14:paraId="05F25D08"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16. </w:t>
      </w:r>
      <w:r w:rsidRPr="009166E3">
        <w:rPr>
          <w:rFonts w:ascii="Arial" w:hAnsi="Arial" w:cs="Arial"/>
          <w:noProof/>
          <w:szCs w:val="24"/>
        </w:rPr>
        <w:tab/>
        <w:t xml:space="preserve">Lidgren M, Wilking N, Jönsson B, Rehnberg C. Health related quality of life in different states of breast cancer. </w:t>
      </w:r>
      <w:r w:rsidRPr="009166E3">
        <w:rPr>
          <w:rFonts w:ascii="Arial" w:hAnsi="Arial" w:cs="Arial"/>
          <w:i/>
          <w:iCs/>
          <w:noProof/>
          <w:szCs w:val="24"/>
        </w:rPr>
        <w:t>Qual Life Res</w:t>
      </w:r>
      <w:r w:rsidRPr="009166E3">
        <w:rPr>
          <w:rFonts w:ascii="Arial" w:hAnsi="Arial" w:cs="Arial"/>
          <w:noProof/>
          <w:szCs w:val="24"/>
        </w:rPr>
        <w:t>. 2007;16(6):1073-1081. doi:10.1007/s11136-007-9202-8</w:t>
      </w:r>
    </w:p>
    <w:p w14:paraId="3DE7A15F"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17. </w:t>
      </w:r>
      <w:r w:rsidRPr="009166E3">
        <w:rPr>
          <w:rFonts w:ascii="Arial" w:hAnsi="Arial" w:cs="Arial"/>
          <w:noProof/>
          <w:szCs w:val="24"/>
        </w:rPr>
        <w:tab/>
        <w:t xml:space="preserve">Campbell HE, Epstein D, Bloomfield D, et al. The cost-effectiveness of adjuvant chemotherapy for early breast cancer: A comparison of no chemotherapy and first, second, and third generation regimens for patients with differing prognoses. </w:t>
      </w:r>
      <w:r w:rsidRPr="009166E3">
        <w:rPr>
          <w:rFonts w:ascii="Arial" w:hAnsi="Arial" w:cs="Arial"/>
          <w:i/>
          <w:iCs/>
          <w:noProof/>
          <w:szCs w:val="24"/>
        </w:rPr>
        <w:t>Eur J Cancer</w:t>
      </w:r>
      <w:r w:rsidRPr="009166E3">
        <w:rPr>
          <w:rFonts w:ascii="Arial" w:hAnsi="Arial" w:cs="Arial"/>
          <w:noProof/>
          <w:szCs w:val="24"/>
        </w:rPr>
        <w:t>. 2011;47(17):2517-2530. doi:10.1016/j.ejca.2011.06.019</w:t>
      </w:r>
    </w:p>
    <w:p w14:paraId="7A268C74"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18. </w:t>
      </w:r>
      <w:r w:rsidRPr="009166E3">
        <w:rPr>
          <w:rFonts w:ascii="Arial" w:hAnsi="Arial" w:cs="Arial"/>
          <w:noProof/>
          <w:szCs w:val="24"/>
        </w:rPr>
        <w:tab/>
        <w:t xml:space="preserve">Ward S, Scope A, Rafia R, et al. Gene expression profiling and expanded immunohistochemistry tests to guide the use of adjuvant chemotherapy in breast cancer management: A systematic review and cost-effectiveness analysis. </w:t>
      </w:r>
      <w:r w:rsidRPr="009166E3">
        <w:rPr>
          <w:rFonts w:ascii="Arial" w:hAnsi="Arial" w:cs="Arial"/>
          <w:i/>
          <w:iCs/>
          <w:noProof/>
          <w:szCs w:val="24"/>
        </w:rPr>
        <w:t>Health Technol Assess (Rockv)</w:t>
      </w:r>
      <w:r w:rsidRPr="009166E3">
        <w:rPr>
          <w:rFonts w:ascii="Arial" w:hAnsi="Arial" w:cs="Arial"/>
          <w:noProof/>
          <w:szCs w:val="24"/>
        </w:rPr>
        <w:t>. 2013;17(44). doi:10.3310/hta17440</w:t>
      </w:r>
    </w:p>
    <w:p w14:paraId="33E74144"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szCs w:val="24"/>
        </w:rPr>
      </w:pPr>
      <w:r w:rsidRPr="009166E3">
        <w:rPr>
          <w:rFonts w:ascii="Arial" w:hAnsi="Arial" w:cs="Arial"/>
          <w:noProof/>
          <w:szCs w:val="24"/>
        </w:rPr>
        <w:t xml:space="preserve">19. </w:t>
      </w:r>
      <w:r w:rsidRPr="009166E3">
        <w:rPr>
          <w:rFonts w:ascii="Arial" w:hAnsi="Arial" w:cs="Arial"/>
          <w:noProof/>
          <w:szCs w:val="24"/>
        </w:rPr>
        <w:tab/>
        <w:t xml:space="preserve">Karnon J, Kerr GR, Jack W, Papo NL, Cameron DA. Health care costs for the treatment of breast cancer recurrent events: Estimates from a UK-based patient-level analysis. </w:t>
      </w:r>
      <w:r w:rsidRPr="009166E3">
        <w:rPr>
          <w:rFonts w:ascii="Arial" w:hAnsi="Arial" w:cs="Arial"/>
          <w:i/>
          <w:iCs/>
          <w:noProof/>
          <w:szCs w:val="24"/>
        </w:rPr>
        <w:t>Br J Cancer</w:t>
      </w:r>
      <w:r w:rsidRPr="009166E3">
        <w:rPr>
          <w:rFonts w:ascii="Arial" w:hAnsi="Arial" w:cs="Arial"/>
          <w:noProof/>
          <w:szCs w:val="24"/>
        </w:rPr>
        <w:t>. 2007;97(4):479-485. doi:10.1038/sj.bjc.6603887</w:t>
      </w:r>
    </w:p>
    <w:p w14:paraId="49BFA2BF" w14:textId="77777777" w:rsidR="001759D7" w:rsidRPr="009166E3" w:rsidRDefault="001759D7" w:rsidP="001759D7">
      <w:pPr>
        <w:widowControl w:val="0"/>
        <w:autoSpaceDE w:val="0"/>
        <w:autoSpaceDN w:val="0"/>
        <w:adjustRightInd w:val="0"/>
        <w:spacing w:after="0" w:line="480" w:lineRule="auto"/>
        <w:ind w:left="640" w:hanging="640"/>
        <w:rPr>
          <w:rFonts w:ascii="Arial" w:hAnsi="Arial" w:cs="Arial"/>
          <w:noProof/>
        </w:rPr>
      </w:pPr>
      <w:r w:rsidRPr="009166E3">
        <w:rPr>
          <w:rFonts w:ascii="Arial" w:hAnsi="Arial" w:cs="Arial"/>
          <w:noProof/>
          <w:szCs w:val="24"/>
        </w:rPr>
        <w:t xml:space="preserve">20. </w:t>
      </w:r>
      <w:r w:rsidRPr="009166E3">
        <w:rPr>
          <w:rFonts w:ascii="Arial" w:hAnsi="Arial" w:cs="Arial"/>
          <w:noProof/>
          <w:szCs w:val="24"/>
        </w:rPr>
        <w:tab/>
        <w:t xml:space="preserve">Zeidan AM, Mahmoud D, Kucmin-Bemelmans IT, et al. Economic burden associated with acute myeloid leukemia treatment. </w:t>
      </w:r>
      <w:r w:rsidRPr="009166E3">
        <w:rPr>
          <w:rFonts w:ascii="Arial" w:hAnsi="Arial" w:cs="Arial"/>
          <w:i/>
          <w:iCs/>
          <w:noProof/>
          <w:szCs w:val="24"/>
        </w:rPr>
        <w:t>http://dx.doi.org/101586/1747408620161112735</w:t>
      </w:r>
      <w:r w:rsidRPr="009166E3">
        <w:rPr>
          <w:rFonts w:ascii="Arial" w:hAnsi="Arial" w:cs="Arial"/>
          <w:noProof/>
          <w:szCs w:val="24"/>
        </w:rPr>
        <w:t>. 2015;9(1):79-89. doi:10.1586/17474086.2016.1112735</w:t>
      </w:r>
    </w:p>
    <w:p w14:paraId="738250CF" w14:textId="620276F1" w:rsidR="00CA4F24" w:rsidRPr="004B5EAA" w:rsidRDefault="001759D7" w:rsidP="004B5EAA">
      <w:pPr>
        <w:pStyle w:val="BodyText"/>
        <w:spacing w:after="0" w:line="480" w:lineRule="auto"/>
        <w:jc w:val="both"/>
        <w:outlineLvl w:val="1"/>
        <w:rPr>
          <w:rFonts w:ascii="Arial" w:hAnsi="Arial" w:cs="Arial"/>
          <w:b/>
          <w:bCs/>
        </w:rPr>
      </w:pPr>
      <w:r w:rsidRPr="009166E3">
        <w:rPr>
          <w:rFonts w:ascii="Arial" w:hAnsi="Arial" w:cs="Arial"/>
          <w:b/>
          <w:bCs/>
        </w:rPr>
        <w:fldChar w:fldCharType="end"/>
      </w:r>
    </w:p>
    <w:p w14:paraId="4E8E0F89" w14:textId="77777777" w:rsidR="004D3080" w:rsidRDefault="004D3080"/>
    <w:sectPr w:rsidR="004D3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D633F"/>
    <w:multiLevelType w:val="multilevel"/>
    <w:tmpl w:val="21B811A0"/>
    <w:lvl w:ilvl="0">
      <w:start w:val="1"/>
      <w:numFmt w:val="decimal"/>
      <w:lvlText w:val="%1."/>
      <w:lvlJc w:val="left"/>
      <w:pPr>
        <w:ind w:left="720" w:hanging="36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54"/>
    <w:rsid w:val="000002E3"/>
    <w:rsid w:val="00040DC0"/>
    <w:rsid w:val="000458FD"/>
    <w:rsid w:val="00116B58"/>
    <w:rsid w:val="00134094"/>
    <w:rsid w:val="001759D7"/>
    <w:rsid w:val="001D4224"/>
    <w:rsid w:val="002375E1"/>
    <w:rsid w:val="0029696A"/>
    <w:rsid w:val="002D40D1"/>
    <w:rsid w:val="0032151B"/>
    <w:rsid w:val="003C1203"/>
    <w:rsid w:val="003C4528"/>
    <w:rsid w:val="003D6354"/>
    <w:rsid w:val="00461935"/>
    <w:rsid w:val="0049695E"/>
    <w:rsid w:val="004A3C29"/>
    <w:rsid w:val="004B0A01"/>
    <w:rsid w:val="004B5EAA"/>
    <w:rsid w:val="004D123F"/>
    <w:rsid w:val="004D3080"/>
    <w:rsid w:val="00565CFB"/>
    <w:rsid w:val="005A3383"/>
    <w:rsid w:val="0061440D"/>
    <w:rsid w:val="00635A2A"/>
    <w:rsid w:val="007748A5"/>
    <w:rsid w:val="0077642A"/>
    <w:rsid w:val="007805E2"/>
    <w:rsid w:val="007864B3"/>
    <w:rsid w:val="00792719"/>
    <w:rsid w:val="007A214F"/>
    <w:rsid w:val="0082763A"/>
    <w:rsid w:val="008805D8"/>
    <w:rsid w:val="008C3D43"/>
    <w:rsid w:val="009166E3"/>
    <w:rsid w:val="00944A9D"/>
    <w:rsid w:val="00951492"/>
    <w:rsid w:val="00A615CF"/>
    <w:rsid w:val="00A867DA"/>
    <w:rsid w:val="00AC7AEC"/>
    <w:rsid w:val="00AE096D"/>
    <w:rsid w:val="00AF42BF"/>
    <w:rsid w:val="00AF6BB4"/>
    <w:rsid w:val="00B0473C"/>
    <w:rsid w:val="00B37821"/>
    <w:rsid w:val="00B80161"/>
    <w:rsid w:val="00B8623B"/>
    <w:rsid w:val="00BF4BD2"/>
    <w:rsid w:val="00C05F09"/>
    <w:rsid w:val="00CA4F24"/>
    <w:rsid w:val="00CB2A2B"/>
    <w:rsid w:val="00CE30A9"/>
    <w:rsid w:val="00CE5D73"/>
    <w:rsid w:val="00D84D5B"/>
    <w:rsid w:val="00DA7F23"/>
    <w:rsid w:val="00E0795B"/>
    <w:rsid w:val="00E705B5"/>
    <w:rsid w:val="00EF2CA8"/>
    <w:rsid w:val="00FA1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F71F"/>
  <w15:chartTrackingRefBased/>
  <w15:docId w15:val="{54E06B52-77CA-4E67-B020-32C8DA30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FA1AA9"/>
    <w:pPr>
      <w:keepNext/>
      <w:keepLines/>
      <w:spacing w:before="240" w:after="120" w:line="240" w:lineRule="auto"/>
      <w:outlineLvl w:val="0"/>
    </w:pPr>
    <w:rPr>
      <w:rFonts w:ascii="Calibri" w:eastAsiaTheme="majorEastAsia" w:hAnsi="Calibri" w:cstheme="majorBidi"/>
      <w:b/>
      <w:sz w:val="36"/>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AA9"/>
    <w:rPr>
      <w:rFonts w:ascii="Calibri" w:eastAsiaTheme="majorEastAsia" w:hAnsi="Calibri" w:cstheme="majorBidi"/>
      <w:b/>
      <w:sz w:val="36"/>
      <w:szCs w:val="32"/>
      <w:lang w:val="id-ID"/>
    </w:rPr>
  </w:style>
  <w:style w:type="paragraph" w:styleId="BodyText">
    <w:name w:val="Body Text"/>
    <w:basedOn w:val="Normal"/>
    <w:link w:val="BodyTextChar"/>
    <w:uiPriority w:val="99"/>
    <w:semiHidden/>
    <w:unhideWhenUsed/>
    <w:rsid w:val="00FA1AA9"/>
    <w:pPr>
      <w:spacing w:after="120"/>
    </w:pPr>
  </w:style>
  <w:style w:type="character" w:customStyle="1" w:styleId="BodyTextChar">
    <w:name w:val="Body Text Char"/>
    <w:basedOn w:val="DefaultParagraphFont"/>
    <w:link w:val="BodyText"/>
    <w:uiPriority w:val="99"/>
    <w:semiHidden/>
    <w:rsid w:val="00FA1AA9"/>
  </w:style>
  <w:style w:type="table" w:styleId="PlainTable2">
    <w:name w:val="Plain Table 2"/>
    <w:basedOn w:val="TableNormal"/>
    <w:uiPriority w:val="42"/>
    <w:rsid w:val="006144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4D1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1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8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79D319E337E4CB5DADB1A45E13443" ma:contentTypeVersion="16" ma:contentTypeDescription="Create a new document." ma:contentTypeScope="" ma:versionID="3d0ad017bb0b7c51a310220013c2a97f">
  <xsd:schema xmlns:xsd="http://www.w3.org/2001/XMLSchema" xmlns:xs="http://www.w3.org/2001/XMLSchema" xmlns:p="http://schemas.microsoft.com/office/2006/metadata/properties" xmlns:ns2="c9586d67-c06f-4cd8-b8f8-8313269c6c7d" xmlns:ns3="a785ad58-1d57-4f8a-aa71-77170459bd0d" xmlns:ns4="e5c8d4d1-8f1b-4522-8b32-23c31fd63db1" targetNamespace="http://schemas.microsoft.com/office/2006/metadata/properties" ma:root="true" ma:fieldsID="e35d8996b98a432eb5e7470b10958305" ns2:_="" ns3:_="" ns4:_="">
    <xsd:import namespace="c9586d67-c06f-4cd8-b8f8-8313269c6c7d"/>
    <xsd:import namespace="a785ad58-1d57-4f8a-aa71-77170459bd0d"/>
    <xsd:import namespace="e5c8d4d1-8f1b-4522-8b32-23c31fd63d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86d67-c06f-4cd8-b8f8-8313269c6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f3cecc-3189-4bf4-9e1c-775c383ec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9"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c8d4d1-8f1b-4522-8b32-23c31fd63db1"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51cf78-6c54-4ff8-b5f8-af2ceb72f320}" ma:internalName="TaxCatchAll" ma:showField="CatchAllData" ma:web="e5c8d4d1-8f1b-4522-8b32-23c31fd63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586d67-c06f-4cd8-b8f8-8313269c6c7d">
      <Terms xmlns="http://schemas.microsoft.com/office/infopath/2007/PartnerControls"/>
    </lcf76f155ced4ddcb4097134ff3c332f>
    <TaxCatchAll xmlns="e5c8d4d1-8f1b-4522-8b32-23c31fd63d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7A415-3E0C-4AE6-AE00-28521A016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86d67-c06f-4cd8-b8f8-8313269c6c7d"/>
    <ds:schemaRef ds:uri="a785ad58-1d57-4f8a-aa71-77170459bd0d"/>
    <ds:schemaRef ds:uri="e5c8d4d1-8f1b-4522-8b32-23c31fd63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DB1FB-8F93-43DF-B576-F32783AEC586}">
  <ds:schemaRefs>
    <ds:schemaRef ds:uri="http://schemas.openxmlformats.org/officeDocument/2006/bibliography"/>
  </ds:schemaRefs>
</ds:datastoreItem>
</file>

<file path=customXml/itemProps3.xml><?xml version="1.0" encoding="utf-8"?>
<ds:datastoreItem xmlns:ds="http://schemas.openxmlformats.org/officeDocument/2006/customXml" ds:itemID="{CAEA6ABC-D897-4C6D-BE15-D8FE7C16E3B4}">
  <ds:schemaRefs>
    <ds:schemaRef ds:uri="http://schemas.microsoft.com/office/2006/metadata/properties"/>
    <ds:schemaRef ds:uri="http://schemas.microsoft.com/office/infopath/2007/PartnerControls"/>
    <ds:schemaRef ds:uri="c9586d67-c06f-4cd8-b8f8-8313269c6c7d"/>
    <ds:schemaRef ds:uri="e5c8d4d1-8f1b-4522-8b32-23c31fd63db1"/>
  </ds:schemaRefs>
</ds:datastoreItem>
</file>

<file path=customXml/itemProps4.xml><?xml version="1.0" encoding="utf-8"?>
<ds:datastoreItem xmlns:ds="http://schemas.openxmlformats.org/officeDocument/2006/customXml" ds:itemID="{3FE8A4B9-BC5E-47A1-AD53-D21907732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18264</Words>
  <Characters>104110</Characters>
  <Application>Microsoft Office Word</Application>
  <DocSecurity>0</DocSecurity>
  <Lines>867</Lines>
  <Paragraphs>244</Paragraphs>
  <ScaleCrop>false</ScaleCrop>
  <Company/>
  <LinksUpToDate>false</LinksUpToDate>
  <CharactersWithSpaces>122130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Berdunov</dc:creator>
  <cp:keywords/>
  <dc:description/>
  <cp:lastModifiedBy>Olliver, Tania</cp:lastModifiedBy>
  <cp:revision>2</cp:revision>
  <dcterms:created xsi:type="dcterms:W3CDTF">2022-08-25T23:04:00Z</dcterms:created>
  <dcterms:modified xsi:type="dcterms:W3CDTF">2022-08-25T23:04:00Z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http://www.zotero.org/styles/jama</vt:lpwstr>
  </property>
  <property fmtid="{D5CDD505-2E9C-101B-9397-08002B2CF9AE}" pid="15" name="Mendeley Recent Style Name 6_1">
    <vt:lpwstr>JAMA (The Journal of the American Medical Association)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3331e0a9-8bad-3255-a88b-7f301ed8b970</vt:lpwstr>
  </property>
  <property fmtid="{D5CDD505-2E9C-101B-9397-08002B2CF9AE}" pid="24" name="Mendeley Citation Style_1">
    <vt:lpwstr>http://www.zotero.org/styles/jama</vt:lpwstr>
  </property>
  <property fmtid="{D5CDD505-2E9C-101B-9397-08002B2CF9AE}" pid="25" name="ContentTypeId">
    <vt:lpwstr>0x01010007C79D319E337E4CB5DADB1A45E13443</vt:lpwstr>
  </property>
  <property fmtid="{D5CDD505-2E9C-101B-9397-08002B2CF9AE}" pid="26" name="MediaServiceImageTags">
    <vt:lpwstr/>
  </property>
</Properties>
</file>