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92" w:rsidRDefault="00D97692" w:rsidP="00B70DF6">
      <w:pPr>
        <w:rPr>
          <w:rFonts w:ascii="Arial" w:hAnsi="Arial" w:cs="Arial"/>
          <w:b/>
          <w:bCs/>
          <w:sz w:val="20"/>
          <w:szCs w:val="20"/>
        </w:rPr>
      </w:pPr>
      <w:r w:rsidRPr="00B70DF6">
        <w:rPr>
          <w:rFonts w:ascii="Arial" w:hAnsi="Arial" w:cs="Arial"/>
          <w:b/>
          <w:bCs/>
          <w:sz w:val="20"/>
          <w:szCs w:val="20"/>
        </w:rPr>
        <w:t>Supplementary results</w:t>
      </w:r>
    </w:p>
    <w:p w:rsidR="005A21AD" w:rsidRPr="005A21AD" w:rsidRDefault="00C27745" w:rsidP="00B70DF6">
      <w:pPr>
        <w:rPr>
          <w:rFonts w:ascii="Arial" w:hAnsi="Arial" w:cs="Arial"/>
          <w:b/>
          <w:bCs/>
          <w:sz w:val="20"/>
          <w:szCs w:val="20"/>
        </w:rPr>
      </w:pPr>
      <w:r>
        <w:rPr>
          <w:rFonts w:ascii="Arial" w:hAnsi="Arial" w:cs="Arial"/>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35pt;height:255.4pt">
            <v:imagedata r:id="rId7" o:title="Fig"/>
          </v:shape>
        </w:pict>
      </w:r>
      <w:proofErr w:type="gramStart"/>
      <w:r w:rsidR="005A21AD" w:rsidRPr="005A21AD">
        <w:rPr>
          <w:rFonts w:ascii="Arial" w:hAnsi="Arial" w:cs="Arial" w:hint="eastAsia"/>
          <w:sz w:val="20"/>
          <w:szCs w:val="20"/>
        </w:rPr>
        <w:t>Fig.</w:t>
      </w:r>
      <w:proofErr w:type="gramEnd"/>
      <w:r w:rsidR="005A21AD" w:rsidRPr="005A21AD">
        <w:rPr>
          <w:rFonts w:ascii="Arial" w:hAnsi="Arial" w:cs="Arial" w:hint="eastAsia"/>
          <w:sz w:val="20"/>
          <w:szCs w:val="20"/>
        </w:rPr>
        <w:t xml:space="preserve"> S1. </w:t>
      </w:r>
      <w:r w:rsidR="005A21AD" w:rsidRPr="005A21AD">
        <w:rPr>
          <w:rFonts w:ascii="Arial" w:hAnsi="Arial" w:cs="Arial"/>
          <w:sz w:val="20"/>
          <w:szCs w:val="20"/>
        </w:rPr>
        <w:t xml:space="preserve">The diagnostic delays in each country (a) and the heat map of the pairwise comparison of the delays between the countries (b) in the </w:t>
      </w:r>
      <w:r w:rsidR="005A21AD">
        <w:rPr>
          <w:rFonts w:ascii="Arial" w:hAnsi="Arial" w:cs="Arial"/>
          <w:sz w:val="20"/>
          <w:szCs w:val="20"/>
        </w:rPr>
        <w:t>whole database of 1051 patients</w:t>
      </w:r>
      <w:r w:rsidR="005A21AD">
        <w:rPr>
          <w:rFonts w:ascii="Arial" w:hAnsi="Arial" w:cs="Arial" w:hint="eastAsia"/>
          <w:sz w:val="20"/>
          <w:szCs w:val="20"/>
        </w:rPr>
        <w:t>.</w:t>
      </w:r>
      <w:r w:rsidR="005A21AD" w:rsidRPr="005A21AD">
        <w:rPr>
          <w:rFonts w:ascii="Arial" w:hAnsi="Arial" w:cs="Arial"/>
          <w:sz w:val="20"/>
          <w:szCs w:val="20"/>
        </w:rPr>
        <w:t xml:space="preserve"> The 1051 patients include the </w:t>
      </w:r>
      <w:bookmarkStart w:id="0" w:name="_GoBack"/>
      <w:bookmarkEnd w:id="0"/>
      <w:r w:rsidR="005A21AD" w:rsidRPr="005A21AD">
        <w:rPr>
          <w:rFonts w:ascii="Arial" w:hAnsi="Arial" w:cs="Arial"/>
          <w:sz w:val="20"/>
          <w:szCs w:val="20"/>
        </w:rPr>
        <w:t xml:space="preserve">non-validated patient who had missing value in any of the mandatory field but without missing data in the dates of </w:t>
      </w:r>
      <w:proofErr w:type="gramStart"/>
      <w:r w:rsidR="005A21AD" w:rsidRPr="005A21AD">
        <w:rPr>
          <w:rFonts w:ascii="Arial" w:hAnsi="Arial" w:cs="Arial"/>
          <w:sz w:val="20"/>
          <w:szCs w:val="20"/>
        </w:rPr>
        <w:t>EDS</w:t>
      </w:r>
      <w:proofErr w:type="gramEnd"/>
      <w:r w:rsidR="005A21AD" w:rsidRPr="005A21AD">
        <w:rPr>
          <w:rFonts w:ascii="Arial" w:hAnsi="Arial" w:cs="Arial"/>
          <w:sz w:val="20"/>
          <w:szCs w:val="20"/>
        </w:rPr>
        <w:t xml:space="preserve"> onset and diagnosis. The data are shown as boxplots and the data point of each patient is marked in blue. </w:t>
      </w:r>
      <w:r w:rsidR="00CC5387">
        <w:rPr>
          <w:rFonts w:ascii="Arial" w:hAnsi="Arial" w:cs="Arial" w:hint="eastAsia"/>
          <w:sz w:val="20"/>
          <w:szCs w:val="20"/>
        </w:rPr>
        <w:t>T</w:t>
      </w:r>
      <w:r w:rsidR="00CC5387" w:rsidRPr="00CC5387">
        <w:rPr>
          <w:rFonts w:ascii="Arial" w:hAnsi="Arial" w:cs="Arial"/>
          <w:sz w:val="20"/>
          <w:szCs w:val="20"/>
        </w:rPr>
        <w:t>he diagnostic delay is significantly different among EUNN countries (</w:t>
      </w:r>
      <w:proofErr w:type="spellStart"/>
      <w:r w:rsidR="00CC5387" w:rsidRPr="00CC5387">
        <w:rPr>
          <w:rFonts w:ascii="Arial" w:hAnsi="Arial" w:cs="Arial"/>
          <w:sz w:val="20"/>
          <w:szCs w:val="20"/>
        </w:rPr>
        <w:t>Kruskal</w:t>
      </w:r>
      <w:proofErr w:type="spellEnd"/>
      <w:r w:rsidR="00CC5387" w:rsidRPr="00CC5387">
        <w:rPr>
          <w:rFonts w:ascii="Arial" w:hAnsi="Arial" w:cs="Arial"/>
          <w:sz w:val="20"/>
          <w:szCs w:val="20"/>
        </w:rPr>
        <w:t>-Wallis rank sum test: P-value&lt;0.0001).</w:t>
      </w:r>
      <w:r w:rsidR="005A21AD" w:rsidRPr="005A21AD">
        <w:rPr>
          <w:rFonts w:ascii="Arial" w:hAnsi="Arial" w:cs="Arial"/>
          <w:sz w:val="20"/>
          <w:szCs w:val="20"/>
        </w:rPr>
        <w:t>The numbers in the heat maps are the P-values of the pairwise comparisons. The value 0 in (b) means P-value&lt;0.0001.</w:t>
      </w:r>
    </w:p>
    <w:p w:rsidR="007756DC" w:rsidRPr="00B70DF6" w:rsidRDefault="007756DC" w:rsidP="00B70DF6">
      <w:pPr>
        <w:rPr>
          <w:rFonts w:ascii="Arial" w:hAnsi="Arial" w:cs="Arial"/>
          <w:sz w:val="20"/>
          <w:szCs w:val="20"/>
        </w:rPr>
      </w:pPr>
    </w:p>
    <w:p w:rsidR="007756DC" w:rsidRPr="00B70DF6" w:rsidRDefault="007756DC" w:rsidP="00087F61">
      <w:pPr>
        <w:jc w:val="center"/>
        <w:rPr>
          <w:rFonts w:ascii="Arial" w:hAnsi="Arial" w:cs="Arial"/>
          <w:sz w:val="20"/>
          <w:szCs w:val="20"/>
        </w:rPr>
      </w:pPr>
      <w:r w:rsidRPr="00B70DF6">
        <w:rPr>
          <w:rFonts w:ascii="Arial" w:hAnsi="Arial" w:cs="Arial"/>
          <w:noProof/>
          <w:sz w:val="20"/>
          <w:szCs w:val="20"/>
        </w:rPr>
        <w:drawing>
          <wp:inline distT="0" distB="0" distL="0" distR="0" wp14:anchorId="56743131" wp14:editId="42900CE0">
            <wp:extent cx="4902200" cy="3225800"/>
            <wp:effectExtent l="0" t="0" r="0" b="0"/>
            <wp:docPr id="5" name="Picture 1"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2200" cy="3225800"/>
                    </a:xfrm>
                    <a:prstGeom prst="rect">
                      <a:avLst/>
                    </a:prstGeom>
                    <a:noFill/>
                    <a:ln>
                      <a:noFill/>
                    </a:ln>
                  </pic:spPr>
                </pic:pic>
              </a:graphicData>
            </a:graphic>
          </wp:inline>
        </w:drawing>
      </w:r>
    </w:p>
    <w:p w:rsidR="007756DC" w:rsidRPr="00B70DF6" w:rsidRDefault="007756DC" w:rsidP="00B70DF6">
      <w:pPr>
        <w:rPr>
          <w:rFonts w:ascii="Arial" w:hAnsi="Arial" w:cs="Arial"/>
          <w:sz w:val="20"/>
          <w:szCs w:val="20"/>
        </w:rPr>
      </w:pPr>
      <w:proofErr w:type="gramStart"/>
      <w:r w:rsidRPr="00B70DF6">
        <w:rPr>
          <w:rFonts w:ascii="Arial" w:hAnsi="Arial" w:cs="Arial"/>
          <w:sz w:val="20"/>
          <w:szCs w:val="20"/>
        </w:rPr>
        <w:lastRenderedPageBreak/>
        <w:t>Fig.</w:t>
      </w:r>
      <w:proofErr w:type="gramEnd"/>
      <w:r w:rsidRPr="00B70DF6">
        <w:rPr>
          <w:rFonts w:ascii="Arial" w:hAnsi="Arial" w:cs="Arial"/>
          <w:sz w:val="20"/>
          <w:szCs w:val="20"/>
        </w:rPr>
        <w:t xml:space="preserve"> S</w:t>
      </w:r>
      <w:r w:rsidR="005A21AD">
        <w:rPr>
          <w:rFonts w:ascii="Arial" w:hAnsi="Arial" w:cs="Arial" w:hint="eastAsia"/>
          <w:sz w:val="20"/>
          <w:szCs w:val="20"/>
        </w:rPr>
        <w:t>2</w:t>
      </w:r>
      <w:r w:rsidRPr="00B70DF6">
        <w:rPr>
          <w:rFonts w:ascii="Arial" w:hAnsi="Arial" w:cs="Arial"/>
          <w:sz w:val="20"/>
          <w:szCs w:val="20"/>
        </w:rPr>
        <w:t xml:space="preserve">. The diagnostic delays in the younger subgroup (˂cut-off age) and older subgroup (≥cut-off age) defined by moving cut-off age between 12 and 23 years old. The points are the medians of the delays and the bars indicate the interquartile ranges. P-values of Wilcoxon rank sum tests between the two subgroups are added in the figure. P-values are adjusted by the false discovery rate method. The numbers of children cases (˂cut-off age) are also added, and the numbers of adults cases equal to 580-n.  </w:t>
      </w:r>
    </w:p>
    <w:p w:rsidR="007756DC" w:rsidRPr="00B70DF6" w:rsidRDefault="007756DC" w:rsidP="00B70DF6">
      <w:pPr>
        <w:rPr>
          <w:rFonts w:ascii="Arial" w:hAnsi="Arial" w:cs="Arial"/>
          <w:sz w:val="20"/>
          <w:szCs w:val="20"/>
        </w:rPr>
      </w:pPr>
    </w:p>
    <w:p w:rsidR="00755062" w:rsidRPr="00B70DF6" w:rsidRDefault="00755062" w:rsidP="00087F61">
      <w:pPr>
        <w:jc w:val="center"/>
        <w:rPr>
          <w:rFonts w:ascii="Arial" w:hAnsi="Arial" w:cs="Arial"/>
          <w:sz w:val="20"/>
          <w:szCs w:val="20"/>
        </w:rPr>
      </w:pPr>
      <w:r w:rsidRPr="00B70DF6">
        <w:rPr>
          <w:rFonts w:ascii="Arial" w:hAnsi="Arial" w:cs="Arial"/>
          <w:noProof/>
          <w:sz w:val="20"/>
          <w:szCs w:val="20"/>
        </w:rPr>
        <w:drawing>
          <wp:inline distT="0" distB="0" distL="0" distR="0" wp14:anchorId="2B4AD2AE" wp14:editId="708126DD">
            <wp:extent cx="5530850" cy="3702050"/>
            <wp:effectExtent l="0" t="0" r="0" b="0"/>
            <wp:docPr id="4" name="Picture 2"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0" cy="3702050"/>
                    </a:xfrm>
                    <a:prstGeom prst="rect">
                      <a:avLst/>
                    </a:prstGeom>
                    <a:noFill/>
                    <a:ln>
                      <a:noFill/>
                    </a:ln>
                  </pic:spPr>
                </pic:pic>
              </a:graphicData>
            </a:graphic>
          </wp:inline>
        </w:drawing>
      </w:r>
    </w:p>
    <w:p w:rsidR="00E757DE" w:rsidRPr="00B70DF6" w:rsidRDefault="00755062" w:rsidP="00B70DF6">
      <w:pPr>
        <w:rPr>
          <w:rFonts w:ascii="Arial" w:hAnsi="Arial" w:cs="Arial"/>
          <w:b/>
          <w:bCs/>
          <w:sz w:val="20"/>
          <w:szCs w:val="20"/>
        </w:rPr>
      </w:pPr>
      <w:proofErr w:type="gramStart"/>
      <w:r w:rsidRPr="00B70DF6">
        <w:rPr>
          <w:rFonts w:ascii="Arial" w:hAnsi="Arial" w:cs="Arial"/>
          <w:sz w:val="20"/>
          <w:szCs w:val="20"/>
        </w:rPr>
        <w:t>Fig.</w:t>
      </w:r>
      <w:proofErr w:type="gramEnd"/>
      <w:r w:rsidRPr="00B70DF6">
        <w:rPr>
          <w:rFonts w:ascii="Arial" w:hAnsi="Arial" w:cs="Arial"/>
          <w:sz w:val="20"/>
          <w:szCs w:val="20"/>
        </w:rPr>
        <w:t xml:space="preserve"> S</w:t>
      </w:r>
      <w:r w:rsidR="005A21AD">
        <w:rPr>
          <w:rFonts w:ascii="Arial" w:hAnsi="Arial" w:cs="Arial" w:hint="eastAsia"/>
          <w:sz w:val="20"/>
          <w:szCs w:val="20"/>
        </w:rPr>
        <w:t>3</w:t>
      </w:r>
      <w:r w:rsidRPr="00B70DF6">
        <w:rPr>
          <w:rFonts w:ascii="Arial" w:hAnsi="Arial" w:cs="Arial"/>
          <w:sz w:val="20"/>
          <w:szCs w:val="20"/>
        </w:rPr>
        <w:t xml:space="preserve">. </w:t>
      </w:r>
      <w:proofErr w:type="gramStart"/>
      <w:r w:rsidRPr="00B70DF6">
        <w:rPr>
          <w:rFonts w:ascii="Arial" w:hAnsi="Arial" w:cs="Arial"/>
          <w:sz w:val="20"/>
          <w:szCs w:val="20"/>
        </w:rPr>
        <w:t>The diagnostic delays between males and females in adult subgroup defined by moving cut-off age between 20 and 30 years old.</w:t>
      </w:r>
      <w:proofErr w:type="gramEnd"/>
      <w:r w:rsidRPr="00B70DF6">
        <w:rPr>
          <w:rFonts w:ascii="Arial" w:hAnsi="Arial" w:cs="Arial"/>
          <w:sz w:val="20"/>
          <w:szCs w:val="20"/>
        </w:rPr>
        <w:t xml:space="preserve"> The points are the medians of the delays and the bars indicate the interquartile ranges. P-values of Wilcoxon rank sum tests between males and females are added in the figure. P-values are adjusted by the false discovery rate method. The numbers of male and female patient ≥cut-off age are also displayed.</w:t>
      </w:r>
    </w:p>
    <w:p w:rsidR="00D97692" w:rsidRPr="00B70DF6" w:rsidRDefault="00D97692" w:rsidP="00B70DF6">
      <w:pPr>
        <w:rPr>
          <w:rFonts w:ascii="Arial" w:hAnsi="Arial" w:cs="Arial"/>
          <w:bCs/>
          <w:sz w:val="20"/>
          <w:szCs w:val="20"/>
        </w:rPr>
      </w:pPr>
      <w:r w:rsidRPr="00B70DF6">
        <w:rPr>
          <w:rFonts w:ascii="Arial" w:hAnsi="Arial" w:cs="Arial"/>
          <w:bCs/>
          <w:sz w:val="20"/>
          <w:szCs w:val="20"/>
        </w:rPr>
        <w:t>Table S</w:t>
      </w:r>
      <w:r w:rsidR="00C24E13" w:rsidRPr="00B70DF6">
        <w:rPr>
          <w:rFonts w:ascii="Arial" w:hAnsi="Arial" w:cs="Arial"/>
          <w:bCs/>
          <w:sz w:val="20"/>
          <w:szCs w:val="20"/>
        </w:rPr>
        <w:t>1</w:t>
      </w:r>
      <w:r w:rsidRPr="00B70DF6">
        <w:rPr>
          <w:rFonts w:ascii="Arial" w:hAnsi="Arial" w:cs="Arial"/>
          <w:bCs/>
          <w:sz w:val="20"/>
          <w:szCs w:val="20"/>
        </w:rPr>
        <w:t>. The number of patient in each country in the additional analysis</w:t>
      </w:r>
    </w:p>
    <w:tbl>
      <w:tblPr>
        <w:tblStyle w:val="a5"/>
        <w:tblW w:w="0" w:type="auto"/>
        <w:tblLook w:val="04A0" w:firstRow="1" w:lastRow="0" w:firstColumn="1" w:lastColumn="0" w:noHBand="0" w:noVBand="1"/>
      </w:tblPr>
      <w:tblGrid>
        <w:gridCol w:w="3207"/>
        <w:gridCol w:w="3207"/>
        <w:gridCol w:w="3208"/>
      </w:tblGrid>
      <w:tr w:rsidR="00D97692" w:rsidRPr="00B70DF6" w:rsidTr="00C326F0">
        <w:tc>
          <w:tcPr>
            <w:tcW w:w="3207" w:type="dxa"/>
          </w:tcPr>
          <w:p w:rsidR="00D97692" w:rsidRPr="00B70DF6" w:rsidRDefault="00D97692" w:rsidP="00B70DF6">
            <w:pPr>
              <w:rPr>
                <w:rFonts w:ascii="Arial" w:hAnsi="Arial" w:cs="Arial"/>
                <w:sz w:val="20"/>
                <w:szCs w:val="20"/>
                <w:lang w:eastAsia="zh-CN"/>
              </w:rPr>
            </w:pPr>
            <w:r w:rsidRPr="00B70DF6">
              <w:rPr>
                <w:rFonts w:ascii="Arial" w:hAnsi="Arial" w:cs="Arial"/>
                <w:sz w:val="20"/>
                <w:szCs w:val="20"/>
                <w:lang w:eastAsia="zh-CN"/>
              </w:rPr>
              <w:t>Country</w:t>
            </w:r>
          </w:p>
        </w:tc>
        <w:tc>
          <w:tcPr>
            <w:tcW w:w="3207" w:type="dxa"/>
          </w:tcPr>
          <w:p w:rsidR="00D97692" w:rsidRPr="00B70DF6" w:rsidRDefault="00D97692" w:rsidP="00B70DF6">
            <w:pPr>
              <w:rPr>
                <w:rFonts w:ascii="Arial" w:hAnsi="Arial" w:cs="Arial"/>
                <w:sz w:val="20"/>
                <w:szCs w:val="20"/>
                <w:lang w:eastAsia="zh-CN"/>
              </w:rPr>
            </w:pPr>
            <w:r w:rsidRPr="00B70DF6">
              <w:rPr>
                <w:rFonts w:ascii="Arial" w:hAnsi="Arial" w:cs="Arial"/>
                <w:sz w:val="20"/>
                <w:szCs w:val="20"/>
                <w:lang w:eastAsia="zh-CN"/>
              </w:rPr>
              <w:t>Number of patient originally used in the study</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lang w:eastAsia="zh-CN"/>
              </w:rPr>
              <w:t>Number of patient for additional analysis *</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Austria</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11</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31</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Czech Republic</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22</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47</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Finland</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42</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56</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France</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116</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149</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Germany</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70</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 xml:space="preserve">167 </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Italy</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113</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238 #</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Netherlands</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56</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98</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Poland</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16</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20</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Portugal</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4</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 xml:space="preserve">62 </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Slovakia</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8</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14</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Spain</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86</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113</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lastRenderedPageBreak/>
              <w:t>Swizerland</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36</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66</w:t>
            </w:r>
          </w:p>
        </w:tc>
      </w:tr>
      <w:tr w:rsidR="00D97692" w:rsidRPr="00B70DF6" w:rsidTr="00C326F0">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TOTAL</w:t>
            </w:r>
          </w:p>
        </w:tc>
        <w:tc>
          <w:tcPr>
            <w:tcW w:w="3207" w:type="dxa"/>
          </w:tcPr>
          <w:p w:rsidR="00D97692" w:rsidRPr="00B70DF6" w:rsidRDefault="00D97692" w:rsidP="00B70DF6">
            <w:pPr>
              <w:rPr>
                <w:rFonts w:ascii="Arial" w:hAnsi="Arial" w:cs="Arial"/>
                <w:sz w:val="20"/>
                <w:szCs w:val="20"/>
              </w:rPr>
            </w:pPr>
            <w:r w:rsidRPr="00B70DF6">
              <w:rPr>
                <w:rFonts w:ascii="Arial" w:hAnsi="Arial" w:cs="Arial"/>
                <w:sz w:val="20"/>
                <w:szCs w:val="20"/>
              </w:rPr>
              <w:t>580</w:t>
            </w:r>
          </w:p>
        </w:tc>
        <w:tc>
          <w:tcPr>
            <w:tcW w:w="3208" w:type="dxa"/>
          </w:tcPr>
          <w:p w:rsidR="00D97692" w:rsidRPr="00B70DF6" w:rsidRDefault="00D97692" w:rsidP="00B70DF6">
            <w:pPr>
              <w:rPr>
                <w:rFonts w:ascii="Arial" w:hAnsi="Arial" w:cs="Arial"/>
                <w:sz w:val="20"/>
                <w:szCs w:val="20"/>
              </w:rPr>
            </w:pPr>
            <w:r w:rsidRPr="00B70DF6">
              <w:rPr>
                <w:rFonts w:ascii="Arial" w:hAnsi="Arial" w:cs="Arial"/>
                <w:sz w:val="20"/>
                <w:szCs w:val="20"/>
              </w:rPr>
              <w:t>1051</w:t>
            </w:r>
          </w:p>
        </w:tc>
      </w:tr>
    </w:tbl>
    <w:p w:rsidR="00D97692" w:rsidRPr="00B70DF6" w:rsidRDefault="00D97692" w:rsidP="00B70DF6">
      <w:pPr>
        <w:spacing w:after="0"/>
        <w:rPr>
          <w:rFonts w:ascii="Arial" w:hAnsi="Arial" w:cs="Arial"/>
          <w:sz w:val="20"/>
          <w:szCs w:val="20"/>
        </w:rPr>
      </w:pPr>
      <w:r w:rsidRPr="00B70DF6">
        <w:rPr>
          <w:rFonts w:ascii="Arial" w:hAnsi="Arial" w:cs="Arial"/>
          <w:sz w:val="20"/>
          <w:szCs w:val="20"/>
        </w:rPr>
        <w:t>* These patients include validated (i.e., no missing value in the mandatory fields of EUNN database), and non-validated patients (i.e., with missing value in any of the mandatory field of EUNN database) but without missing data in the dates of EDS onset and diagnosis. The EUNN decided to move the database to Redcap platform in the spring of 2018, and the new platform started to work in 2019. The original analyses were initiated in 2019 using the database before moving to Redcap, i.e., it only included patients entered by the spring of 2018. In the additional analysis we included all the entries in the database until May 2021.</w:t>
      </w:r>
    </w:p>
    <w:p w:rsidR="00D97692" w:rsidRPr="00B70DF6" w:rsidRDefault="00D97692" w:rsidP="00B70DF6">
      <w:pPr>
        <w:rPr>
          <w:rFonts w:ascii="Arial" w:hAnsi="Arial" w:cs="Arial"/>
          <w:sz w:val="20"/>
          <w:szCs w:val="20"/>
        </w:rPr>
      </w:pPr>
      <w:r w:rsidRPr="00B70DF6">
        <w:rPr>
          <w:rFonts w:ascii="Arial" w:hAnsi="Arial" w:cs="Arial"/>
          <w:sz w:val="20"/>
          <w:szCs w:val="20"/>
        </w:rPr>
        <w:t xml:space="preserve"># </w:t>
      </w:r>
      <w:proofErr w:type="gramStart"/>
      <w:r w:rsidRPr="00B70DF6">
        <w:rPr>
          <w:rFonts w:ascii="Arial" w:hAnsi="Arial" w:cs="Arial"/>
          <w:sz w:val="20"/>
          <w:szCs w:val="20"/>
        </w:rPr>
        <w:t>The</w:t>
      </w:r>
      <w:proofErr w:type="gramEnd"/>
      <w:r w:rsidRPr="00B70DF6">
        <w:rPr>
          <w:rFonts w:ascii="Arial" w:hAnsi="Arial" w:cs="Arial"/>
          <w:sz w:val="20"/>
          <w:szCs w:val="20"/>
        </w:rPr>
        <w:t xml:space="preserve"> number of patient is doubled in Italy because the whole local Bologna database was uploaded to Redcap EUNN database in 2020. The data entry from the other EUNN centers is volunteering based rather than systematically uploading their whole local databases. Therefore, selective bias (e.g., all patients from Bologna vs. selective patients from other centers) may still exist in the pooling analysis using the whole EUNN database, but it is very unlikely to influence the results of within-country comparisons shown in Table S</w:t>
      </w:r>
      <w:r w:rsidR="00C24E13" w:rsidRPr="00B70DF6">
        <w:rPr>
          <w:rFonts w:ascii="Arial" w:hAnsi="Arial" w:cs="Arial"/>
          <w:sz w:val="20"/>
          <w:szCs w:val="20"/>
        </w:rPr>
        <w:t>2</w:t>
      </w:r>
      <w:r w:rsidRPr="00B70DF6">
        <w:rPr>
          <w:rFonts w:ascii="Arial" w:hAnsi="Arial" w:cs="Arial"/>
          <w:sz w:val="20"/>
          <w:szCs w:val="20"/>
        </w:rPr>
        <w:t xml:space="preserve"> below.</w:t>
      </w:r>
    </w:p>
    <w:p w:rsidR="00D97692" w:rsidRPr="00B70DF6" w:rsidRDefault="00D97692" w:rsidP="00B70DF6">
      <w:pPr>
        <w:rPr>
          <w:rFonts w:ascii="Arial" w:hAnsi="Arial" w:cs="Arial"/>
          <w:sz w:val="20"/>
          <w:szCs w:val="20"/>
        </w:rPr>
      </w:pPr>
      <w:r w:rsidRPr="00B70DF6">
        <w:rPr>
          <w:rFonts w:ascii="Arial" w:hAnsi="Arial" w:cs="Arial"/>
          <w:sz w:val="20"/>
          <w:szCs w:val="20"/>
        </w:rPr>
        <w:t>We include Austria and Portugal in the additional analyses in Table S</w:t>
      </w:r>
      <w:r w:rsidR="00C24E13" w:rsidRPr="00B70DF6">
        <w:rPr>
          <w:rFonts w:ascii="Arial" w:hAnsi="Arial" w:cs="Arial"/>
          <w:sz w:val="20"/>
          <w:szCs w:val="20"/>
        </w:rPr>
        <w:t>2</w:t>
      </w:r>
      <w:r w:rsidRPr="00B70DF6">
        <w:rPr>
          <w:rFonts w:ascii="Arial" w:hAnsi="Arial" w:cs="Arial"/>
          <w:sz w:val="20"/>
          <w:szCs w:val="20"/>
        </w:rPr>
        <w:t>. Wilcoxon rank sum test suggests no significant difference in the diagnostic delays between patients diagnosed in 2000s and 2010s in each country except for in Finland. The diagnostic delay is significantly different among EUNN countries (</w:t>
      </w:r>
      <w:proofErr w:type="spellStart"/>
      <w:r w:rsidRPr="00B70DF6">
        <w:rPr>
          <w:rFonts w:ascii="Arial" w:hAnsi="Arial" w:cs="Arial"/>
          <w:sz w:val="20"/>
          <w:szCs w:val="20"/>
        </w:rPr>
        <w:t>Kruskal</w:t>
      </w:r>
      <w:proofErr w:type="spellEnd"/>
      <w:r w:rsidRPr="00B70DF6">
        <w:rPr>
          <w:rFonts w:ascii="Arial" w:hAnsi="Arial" w:cs="Arial"/>
          <w:sz w:val="20"/>
          <w:szCs w:val="20"/>
        </w:rPr>
        <w:t xml:space="preserve">-Wallis rank sum test: P-value&lt;0.0001). </w:t>
      </w:r>
    </w:p>
    <w:p w:rsidR="00D97692" w:rsidRPr="00B70DF6" w:rsidRDefault="00D97692" w:rsidP="00B70DF6">
      <w:pPr>
        <w:rPr>
          <w:rFonts w:ascii="Arial" w:hAnsi="Arial" w:cs="Arial"/>
          <w:sz w:val="20"/>
          <w:szCs w:val="20"/>
        </w:rPr>
      </w:pPr>
      <w:r w:rsidRPr="00B70DF6">
        <w:rPr>
          <w:rFonts w:ascii="Arial" w:hAnsi="Arial" w:cs="Arial"/>
          <w:sz w:val="20"/>
          <w:szCs w:val="20"/>
        </w:rPr>
        <w:t>Table S</w:t>
      </w:r>
      <w:r w:rsidR="00C24E13" w:rsidRPr="00B70DF6">
        <w:rPr>
          <w:rFonts w:ascii="Arial" w:hAnsi="Arial" w:cs="Arial"/>
          <w:sz w:val="20"/>
          <w:szCs w:val="20"/>
        </w:rPr>
        <w:t>2</w:t>
      </w:r>
      <w:r w:rsidRPr="00B70DF6">
        <w:rPr>
          <w:rFonts w:ascii="Arial" w:hAnsi="Arial" w:cs="Arial"/>
          <w:sz w:val="20"/>
          <w:szCs w:val="20"/>
        </w:rPr>
        <w:t>. Wilcoxon rank sum test between patients diagnosed in 2010s and 2000s in each country</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126"/>
        <w:gridCol w:w="142"/>
        <w:gridCol w:w="2409"/>
        <w:gridCol w:w="1576"/>
      </w:tblGrid>
      <w:tr w:rsidR="00D97692" w:rsidRPr="00B70DF6" w:rsidTr="00C326F0">
        <w:trPr>
          <w:jc w:val="center"/>
        </w:trPr>
        <w:tc>
          <w:tcPr>
            <w:tcW w:w="1384" w:type="dxa"/>
            <w:tcBorders>
              <w:top w:val="single" w:sz="4" w:space="0" w:color="auto"/>
              <w:bottom w:val="single" w:sz="4" w:space="0" w:color="auto"/>
            </w:tcBorders>
          </w:tcPr>
          <w:p w:rsidR="00D97692" w:rsidRPr="00B70DF6" w:rsidRDefault="00D97692" w:rsidP="00B70DF6">
            <w:pPr>
              <w:spacing w:after="200" w:line="276" w:lineRule="auto"/>
              <w:rPr>
                <w:rFonts w:ascii="Arial" w:hAnsi="Arial" w:cs="Arial"/>
                <w:sz w:val="20"/>
                <w:szCs w:val="20"/>
                <w:lang w:eastAsia="zh-CN"/>
              </w:rPr>
            </w:pPr>
            <w:r w:rsidRPr="00B70DF6">
              <w:rPr>
                <w:rFonts w:ascii="Arial" w:hAnsi="Arial" w:cs="Arial"/>
                <w:sz w:val="20"/>
                <w:szCs w:val="20"/>
                <w:lang w:eastAsia="zh-CN"/>
              </w:rPr>
              <w:t>Country</w:t>
            </w:r>
          </w:p>
        </w:tc>
        <w:tc>
          <w:tcPr>
            <w:tcW w:w="2268" w:type="dxa"/>
            <w:gridSpan w:val="2"/>
            <w:tcBorders>
              <w:top w:val="single" w:sz="4" w:space="0" w:color="auto"/>
              <w:bottom w:val="single" w:sz="4" w:space="0" w:color="auto"/>
            </w:tcBorders>
          </w:tcPr>
          <w:p w:rsidR="00D97692" w:rsidRPr="00B70DF6" w:rsidRDefault="00D97692" w:rsidP="00B70DF6">
            <w:pPr>
              <w:rPr>
                <w:rFonts w:ascii="Arial" w:hAnsi="Arial" w:cs="Arial"/>
                <w:sz w:val="20"/>
                <w:szCs w:val="20"/>
                <w:lang w:eastAsia="zh-CN"/>
              </w:rPr>
            </w:pPr>
            <w:r w:rsidRPr="00B70DF6">
              <w:rPr>
                <w:rFonts w:ascii="Arial" w:hAnsi="Arial" w:cs="Arial"/>
                <w:sz w:val="20"/>
                <w:szCs w:val="20"/>
                <w:lang w:eastAsia="zh-CN"/>
              </w:rPr>
              <w:t>Median (IQR) delay</w:t>
            </w:r>
          </w:p>
          <w:p w:rsidR="00D97692" w:rsidRPr="00B70DF6" w:rsidRDefault="00D97692" w:rsidP="00B70DF6">
            <w:pPr>
              <w:rPr>
                <w:rFonts w:ascii="Arial" w:hAnsi="Arial" w:cs="Arial"/>
                <w:sz w:val="20"/>
                <w:szCs w:val="20"/>
                <w:lang w:eastAsia="zh-CN"/>
              </w:rPr>
            </w:pPr>
            <w:r w:rsidRPr="00B70DF6">
              <w:rPr>
                <w:rFonts w:ascii="Arial" w:hAnsi="Arial" w:cs="Arial"/>
                <w:sz w:val="20"/>
                <w:szCs w:val="20"/>
                <w:lang w:eastAsia="zh-CN"/>
              </w:rPr>
              <w:t>2000-2009 (years), No.</w:t>
            </w:r>
          </w:p>
        </w:tc>
        <w:tc>
          <w:tcPr>
            <w:tcW w:w="2409" w:type="dxa"/>
            <w:tcBorders>
              <w:top w:val="single" w:sz="4" w:space="0" w:color="auto"/>
              <w:bottom w:val="single" w:sz="4" w:space="0" w:color="auto"/>
            </w:tcBorders>
          </w:tcPr>
          <w:p w:rsidR="00D97692" w:rsidRPr="00B70DF6" w:rsidRDefault="00D97692" w:rsidP="00B70DF6">
            <w:pPr>
              <w:rPr>
                <w:rFonts w:ascii="Arial" w:hAnsi="Arial" w:cs="Arial"/>
                <w:sz w:val="20"/>
                <w:szCs w:val="20"/>
                <w:lang w:eastAsia="zh-CN"/>
              </w:rPr>
            </w:pPr>
            <w:r w:rsidRPr="00B70DF6">
              <w:rPr>
                <w:rFonts w:ascii="Arial" w:hAnsi="Arial" w:cs="Arial"/>
                <w:sz w:val="20"/>
                <w:szCs w:val="20"/>
                <w:lang w:eastAsia="zh-CN"/>
              </w:rPr>
              <w:t>Median (IQR) delay</w:t>
            </w:r>
          </w:p>
          <w:p w:rsidR="00D97692" w:rsidRPr="00B70DF6" w:rsidRDefault="00D97692" w:rsidP="00B70DF6">
            <w:pPr>
              <w:rPr>
                <w:rFonts w:ascii="Arial" w:hAnsi="Arial" w:cs="Arial"/>
                <w:sz w:val="20"/>
                <w:szCs w:val="20"/>
              </w:rPr>
            </w:pPr>
            <w:r w:rsidRPr="00B70DF6">
              <w:rPr>
                <w:rFonts w:ascii="Arial" w:hAnsi="Arial" w:cs="Arial"/>
                <w:sz w:val="20"/>
                <w:szCs w:val="20"/>
                <w:lang w:eastAsia="zh-CN"/>
              </w:rPr>
              <w:t>2010-2020 (years), No.</w:t>
            </w:r>
          </w:p>
        </w:tc>
        <w:tc>
          <w:tcPr>
            <w:tcW w:w="1576" w:type="dxa"/>
            <w:tcBorders>
              <w:top w:val="single" w:sz="4" w:space="0" w:color="auto"/>
              <w:bottom w:val="single" w:sz="4" w:space="0" w:color="auto"/>
            </w:tcBorders>
          </w:tcPr>
          <w:p w:rsidR="00D97692" w:rsidRPr="00B70DF6" w:rsidRDefault="00D97692" w:rsidP="00B70DF6">
            <w:pPr>
              <w:spacing w:after="200" w:line="276" w:lineRule="auto"/>
              <w:rPr>
                <w:rFonts w:ascii="Arial" w:hAnsi="Arial" w:cs="Arial"/>
                <w:sz w:val="20"/>
                <w:szCs w:val="20"/>
                <w:lang w:eastAsia="zh-CN"/>
              </w:rPr>
            </w:pPr>
            <w:r w:rsidRPr="00B70DF6">
              <w:rPr>
                <w:rFonts w:ascii="Arial" w:hAnsi="Arial" w:cs="Arial"/>
                <w:sz w:val="20"/>
                <w:szCs w:val="20"/>
                <w:lang w:eastAsia="zh-CN"/>
              </w:rPr>
              <w:t>P-value</w:t>
            </w:r>
          </w:p>
        </w:tc>
      </w:tr>
      <w:tr w:rsidR="00D97692" w:rsidRPr="00B70DF6" w:rsidTr="00C326F0">
        <w:trPr>
          <w:jc w:val="center"/>
        </w:trPr>
        <w:tc>
          <w:tcPr>
            <w:tcW w:w="1384" w:type="dxa"/>
            <w:tcBorders>
              <w:top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France</w:t>
            </w:r>
          </w:p>
        </w:tc>
        <w:tc>
          <w:tcPr>
            <w:tcW w:w="2126" w:type="dxa"/>
            <w:tcBorders>
              <w:top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2.6 (0.8-10.3), n=49</w:t>
            </w:r>
          </w:p>
        </w:tc>
        <w:tc>
          <w:tcPr>
            <w:tcW w:w="2551" w:type="dxa"/>
            <w:gridSpan w:val="2"/>
            <w:tcBorders>
              <w:top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1.6 (0.3-5.7), n=75</w:t>
            </w:r>
          </w:p>
        </w:tc>
        <w:tc>
          <w:tcPr>
            <w:tcW w:w="1576" w:type="dxa"/>
            <w:tcBorders>
              <w:top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0.14</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Italy</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6.2 (3.9-14.0), n=15</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6.3 (2.3-16.2), n=219</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0.88</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Spain</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13.1 (5.5-21.8), n=36</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10.0 (2.1-22.1), n=65</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0.43</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Germany</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3.1 (0.0-8.9), n=41</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4.5 (1.7-9.3), n=112</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0.15</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Netherlands</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4.4 (2.8-5.0), n=15</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3.5 (0.9-7.0), n=82</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0.56</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Finland</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7.7 (4.7-16.1), n=16</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1.6 (0.6-3.2),n=35</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&lt;0.0001</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de-CH" w:eastAsia="zh-CN"/>
              </w:rPr>
            </w:pPr>
            <w:r w:rsidRPr="00B70DF6">
              <w:rPr>
                <w:rFonts w:ascii="Arial" w:eastAsiaTheme="minorEastAsia" w:hAnsi="Arial" w:cs="Arial"/>
                <w:sz w:val="20"/>
                <w:szCs w:val="20"/>
                <w:lang w:val="de-CH" w:eastAsia="zh-CN"/>
              </w:rPr>
              <w:t>Switzerland</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4.9 (2.7-15.0), n=30</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2.1 (1.1-5.3), n=35</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0.07</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Czech Republic</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9.9 (3.9-16.5), n=14</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6.2 (3.3-11.6), n=32</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lang w:val="en-US" w:eastAsia="zh-CN"/>
              </w:rPr>
            </w:pPr>
            <w:r w:rsidRPr="00B70DF6">
              <w:rPr>
                <w:rFonts w:ascii="Arial" w:eastAsiaTheme="minorEastAsia" w:hAnsi="Arial" w:cs="Arial"/>
                <w:sz w:val="20"/>
                <w:szCs w:val="20"/>
                <w:lang w:val="en-US" w:eastAsia="zh-CN"/>
              </w:rPr>
              <w:t>0.47</w:t>
            </w:r>
          </w:p>
        </w:tc>
      </w:tr>
      <w:tr w:rsidR="00D97692" w:rsidRPr="00B70DF6" w:rsidTr="00C326F0">
        <w:trPr>
          <w:jc w:val="center"/>
        </w:trPr>
        <w:tc>
          <w:tcPr>
            <w:tcW w:w="1384"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rPr>
              <w:t>Austria</w:t>
            </w:r>
          </w:p>
        </w:tc>
        <w:tc>
          <w:tcPr>
            <w:tcW w:w="212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1.3 (0.2-5.7), n=10</w:t>
            </w:r>
          </w:p>
        </w:tc>
        <w:tc>
          <w:tcPr>
            <w:tcW w:w="2551" w:type="dxa"/>
            <w:gridSpan w:val="2"/>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4.1 (2.2-13.9), n=17</w:t>
            </w:r>
          </w:p>
        </w:tc>
        <w:tc>
          <w:tcPr>
            <w:tcW w:w="1576" w:type="dxa"/>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0.17</w:t>
            </w:r>
          </w:p>
        </w:tc>
      </w:tr>
      <w:tr w:rsidR="00D97692" w:rsidRPr="00B70DF6" w:rsidTr="00C326F0">
        <w:trPr>
          <w:jc w:val="center"/>
        </w:trPr>
        <w:tc>
          <w:tcPr>
            <w:tcW w:w="1384" w:type="dxa"/>
            <w:tcBorders>
              <w:bottom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rPr>
              <w:t>Portugal</w:t>
            </w:r>
          </w:p>
        </w:tc>
        <w:tc>
          <w:tcPr>
            <w:tcW w:w="2126" w:type="dxa"/>
            <w:tcBorders>
              <w:bottom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12.1 (4.0-20.6), n=28</w:t>
            </w:r>
          </w:p>
        </w:tc>
        <w:tc>
          <w:tcPr>
            <w:tcW w:w="2551" w:type="dxa"/>
            <w:gridSpan w:val="2"/>
            <w:tcBorders>
              <w:bottom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7.0 (1.8-19.8), n=32</w:t>
            </w:r>
          </w:p>
        </w:tc>
        <w:tc>
          <w:tcPr>
            <w:tcW w:w="1576" w:type="dxa"/>
            <w:tcBorders>
              <w:bottom w:val="single" w:sz="4" w:space="0" w:color="auto"/>
            </w:tcBorders>
          </w:tcPr>
          <w:p w:rsidR="00D97692" w:rsidRPr="00B70DF6" w:rsidRDefault="00D97692" w:rsidP="00B70DF6">
            <w:pPr>
              <w:pStyle w:val="a6"/>
              <w:spacing w:before="0" w:beforeAutospacing="0" w:after="200" w:afterAutospacing="0" w:line="276" w:lineRule="auto"/>
              <w:rPr>
                <w:rFonts w:ascii="Arial" w:eastAsiaTheme="minorEastAsia" w:hAnsi="Arial" w:cs="Arial"/>
                <w:sz w:val="20"/>
                <w:szCs w:val="20"/>
              </w:rPr>
            </w:pPr>
            <w:r w:rsidRPr="00B70DF6">
              <w:rPr>
                <w:rFonts w:ascii="Arial" w:eastAsiaTheme="minorEastAsia" w:hAnsi="Arial" w:cs="Arial"/>
                <w:sz w:val="20"/>
                <w:szCs w:val="20"/>
                <w:lang w:val="en-US" w:eastAsia="zh-CN"/>
              </w:rPr>
              <w:t>0.21</w:t>
            </w:r>
          </w:p>
        </w:tc>
      </w:tr>
    </w:tbl>
    <w:p w:rsidR="00D97692" w:rsidRPr="00B70DF6" w:rsidRDefault="00D97692" w:rsidP="00B70DF6">
      <w:pPr>
        <w:rPr>
          <w:rFonts w:ascii="Arial" w:hAnsi="Arial" w:cs="Arial"/>
          <w:sz w:val="20"/>
          <w:szCs w:val="20"/>
        </w:rPr>
      </w:pPr>
      <w:r w:rsidRPr="00B70DF6">
        <w:rPr>
          <w:rFonts w:ascii="Arial" w:hAnsi="Arial" w:cs="Arial"/>
          <w:sz w:val="20"/>
          <w:szCs w:val="20"/>
        </w:rPr>
        <w:t>P-value is the Wilcoxon rank sum test between the diagnostic delays in 2000-2009 and 2010-2020.</w:t>
      </w:r>
    </w:p>
    <w:p w:rsidR="00D97692" w:rsidRPr="00B70DF6" w:rsidRDefault="00D97692" w:rsidP="00B70DF6">
      <w:pPr>
        <w:rPr>
          <w:rFonts w:ascii="Arial" w:hAnsi="Arial" w:cs="Arial"/>
          <w:sz w:val="20"/>
          <w:szCs w:val="20"/>
        </w:rPr>
      </w:pPr>
    </w:p>
    <w:p w:rsidR="00D97692" w:rsidRPr="00B70DF6" w:rsidRDefault="00D97692" w:rsidP="00B70DF6">
      <w:pPr>
        <w:rPr>
          <w:rFonts w:ascii="Arial" w:hAnsi="Arial" w:cs="Arial"/>
          <w:sz w:val="20"/>
          <w:szCs w:val="20"/>
        </w:rPr>
      </w:pPr>
    </w:p>
    <w:p w:rsidR="00477846" w:rsidRPr="00B70DF6" w:rsidRDefault="00477846" w:rsidP="00B70DF6">
      <w:pPr>
        <w:rPr>
          <w:rFonts w:ascii="Arial" w:hAnsi="Arial" w:cs="Arial"/>
          <w:sz w:val="20"/>
          <w:szCs w:val="20"/>
        </w:rPr>
      </w:pPr>
    </w:p>
    <w:sectPr w:rsidR="00477846" w:rsidRPr="00B70DF6" w:rsidSect="0036304E">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45" w:rsidRDefault="00C27745" w:rsidP="00D97692">
      <w:pPr>
        <w:spacing w:after="0" w:line="240" w:lineRule="auto"/>
      </w:pPr>
      <w:r>
        <w:separator/>
      </w:r>
    </w:p>
  </w:endnote>
  <w:endnote w:type="continuationSeparator" w:id="0">
    <w:p w:rsidR="00C27745" w:rsidRDefault="00C27745" w:rsidP="00D9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45" w:rsidRDefault="00C27745" w:rsidP="00D97692">
      <w:pPr>
        <w:spacing w:after="0" w:line="240" w:lineRule="auto"/>
      </w:pPr>
      <w:r>
        <w:separator/>
      </w:r>
    </w:p>
  </w:footnote>
  <w:footnote w:type="continuationSeparator" w:id="0">
    <w:p w:rsidR="00C27745" w:rsidRDefault="00C27745" w:rsidP="00D97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02"/>
    <w:rsid w:val="00087102"/>
    <w:rsid w:val="00087F61"/>
    <w:rsid w:val="001F7CA2"/>
    <w:rsid w:val="002800F8"/>
    <w:rsid w:val="00284FF8"/>
    <w:rsid w:val="00327243"/>
    <w:rsid w:val="00477846"/>
    <w:rsid w:val="00493D03"/>
    <w:rsid w:val="00597305"/>
    <w:rsid w:val="005A21AD"/>
    <w:rsid w:val="005E671B"/>
    <w:rsid w:val="00755062"/>
    <w:rsid w:val="007756DC"/>
    <w:rsid w:val="007E68DE"/>
    <w:rsid w:val="00AC089E"/>
    <w:rsid w:val="00B0788C"/>
    <w:rsid w:val="00B70DF6"/>
    <w:rsid w:val="00BD4E02"/>
    <w:rsid w:val="00C1076C"/>
    <w:rsid w:val="00C24E13"/>
    <w:rsid w:val="00C27745"/>
    <w:rsid w:val="00CC5387"/>
    <w:rsid w:val="00CC5DE3"/>
    <w:rsid w:val="00D012F7"/>
    <w:rsid w:val="00D016E9"/>
    <w:rsid w:val="00D50BFE"/>
    <w:rsid w:val="00D97692"/>
    <w:rsid w:val="00DA0508"/>
    <w:rsid w:val="00E757DE"/>
    <w:rsid w:val="00ED1709"/>
    <w:rsid w:val="00FB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692"/>
    <w:pPr>
      <w:tabs>
        <w:tab w:val="center" w:pos="4703"/>
        <w:tab w:val="right" w:pos="9406"/>
      </w:tabs>
      <w:spacing w:after="0" w:line="240" w:lineRule="auto"/>
    </w:pPr>
  </w:style>
  <w:style w:type="character" w:customStyle="1" w:styleId="Char">
    <w:name w:val="页眉 Char"/>
    <w:basedOn w:val="a0"/>
    <w:link w:val="a3"/>
    <w:uiPriority w:val="99"/>
    <w:rsid w:val="00D97692"/>
  </w:style>
  <w:style w:type="paragraph" w:styleId="a4">
    <w:name w:val="footer"/>
    <w:basedOn w:val="a"/>
    <w:link w:val="Char0"/>
    <w:uiPriority w:val="99"/>
    <w:unhideWhenUsed/>
    <w:rsid w:val="00D97692"/>
    <w:pPr>
      <w:tabs>
        <w:tab w:val="center" w:pos="4703"/>
        <w:tab w:val="right" w:pos="9406"/>
      </w:tabs>
      <w:spacing w:after="0" w:line="240" w:lineRule="auto"/>
    </w:pPr>
  </w:style>
  <w:style w:type="character" w:customStyle="1" w:styleId="Char0">
    <w:name w:val="页脚 Char"/>
    <w:basedOn w:val="a0"/>
    <w:link w:val="a4"/>
    <w:uiPriority w:val="99"/>
    <w:rsid w:val="00D97692"/>
  </w:style>
  <w:style w:type="table" w:styleId="a5">
    <w:name w:val="Table Grid"/>
    <w:basedOn w:val="a1"/>
    <w:uiPriority w:val="39"/>
    <w:rsid w:val="00D97692"/>
    <w:pPr>
      <w:spacing w:after="0" w:line="240" w:lineRule="auto"/>
    </w:pPr>
    <w:rPr>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9769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D97692"/>
    <w:pPr>
      <w:spacing w:after="0" w:line="240" w:lineRule="auto"/>
    </w:pPr>
    <w:rPr>
      <w:rFonts w:ascii="SimSun" w:eastAsia="SimSun"/>
      <w:sz w:val="18"/>
      <w:szCs w:val="18"/>
    </w:rPr>
  </w:style>
  <w:style w:type="character" w:customStyle="1" w:styleId="Char1">
    <w:name w:val="批注框文本 Char"/>
    <w:basedOn w:val="a0"/>
    <w:link w:val="a7"/>
    <w:uiPriority w:val="99"/>
    <w:semiHidden/>
    <w:rsid w:val="00D97692"/>
    <w:rPr>
      <w:rFonts w:ascii="SimSun" w:eastAsia="SimSu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692"/>
    <w:pPr>
      <w:tabs>
        <w:tab w:val="center" w:pos="4703"/>
        <w:tab w:val="right" w:pos="9406"/>
      </w:tabs>
      <w:spacing w:after="0" w:line="240" w:lineRule="auto"/>
    </w:pPr>
  </w:style>
  <w:style w:type="character" w:customStyle="1" w:styleId="Char">
    <w:name w:val="页眉 Char"/>
    <w:basedOn w:val="a0"/>
    <w:link w:val="a3"/>
    <w:uiPriority w:val="99"/>
    <w:rsid w:val="00D97692"/>
  </w:style>
  <w:style w:type="paragraph" w:styleId="a4">
    <w:name w:val="footer"/>
    <w:basedOn w:val="a"/>
    <w:link w:val="Char0"/>
    <w:uiPriority w:val="99"/>
    <w:unhideWhenUsed/>
    <w:rsid w:val="00D97692"/>
    <w:pPr>
      <w:tabs>
        <w:tab w:val="center" w:pos="4703"/>
        <w:tab w:val="right" w:pos="9406"/>
      </w:tabs>
      <w:spacing w:after="0" w:line="240" w:lineRule="auto"/>
    </w:pPr>
  </w:style>
  <w:style w:type="character" w:customStyle="1" w:styleId="Char0">
    <w:name w:val="页脚 Char"/>
    <w:basedOn w:val="a0"/>
    <w:link w:val="a4"/>
    <w:uiPriority w:val="99"/>
    <w:rsid w:val="00D97692"/>
  </w:style>
  <w:style w:type="table" w:styleId="a5">
    <w:name w:val="Table Grid"/>
    <w:basedOn w:val="a1"/>
    <w:uiPriority w:val="39"/>
    <w:rsid w:val="00D97692"/>
    <w:pPr>
      <w:spacing w:after="0" w:line="240" w:lineRule="auto"/>
    </w:pPr>
    <w:rPr>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9769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D97692"/>
    <w:pPr>
      <w:spacing w:after="0" w:line="240" w:lineRule="auto"/>
    </w:pPr>
    <w:rPr>
      <w:rFonts w:ascii="SimSun" w:eastAsia="SimSun"/>
      <w:sz w:val="18"/>
      <w:szCs w:val="18"/>
    </w:rPr>
  </w:style>
  <w:style w:type="character" w:customStyle="1" w:styleId="Char1">
    <w:name w:val="批注框文本 Char"/>
    <w:basedOn w:val="a0"/>
    <w:link w:val="a7"/>
    <w:uiPriority w:val="99"/>
    <w:semiHidden/>
    <w:rsid w:val="00D97692"/>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3757</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Reto</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Zhongxing Zhang</dc:creator>
  <cp:lastModifiedBy>Zhongxing Zhang</cp:lastModifiedBy>
  <cp:revision>3</cp:revision>
  <dcterms:created xsi:type="dcterms:W3CDTF">2022-04-04T12:29:00Z</dcterms:created>
  <dcterms:modified xsi:type="dcterms:W3CDTF">2022-04-04T14:11:00Z</dcterms:modified>
</cp:coreProperties>
</file>