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3F66" w:rsidRDefault="000E3F66" w:rsidP="000E3F66">
      <w:pPr>
        <w:jc w:val="center"/>
        <w:rPr>
          <w:rFonts w:eastAsia="Times New Roman" w:cs="Arial"/>
          <w:b/>
          <w:color w:val="000000"/>
          <w:szCs w:val="20"/>
        </w:rPr>
      </w:pPr>
      <w:r w:rsidRPr="000E3F66">
        <w:rPr>
          <w:rFonts w:eastAsia="Times New Roman" w:cs="Arial"/>
          <w:b/>
          <w:noProof/>
          <w:color w:val="000000"/>
          <w:szCs w:val="20"/>
        </w:rPr>
        <w:drawing>
          <wp:inline distT="0" distB="0" distL="0" distR="0">
            <wp:extent cx="5486400" cy="6200358"/>
            <wp:effectExtent l="0" t="0" r="0" b="0"/>
            <wp:docPr id="1" name="图片 1" descr="F:\投稿期刊\7生信-儿童脓毒症\JOURNAL OF INFLAMMATION RESEARCH\Supplementary Figures and Tables\Supplementary 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投稿期刊\7生信-儿童脓毒症\JOURNAL OF INFLAMMATION RESEARCH\Supplementary Figures and Tables\Supplementary figure 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20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F66" w:rsidRDefault="000E3F66" w:rsidP="000E3F66">
      <w:pPr>
        <w:rPr>
          <w:rFonts w:ascii="Arial" w:eastAsia="Times New Roman" w:hAnsi="Arial" w:cs="Arial"/>
          <w:color w:val="000000"/>
          <w:sz w:val="20"/>
          <w:szCs w:val="20"/>
        </w:rPr>
      </w:pPr>
      <w:r w:rsidRPr="000E3F66">
        <w:rPr>
          <w:rFonts w:ascii="Arial" w:eastAsia="Times New Roman" w:hAnsi="Arial" w:cs="Arial"/>
          <w:b/>
          <w:color w:val="000000"/>
          <w:sz w:val="20"/>
          <w:szCs w:val="20"/>
        </w:rPr>
        <w:t xml:space="preserve">Supplementary </w:t>
      </w:r>
      <w:r w:rsidRPr="000E3F66">
        <w:rPr>
          <w:rFonts w:ascii="Arial" w:hAnsi="Arial" w:cs="Arial"/>
          <w:b/>
          <w:color w:val="000000"/>
          <w:sz w:val="20"/>
          <w:szCs w:val="20"/>
        </w:rPr>
        <w:t>f</w:t>
      </w:r>
      <w:r w:rsidRPr="000E3F66">
        <w:rPr>
          <w:rFonts w:ascii="Arial" w:eastAsia="Times New Roman" w:hAnsi="Arial" w:cs="Arial"/>
          <w:b/>
          <w:color w:val="000000"/>
          <w:sz w:val="20"/>
          <w:szCs w:val="20"/>
        </w:rPr>
        <w:t>igure 1</w:t>
      </w:r>
      <w:r w:rsidRPr="000E3F66">
        <w:rPr>
          <w:rFonts w:ascii="Arial" w:eastAsia="Times New Roman" w:hAnsi="Arial" w:cs="Arial"/>
          <w:color w:val="000000"/>
          <w:sz w:val="20"/>
          <w:szCs w:val="20"/>
        </w:rPr>
        <w:t xml:space="preserve"> Quality control of transcriptome data. </w:t>
      </w:r>
      <w:r w:rsidRPr="000E3F66">
        <w:rPr>
          <w:rFonts w:ascii="Arial" w:eastAsia="Times New Roman" w:hAnsi="Arial" w:cs="Arial"/>
          <w:b/>
          <w:color w:val="000000"/>
          <w:sz w:val="20"/>
          <w:szCs w:val="20"/>
        </w:rPr>
        <w:t>(A-B)</w:t>
      </w:r>
      <w:r w:rsidRPr="000E3F66">
        <w:rPr>
          <w:rFonts w:ascii="Arial" w:eastAsia="Times New Roman" w:hAnsi="Arial" w:cs="Arial"/>
          <w:color w:val="000000"/>
          <w:sz w:val="20"/>
          <w:szCs w:val="20"/>
        </w:rPr>
        <w:t xml:space="preserve"> The average expression levels of in GSE145227 and GSE26440 expression matrices after correction. </w:t>
      </w:r>
      <w:r w:rsidRPr="000E3F66">
        <w:rPr>
          <w:rFonts w:ascii="Arial" w:eastAsia="Times New Roman" w:hAnsi="Arial" w:cs="Arial"/>
          <w:b/>
          <w:color w:val="000000"/>
          <w:sz w:val="20"/>
          <w:szCs w:val="20"/>
        </w:rPr>
        <w:t>(C-D)</w:t>
      </w:r>
      <w:r w:rsidRPr="000E3F66">
        <w:rPr>
          <w:rFonts w:ascii="Arial" w:eastAsia="Times New Roman" w:hAnsi="Arial" w:cs="Arial"/>
          <w:color w:val="000000"/>
          <w:sz w:val="20"/>
          <w:szCs w:val="20"/>
        </w:rPr>
        <w:t xml:space="preserve"> The principal component analysis results of the GSE145227 and GSE26440 expression matrices.</w:t>
      </w:r>
    </w:p>
    <w:p w:rsidR="000E3F66" w:rsidRDefault="000E3F66">
      <w:pPr>
        <w:widowControl/>
        <w:jc w:val="left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br w:type="page"/>
      </w:r>
    </w:p>
    <w:p w:rsidR="000E3F66" w:rsidRPr="000E3F66" w:rsidRDefault="000E3F66" w:rsidP="000E3F66">
      <w:pPr>
        <w:jc w:val="center"/>
        <w:rPr>
          <w:rFonts w:ascii="Arial" w:eastAsia="宋体" w:hAnsi="Arial" w:cs="Arial"/>
          <w:sz w:val="20"/>
          <w:szCs w:val="20"/>
        </w:rPr>
      </w:pPr>
      <w:r w:rsidRPr="000E3F66">
        <w:rPr>
          <w:rFonts w:ascii="Arial" w:eastAsia="宋体" w:hAnsi="Arial" w:cs="Arial"/>
          <w:noProof/>
          <w:sz w:val="20"/>
          <w:szCs w:val="20"/>
        </w:rPr>
        <w:lastRenderedPageBreak/>
        <w:drawing>
          <wp:inline distT="0" distB="0" distL="0" distR="0">
            <wp:extent cx="5486400" cy="5331566"/>
            <wp:effectExtent l="0" t="0" r="0" b="2540"/>
            <wp:docPr id="2" name="图片 2" descr="F:\投稿期刊\7生信-儿童脓毒症\JOURNAL OF INFLAMMATION RESEARCH\Supplementary Figures and Tables\Supplementary 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投稿期刊\7生信-儿童脓毒症\JOURNAL OF INFLAMMATION RESEARCH\Supplementary Figures and Tables\Supplementary figure 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33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F66" w:rsidRDefault="000E3F66" w:rsidP="000E3F66">
      <w:pPr>
        <w:rPr>
          <w:rFonts w:ascii="Arial" w:eastAsia="Times New Roman" w:hAnsi="Arial" w:cs="Arial"/>
          <w:color w:val="000000"/>
          <w:sz w:val="20"/>
          <w:szCs w:val="20"/>
        </w:rPr>
      </w:pPr>
      <w:r w:rsidRPr="000E3F66">
        <w:rPr>
          <w:rFonts w:ascii="Arial" w:eastAsia="Times New Roman" w:hAnsi="Arial" w:cs="Arial"/>
          <w:b/>
          <w:color w:val="000000"/>
          <w:sz w:val="20"/>
          <w:szCs w:val="20"/>
        </w:rPr>
        <w:t>Supplementary figure 2</w:t>
      </w:r>
      <w:r w:rsidRPr="000E3F66">
        <w:rPr>
          <w:rFonts w:ascii="Arial" w:eastAsia="Times New Roman" w:hAnsi="Arial" w:cs="Arial"/>
          <w:color w:val="000000"/>
          <w:sz w:val="20"/>
          <w:szCs w:val="20"/>
        </w:rPr>
        <w:t xml:space="preserve"> Gene set enrichment analysis (GSEA) results of differentially expressed genes (DEGs). (A-B) The enrichment analysis of pathways of the GSEA genes in the GSE145227 dataset. (C-D) The enrichment analysis of pathways of the GSEA genes in the GSE26440 dataset. The </w:t>
      </w:r>
      <w:r w:rsidRPr="000E3F66">
        <w:rPr>
          <w:rFonts w:ascii="Arial" w:eastAsia="Times New Roman" w:hAnsi="Arial" w:cs="Arial"/>
          <w:i/>
          <w:color w:val="000000"/>
          <w:sz w:val="20"/>
          <w:szCs w:val="20"/>
        </w:rPr>
        <w:t>P</w:t>
      </w:r>
      <w:r w:rsidRPr="000E3F66">
        <w:rPr>
          <w:rFonts w:ascii="Arial" w:eastAsia="Times New Roman" w:hAnsi="Arial" w:cs="Arial"/>
          <w:color w:val="000000"/>
          <w:sz w:val="20"/>
          <w:szCs w:val="20"/>
        </w:rPr>
        <w:t xml:space="preserve"> values were determined by the Kolmogorov–Smirnov test.</w:t>
      </w:r>
    </w:p>
    <w:p w:rsidR="000E3F66" w:rsidRDefault="000E3F66">
      <w:pPr>
        <w:widowControl/>
        <w:jc w:val="left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br w:type="page"/>
      </w:r>
    </w:p>
    <w:p w:rsidR="000E3F66" w:rsidRPr="000E3F66" w:rsidRDefault="000E3F66" w:rsidP="000E3F66">
      <w:pPr>
        <w:jc w:val="center"/>
        <w:rPr>
          <w:rFonts w:ascii="Arial" w:eastAsia="宋体" w:hAnsi="Arial" w:cs="Arial"/>
          <w:sz w:val="20"/>
          <w:szCs w:val="20"/>
        </w:rPr>
      </w:pPr>
      <w:r w:rsidRPr="000E3F66">
        <w:rPr>
          <w:rFonts w:ascii="Arial" w:eastAsia="宋体" w:hAnsi="Arial" w:cs="Arial"/>
          <w:noProof/>
          <w:sz w:val="20"/>
          <w:szCs w:val="20"/>
        </w:rPr>
        <w:lastRenderedPageBreak/>
        <w:drawing>
          <wp:inline distT="0" distB="0" distL="0" distR="0">
            <wp:extent cx="5486400" cy="3749891"/>
            <wp:effectExtent l="0" t="0" r="0" b="3175"/>
            <wp:docPr id="3" name="图片 3" descr="F:\投稿期刊\7生信-儿童脓毒症\JOURNAL OF INFLAMMATION RESEARCH\Supplementary Figures and Tables\Supplementary figur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投稿期刊\7生信-儿童脓毒症\JOURNAL OF INFLAMMATION RESEARCH\Supplementary Figures and Tables\Supplementary figure 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4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F66" w:rsidRDefault="000E3F66" w:rsidP="000E3F66">
      <w:pPr>
        <w:rPr>
          <w:rFonts w:ascii="Arial" w:eastAsia="Times New Roman" w:hAnsi="Arial" w:cs="Arial"/>
          <w:color w:val="000000"/>
          <w:sz w:val="20"/>
          <w:szCs w:val="20"/>
        </w:rPr>
      </w:pPr>
      <w:r w:rsidRPr="000E3F66">
        <w:rPr>
          <w:rFonts w:ascii="Arial" w:eastAsia="Times New Roman" w:hAnsi="Arial" w:cs="Arial"/>
          <w:b/>
          <w:color w:val="000000"/>
          <w:sz w:val="20"/>
          <w:szCs w:val="20"/>
        </w:rPr>
        <w:t>Supplementary figure 3</w:t>
      </w:r>
      <w:r w:rsidRPr="000E3F66">
        <w:rPr>
          <w:rFonts w:ascii="Arial" w:eastAsia="Times New Roman" w:hAnsi="Arial" w:cs="Arial"/>
          <w:color w:val="000000"/>
          <w:sz w:val="20"/>
          <w:szCs w:val="20"/>
        </w:rPr>
        <w:t xml:space="preserve"> Gene set variation analysis (GSVA) results of differentially expressed genes. </w:t>
      </w:r>
      <w:r w:rsidRPr="000E3F66">
        <w:rPr>
          <w:rFonts w:ascii="Arial" w:eastAsia="Times New Roman" w:hAnsi="Arial" w:cs="Arial"/>
          <w:b/>
          <w:color w:val="000000"/>
          <w:sz w:val="20"/>
          <w:szCs w:val="20"/>
        </w:rPr>
        <w:t>(A-B)</w:t>
      </w:r>
      <w:r w:rsidRPr="000E3F66">
        <w:rPr>
          <w:rFonts w:ascii="Arial" w:eastAsia="Times New Roman" w:hAnsi="Arial" w:cs="Arial"/>
          <w:color w:val="000000"/>
          <w:sz w:val="20"/>
          <w:szCs w:val="20"/>
        </w:rPr>
        <w:t xml:space="preserve"> The enrichment scores of the pathways with differences between GSE145227 and GSE26440 are displayed in the form of heatmaps. </w:t>
      </w:r>
      <w:r w:rsidRPr="000E3F66">
        <w:rPr>
          <w:rFonts w:ascii="Arial" w:eastAsia="Times New Roman" w:hAnsi="Arial" w:cs="Arial"/>
          <w:b/>
          <w:color w:val="000000"/>
          <w:sz w:val="20"/>
          <w:szCs w:val="20"/>
        </w:rPr>
        <w:t>(C-D)</w:t>
      </w:r>
      <w:r w:rsidRPr="000E3F66">
        <w:rPr>
          <w:rFonts w:ascii="Arial" w:eastAsia="Times New Roman" w:hAnsi="Arial" w:cs="Arial"/>
          <w:color w:val="000000"/>
          <w:sz w:val="20"/>
          <w:szCs w:val="20"/>
        </w:rPr>
        <w:t xml:space="preserve"> Volcano plots of GSVA differential pathways between GSE145227 and GSE26440. The screening threshold was set as an adjusted </w:t>
      </w:r>
      <w:r w:rsidRPr="000E3F66">
        <w:rPr>
          <w:rFonts w:ascii="Arial" w:eastAsia="Times New Roman" w:hAnsi="Arial" w:cs="Arial"/>
          <w:i/>
          <w:color w:val="000000"/>
          <w:sz w:val="20"/>
          <w:szCs w:val="20"/>
        </w:rPr>
        <w:t xml:space="preserve">P </w:t>
      </w:r>
      <w:r w:rsidRPr="000E3F66">
        <w:rPr>
          <w:rFonts w:ascii="Arial" w:eastAsia="Times New Roman" w:hAnsi="Arial" w:cs="Arial"/>
          <w:color w:val="000000"/>
          <w:sz w:val="20"/>
          <w:szCs w:val="20"/>
        </w:rPr>
        <w:t>&lt; 0.05, |log</w:t>
      </w:r>
      <w:r w:rsidRPr="000E3F66">
        <w:rPr>
          <w:rFonts w:ascii="Arial" w:eastAsia="Times New Roman" w:hAnsi="Arial" w:cs="Arial"/>
          <w:color w:val="000000"/>
          <w:sz w:val="20"/>
          <w:szCs w:val="20"/>
          <w:vertAlign w:val="subscript"/>
        </w:rPr>
        <w:t>2</w:t>
      </w:r>
      <w:r w:rsidRPr="000E3F66">
        <w:rPr>
          <w:rFonts w:ascii="Arial" w:eastAsia="Times New Roman" w:hAnsi="Arial" w:cs="Arial"/>
          <w:color w:val="000000"/>
          <w:sz w:val="20"/>
          <w:szCs w:val="20"/>
        </w:rPr>
        <w:t xml:space="preserve"> fold change| &gt; 1, red dots represent upregulated pathways, and green dots represent downregulated pathways. </w:t>
      </w:r>
      <w:r w:rsidRPr="000E3F66">
        <w:rPr>
          <w:rFonts w:ascii="Arial" w:eastAsia="Times New Roman" w:hAnsi="Arial" w:cs="Arial"/>
          <w:b/>
          <w:color w:val="000000"/>
          <w:sz w:val="20"/>
          <w:szCs w:val="20"/>
        </w:rPr>
        <w:t>(E)</w:t>
      </w:r>
      <w:r w:rsidRPr="000E3F66">
        <w:rPr>
          <w:rFonts w:ascii="Arial" w:eastAsia="Times New Roman" w:hAnsi="Arial" w:cs="Arial"/>
          <w:color w:val="000000"/>
          <w:sz w:val="20"/>
          <w:szCs w:val="20"/>
        </w:rPr>
        <w:t xml:space="preserve"> Venn diagram of the pathways enriched in the two datasets. A total of 23 pathways were shared by the results of both datasets. </w:t>
      </w:r>
    </w:p>
    <w:p w:rsidR="000E3F66" w:rsidRDefault="000E3F66">
      <w:pPr>
        <w:widowControl/>
        <w:jc w:val="left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br w:type="page"/>
      </w:r>
    </w:p>
    <w:p w:rsidR="000E3F66" w:rsidRPr="000E3F66" w:rsidRDefault="000E3F66" w:rsidP="000E3F66">
      <w:pPr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0E3F66">
        <w:rPr>
          <w:rFonts w:ascii="Arial" w:eastAsia="Times New Roman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091098" cy="6178163"/>
            <wp:effectExtent l="0" t="0" r="0" b="0"/>
            <wp:docPr id="4" name="图片 4" descr="F:\投稿期刊\7生信-儿童脓毒症\JOURNAL OF INFLAMMATION RESEARCH\Supplementary Figures and Tables\Supplementary figur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投稿期刊\7生信-儿童脓毒症\JOURNAL OF INFLAMMATION RESEARCH\Supplementary Figures and Tables\Supplementary figure 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700" cy="618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F66" w:rsidRDefault="000E3F66" w:rsidP="000E3F66">
      <w:pPr>
        <w:rPr>
          <w:rFonts w:ascii="Arial" w:eastAsia="Times New Roman" w:hAnsi="Arial" w:cs="Arial"/>
          <w:color w:val="000000"/>
          <w:sz w:val="20"/>
          <w:szCs w:val="20"/>
        </w:rPr>
      </w:pPr>
      <w:r w:rsidRPr="000E3F66">
        <w:rPr>
          <w:rFonts w:ascii="Arial" w:eastAsia="Times New Roman" w:hAnsi="Arial" w:cs="Arial"/>
          <w:b/>
          <w:color w:val="000000"/>
          <w:sz w:val="20"/>
          <w:szCs w:val="20"/>
        </w:rPr>
        <w:t>Supplementary figure 4</w:t>
      </w:r>
      <w:r w:rsidRPr="000E3F66">
        <w:rPr>
          <w:rFonts w:ascii="Arial" w:eastAsia="Times New Roman" w:hAnsi="Arial" w:cs="Arial"/>
          <w:color w:val="000000"/>
          <w:sz w:val="20"/>
          <w:szCs w:val="20"/>
        </w:rPr>
        <w:t xml:space="preserve"> Analysis of the molecular subtypes of sepsis. </w:t>
      </w:r>
      <w:r w:rsidRPr="000E3F66">
        <w:rPr>
          <w:rFonts w:ascii="Arial" w:eastAsia="Times New Roman" w:hAnsi="Arial" w:cs="Arial"/>
          <w:b/>
          <w:color w:val="000000"/>
          <w:sz w:val="20"/>
          <w:szCs w:val="20"/>
        </w:rPr>
        <w:t>(A-F)</w:t>
      </w:r>
      <w:r w:rsidRPr="000E3F66">
        <w:rPr>
          <w:rFonts w:ascii="Arial" w:eastAsia="Times New Roman" w:hAnsi="Arial" w:cs="Arial"/>
          <w:color w:val="000000"/>
          <w:sz w:val="20"/>
          <w:szCs w:val="20"/>
        </w:rPr>
        <w:t xml:space="preserve"> The process of molecular subtype construction. When k=5, the increase in the area under the cumulative distribution function (CDF) curve significantly decreased. Panel E shows that compared with that when k=6, the composition of molecular subtypes between samples was more consistent when k=5. Clustering with k=5 was used. </w:t>
      </w:r>
      <w:r w:rsidRPr="000E3F66">
        <w:rPr>
          <w:rFonts w:ascii="Arial" w:eastAsia="Times New Roman" w:hAnsi="Arial" w:cs="Arial"/>
          <w:b/>
          <w:color w:val="000000"/>
          <w:sz w:val="20"/>
          <w:szCs w:val="20"/>
        </w:rPr>
        <w:t>(G)</w:t>
      </w:r>
      <w:r w:rsidRPr="000E3F66">
        <w:rPr>
          <w:rFonts w:ascii="Arial" w:eastAsia="Times New Roman" w:hAnsi="Arial" w:cs="Arial"/>
          <w:color w:val="000000"/>
          <w:sz w:val="20"/>
          <w:szCs w:val="20"/>
        </w:rPr>
        <w:t xml:space="preserve"> Principal component analysis between samples based on the molecular subtype scores. The results showed a clear distinction. </w:t>
      </w:r>
      <w:r w:rsidRPr="000E3F66">
        <w:rPr>
          <w:rFonts w:ascii="Arial" w:eastAsia="Times New Roman" w:hAnsi="Arial" w:cs="Arial"/>
          <w:b/>
          <w:color w:val="000000"/>
          <w:sz w:val="20"/>
          <w:szCs w:val="20"/>
        </w:rPr>
        <w:t>(H)</w:t>
      </w:r>
      <w:r w:rsidRPr="000E3F66">
        <w:rPr>
          <w:rFonts w:ascii="Arial" w:eastAsia="Times New Roman" w:hAnsi="Arial" w:cs="Arial"/>
          <w:color w:val="000000"/>
          <w:sz w:val="20"/>
          <w:szCs w:val="20"/>
        </w:rPr>
        <w:t xml:space="preserve"> The correlation matrix between the obtained molecular subtype scores and immune cell infiltration. Red indicates a positive correlation, and blue indicates a negative correlation. The darker the colour, the higher the degree of correlation. The correlation coefficient and </w:t>
      </w:r>
      <w:r w:rsidRPr="000E3F66">
        <w:rPr>
          <w:rFonts w:ascii="Arial" w:eastAsia="Times New Roman" w:hAnsi="Arial" w:cs="Arial"/>
          <w:i/>
          <w:color w:val="000000"/>
          <w:sz w:val="20"/>
          <w:szCs w:val="20"/>
        </w:rPr>
        <w:t>P</w:t>
      </w:r>
      <w:r w:rsidRPr="000E3F66">
        <w:rPr>
          <w:rFonts w:ascii="Arial" w:eastAsia="Times New Roman" w:hAnsi="Arial" w:cs="Arial"/>
          <w:color w:val="000000"/>
          <w:sz w:val="20"/>
          <w:szCs w:val="20"/>
        </w:rPr>
        <w:t xml:space="preserve"> value are displayed in the grid in the matrix.</w:t>
      </w:r>
    </w:p>
    <w:p w:rsidR="000E3F66" w:rsidRDefault="000E3F66" w:rsidP="000E3F66">
      <w:pPr>
        <w:widowControl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br w:type="page"/>
      </w:r>
      <w:bookmarkStart w:id="0" w:name="_GoBack"/>
      <w:r w:rsidRPr="000E3F66">
        <w:rPr>
          <w:rFonts w:ascii="Arial" w:eastAsia="Times New Roman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236953" cy="7148223"/>
            <wp:effectExtent l="0" t="0" r="0" b="0"/>
            <wp:docPr id="6" name="图片 6" descr="F:\投稿期刊\7生信-儿童脓毒症\JOURNAL OF INFLAMMATION RESEARCH\Supplementary Figures and Tables\Supplementary figure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投稿期刊\7生信-儿童脓毒症\JOURNAL OF INFLAMMATION RESEARCH\Supplementary Figures and Tables\Supplementary figure 5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13" cy="715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E3F66" w:rsidRPr="000E3F66" w:rsidRDefault="000E3F66" w:rsidP="000E3F66">
      <w:pPr>
        <w:widowControl/>
        <w:jc w:val="left"/>
        <w:rPr>
          <w:rFonts w:ascii="Arial" w:eastAsia="Times New Roman" w:hAnsi="Arial" w:cs="Arial"/>
          <w:color w:val="000000"/>
          <w:sz w:val="20"/>
          <w:szCs w:val="20"/>
        </w:rPr>
      </w:pPr>
      <w:r w:rsidRPr="000E3F66">
        <w:rPr>
          <w:rFonts w:ascii="Arial" w:eastAsia="Times New Roman" w:hAnsi="Arial" w:cs="Arial"/>
          <w:b/>
          <w:color w:val="000000"/>
          <w:sz w:val="20"/>
          <w:szCs w:val="20"/>
        </w:rPr>
        <w:t>Supplementary figure 5</w:t>
      </w:r>
      <w:r w:rsidRPr="000E3F66">
        <w:rPr>
          <w:rFonts w:ascii="Arial" w:eastAsia="Times New Roman" w:hAnsi="Arial" w:cs="Arial"/>
          <w:color w:val="000000"/>
          <w:sz w:val="20"/>
          <w:szCs w:val="20"/>
        </w:rPr>
        <w:t xml:space="preserve"> Correlation matrix between the key genes of (A) GSE145227 or (B) GSE26440 and the degree of immune cell infiltration. Red indicates a positive correlation, blue indicates a negative correlation. The darker the colour, the higher the degree of correlation. The correlation coefficient and </w:t>
      </w:r>
      <w:r w:rsidRPr="000E3F66">
        <w:rPr>
          <w:rFonts w:ascii="Arial" w:eastAsia="Times New Roman" w:hAnsi="Arial" w:cs="Arial"/>
          <w:i/>
          <w:color w:val="000000"/>
          <w:sz w:val="20"/>
          <w:szCs w:val="20"/>
        </w:rPr>
        <w:t>P</w:t>
      </w:r>
      <w:r w:rsidRPr="000E3F66">
        <w:rPr>
          <w:rFonts w:ascii="Arial" w:eastAsia="Times New Roman" w:hAnsi="Arial" w:cs="Arial"/>
          <w:color w:val="000000"/>
          <w:sz w:val="20"/>
          <w:szCs w:val="20"/>
        </w:rPr>
        <w:t xml:space="preserve"> value are displayed in the grid in the matrix.</w:t>
      </w:r>
    </w:p>
    <w:p w:rsidR="00A92709" w:rsidRPr="00111DA3" w:rsidRDefault="00355D7E" w:rsidP="00111DA3">
      <w:pPr>
        <w:spacing w:line="480" w:lineRule="auto"/>
        <w:jc w:val="left"/>
        <w:rPr>
          <w:rFonts w:ascii="Arial" w:hAnsi="Arial" w:cs="Arial"/>
          <w:b/>
          <w:bCs/>
          <w:kern w:val="0"/>
          <w:sz w:val="20"/>
          <w:szCs w:val="24"/>
          <w:lang w:eastAsia="en-US"/>
        </w:rPr>
      </w:pPr>
      <w:r>
        <w:rPr>
          <w:rFonts w:ascii="Arial" w:hAnsi="Arial" w:cs="Arial"/>
          <w:b/>
          <w:bCs/>
          <w:kern w:val="0"/>
          <w:sz w:val="20"/>
          <w:szCs w:val="24"/>
          <w:lang w:eastAsia="en-US"/>
        </w:rPr>
        <w:lastRenderedPageBreak/>
        <w:t>Supplementary t</w:t>
      </w:r>
      <w:r w:rsidR="00C867D4" w:rsidRPr="00111DA3">
        <w:rPr>
          <w:rFonts w:ascii="Arial" w:hAnsi="Arial" w:cs="Arial"/>
          <w:b/>
          <w:bCs/>
          <w:kern w:val="0"/>
          <w:sz w:val="20"/>
          <w:szCs w:val="24"/>
          <w:lang w:eastAsia="en-US"/>
        </w:rPr>
        <w:t xml:space="preserve">able 1 </w:t>
      </w:r>
      <w:r w:rsidR="00111DA3">
        <w:rPr>
          <w:rFonts w:ascii="Arial" w:hAnsi="Arial" w:cs="Arial"/>
          <w:bCs/>
          <w:kern w:val="0"/>
          <w:sz w:val="20"/>
          <w:szCs w:val="24"/>
          <w:lang w:eastAsia="en-US"/>
        </w:rPr>
        <w:t>T</w:t>
      </w:r>
      <w:r w:rsidR="00C867D4" w:rsidRPr="00111DA3">
        <w:rPr>
          <w:rFonts w:ascii="Arial" w:hAnsi="Arial" w:cs="Arial"/>
          <w:bCs/>
          <w:kern w:val="0"/>
          <w:sz w:val="20"/>
          <w:szCs w:val="24"/>
          <w:lang w:eastAsia="en-US"/>
        </w:rPr>
        <w:t>he primer pairs used in qPCR.</w:t>
      </w:r>
    </w:p>
    <w:tbl>
      <w:tblPr>
        <w:tblW w:w="0" w:type="auto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418"/>
        <w:gridCol w:w="3260"/>
        <w:gridCol w:w="3628"/>
      </w:tblGrid>
      <w:tr w:rsidR="00C867D4" w:rsidRPr="00C867D4" w:rsidTr="00C867D4">
        <w:trPr>
          <w:trHeight w:hRule="exact" w:val="454"/>
          <w:jc w:val="center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67D4" w:rsidRPr="00111DA3" w:rsidRDefault="00C867D4" w:rsidP="00653C53">
            <w:pPr>
              <w:jc w:val="center"/>
              <w:rPr>
                <w:rFonts w:ascii="Arial" w:hAnsi="Arial" w:cs="Arial"/>
                <w:sz w:val="20"/>
              </w:rPr>
            </w:pPr>
            <w:r w:rsidRPr="00111DA3">
              <w:rPr>
                <w:rFonts w:ascii="Arial" w:hAnsi="Arial" w:cs="Arial"/>
                <w:sz w:val="20"/>
              </w:rPr>
              <w:t>Primer name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67D4" w:rsidRPr="00111DA3" w:rsidRDefault="00C867D4" w:rsidP="00653C53">
            <w:pPr>
              <w:jc w:val="center"/>
              <w:rPr>
                <w:rFonts w:ascii="Arial" w:hAnsi="Arial" w:cs="Arial"/>
                <w:sz w:val="20"/>
              </w:rPr>
            </w:pPr>
            <w:r w:rsidRPr="00111DA3">
              <w:rPr>
                <w:rFonts w:ascii="Arial" w:hAnsi="Arial" w:cs="Arial"/>
                <w:sz w:val="20"/>
              </w:rPr>
              <w:t>Forward</w:t>
            </w:r>
            <w:r w:rsidRPr="00111DA3">
              <w:rPr>
                <w:rFonts w:ascii="Arial" w:hAnsi="Arial" w:cs="Arial"/>
                <w:sz w:val="20"/>
              </w:rPr>
              <w:t>（</w:t>
            </w:r>
            <w:r w:rsidRPr="00111DA3">
              <w:rPr>
                <w:rFonts w:ascii="Arial" w:hAnsi="Arial" w:cs="Arial"/>
                <w:sz w:val="20"/>
              </w:rPr>
              <w:t>5'-3'</w:t>
            </w:r>
            <w:r w:rsidRPr="00111DA3">
              <w:rPr>
                <w:rFonts w:ascii="Arial" w:hAnsi="Arial" w:cs="Arial"/>
                <w:sz w:val="20"/>
              </w:rPr>
              <w:t>）</w:t>
            </w:r>
          </w:p>
        </w:tc>
        <w:tc>
          <w:tcPr>
            <w:tcW w:w="3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67D4" w:rsidRPr="00111DA3" w:rsidRDefault="00C867D4" w:rsidP="00653C53">
            <w:pPr>
              <w:jc w:val="center"/>
              <w:rPr>
                <w:rFonts w:ascii="Arial" w:hAnsi="Arial" w:cs="Arial"/>
                <w:sz w:val="20"/>
              </w:rPr>
            </w:pPr>
            <w:r w:rsidRPr="00111DA3">
              <w:rPr>
                <w:rFonts w:ascii="Arial" w:hAnsi="Arial" w:cs="Arial"/>
                <w:sz w:val="20"/>
              </w:rPr>
              <w:t>Reverse</w:t>
            </w:r>
            <w:r w:rsidRPr="00111DA3">
              <w:rPr>
                <w:rFonts w:ascii="Arial" w:hAnsi="Arial" w:cs="Arial"/>
                <w:sz w:val="20"/>
              </w:rPr>
              <w:t>（</w:t>
            </w:r>
            <w:r w:rsidRPr="00111DA3">
              <w:rPr>
                <w:rFonts w:ascii="Arial" w:hAnsi="Arial" w:cs="Arial"/>
                <w:sz w:val="20"/>
              </w:rPr>
              <w:t>5'-3'</w:t>
            </w:r>
            <w:r w:rsidRPr="00111DA3">
              <w:rPr>
                <w:rFonts w:ascii="Arial" w:hAnsi="Arial" w:cs="Arial"/>
                <w:sz w:val="20"/>
              </w:rPr>
              <w:t>）</w:t>
            </w:r>
          </w:p>
        </w:tc>
      </w:tr>
      <w:tr w:rsidR="00C867D4" w:rsidRPr="00C867D4" w:rsidTr="00C867D4">
        <w:trPr>
          <w:trHeight w:hRule="exact" w:val="454"/>
          <w:jc w:val="center"/>
        </w:trPr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:rsidR="00C867D4" w:rsidRPr="00111DA3" w:rsidRDefault="00C867D4" w:rsidP="00653C53">
            <w:pPr>
              <w:jc w:val="center"/>
              <w:rPr>
                <w:rFonts w:ascii="Arial" w:hAnsi="Arial" w:cs="Arial"/>
                <w:sz w:val="20"/>
              </w:rPr>
            </w:pPr>
            <w:r w:rsidRPr="00111DA3">
              <w:rPr>
                <w:rFonts w:ascii="Arial" w:hAnsi="Arial" w:cs="Arial"/>
                <w:sz w:val="20"/>
              </w:rPr>
              <w:t>ITK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auto"/>
          </w:tcPr>
          <w:p w:rsidR="00C867D4" w:rsidRPr="00111DA3" w:rsidRDefault="00C867D4" w:rsidP="00653C53">
            <w:pPr>
              <w:jc w:val="center"/>
              <w:rPr>
                <w:rFonts w:ascii="Arial" w:hAnsi="Arial" w:cs="Arial"/>
                <w:sz w:val="20"/>
              </w:rPr>
            </w:pPr>
            <w:r w:rsidRPr="00111DA3">
              <w:rPr>
                <w:rFonts w:ascii="Arial" w:hAnsi="Arial" w:cs="Arial"/>
                <w:sz w:val="20"/>
              </w:rPr>
              <w:t>CCCTCAGAGCTCACTTTTGTG</w:t>
            </w:r>
          </w:p>
        </w:tc>
        <w:tc>
          <w:tcPr>
            <w:tcW w:w="3628" w:type="dxa"/>
            <w:tcBorders>
              <w:top w:val="single" w:sz="4" w:space="0" w:color="auto"/>
            </w:tcBorders>
            <w:shd w:val="clear" w:color="auto" w:fill="auto"/>
          </w:tcPr>
          <w:p w:rsidR="00C867D4" w:rsidRPr="00111DA3" w:rsidRDefault="00C867D4" w:rsidP="00653C53">
            <w:pPr>
              <w:jc w:val="center"/>
              <w:rPr>
                <w:rFonts w:ascii="Arial" w:hAnsi="Arial" w:cs="Arial"/>
                <w:sz w:val="20"/>
              </w:rPr>
            </w:pPr>
            <w:r w:rsidRPr="00111DA3">
              <w:rPr>
                <w:rFonts w:ascii="Arial" w:hAnsi="Arial" w:cs="Arial"/>
                <w:sz w:val="20"/>
              </w:rPr>
              <w:t>CTTGTCCTTGTTGAGCCAGTAG</w:t>
            </w:r>
          </w:p>
        </w:tc>
      </w:tr>
      <w:tr w:rsidR="00C867D4" w:rsidRPr="00C867D4" w:rsidTr="00C867D4">
        <w:trPr>
          <w:trHeight w:hRule="exact" w:val="454"/>
          <w:jc w:val="center"/>
        </w:trPr>
        <w:tc>
          <w:tcPr>
            <w:tcW w:w="1418" w:type="dxa"/>
            <w:shd w:val="clear" w:color="auto" w:fill="auto"/>
          </w:tcPr>
          <w:p w:rsidR="00C867D4" w:rsidRPr="00111DA3" w:rsidRDefault="00C867D4" w:rsidP="00653C53">
            <w:pPr>
              <w:jc w:val="center"/>
              <w:rPr>
                <w:rFonts w:ascii="Arial" w:hAnsi="Arial" w:cs="Arial"/>
                <w:sz w:val="20"/>
              </w:rPr>
            </w:pPr>
            <w:r w:rsidRPr="00111DA3">
              <w:rPr>
                <w:rFonts w:ascii="Arial" w:hAnsi="Arial" w:cs="Arial"/>
                <w:sz w:val="20"/>
              </w:rPr>
              <w:t>FYN</w:t>
            </w:r>
          </w:p>
        </w:tc>
        <w:tc>
          <w:tcPr>
            <w:tcW w:w="3260" w:type="dxa"/>
            <w:shd w:val="clear" w:color="auto" w:fill="auto"/>
          </w:tcPr>
          <w:p w:rsidR="00C867D4" w:rsidRPr="00111DA3" w:rsidRDefault="00C867D4" w:rsidP="00653C53">
            <w:pPr>
              <w:jc w:val="center"/>
              <w:rPr>
                <w:rFonts w:ascii="Arial" w:hAnsi="Arial" w:cs="Arial"/>
                <w:sz w:val="20"/>
              </w:rPr>
            </w:pPr>
            <w:r w:rsidRPr="00111DA3">
              <w:rPr>
                <w:rFonts w:ascii="Arial" w:hAnsi="Arial" w:cs="Arial"/>
                <w:sz w:val="20"/>
              </w:rPr>
              <w:t>ATGGGCTGTGTGCAATGTAAG</w:t>
            </w:r>
          </w:p>
        </w:tc>
        <w:tc>
          <w:tcPr>
            <w:tcW w:w="3628" w:type="dxa"/>
            <w:shd w:val="clear" w:color="auto" w:fill="auto"/>
          </w:tcPr>
          <w:p w:rsidR="00C867D4" w:rsidRPr="00111DA3" w:rsidRDefault="00C867D4" w:rsidP="00653C53">
            <w:pPr>
              <w:jc w:val="center"/>
              <w:rPr>
                <w:rFonts w:ascii="Arial" w:hAnsi="Arial" w:cs="Arial"/>
                <w:sz w:val="20"/>
              </w:rPr>
            </w:pPr>
            <w:r w:rsidRPr="00111DA3">
              <w:rPr>
                <w:rFonts w:ascii="Arial" w:hAnsi="Arial" w:cs="Arial"/>
                <w:sz w:val="20"/>
              </w:rPr>
              <w:t>GAAGCTGGGGTAGTGCTGAG</w:t>
            </w:r>
          </w:p>
        </w:tc>
      </w:tr>
      <w:tr w:rsidR="00C867D4" w:rsidRPr="00C867D4" w:rsidTr="00C867D4">
        <w:trPr>
          <w:trHeight w:hRule="exact" w:val="454"/>
          <w:jc w:val="center"/>
        </w:trPr>
        <w:tc>
          <w:tcPr>
            <w:tcW w:w="1418" w:type="dxa"/>
            <w:shd w:val="clear" w:color="auto" w:fill="auto"/>
          </w:tcPr>
          <w:p w:rsidR="00C867D4" w:rsidRPr="00111DA3" w:rsidRDefault="00C867D4" w:rsidP="00653C53">
            <w:pPr>
              <w:jc w:val="center"/>
              <w:rPr>
                <w:rFonts w:ascii="Arial" w:hAnsi="Arial" w:cs="Arial"/>
                <w:sz w:val="20"/>
              </w:rPr>
            </w:pPr>
            <w:r w:rsidRPr="00111DA3">
              <w:rPr>
                <w:rFonts w:ascii="Arial" w:hAnsi="Arial" w:cs="Arial"/>
                <w:sz w:val="20"/>
              </w:rPr>
              <w:t>ATM</w:t>
            </w:r>
          </w:p>
        </w:tc>
        <w:tc>
          <w:tcPr>
            <w:tcW w:w="3260" w:type="dxa"/>
            <w:shd w:val="clear" w:color="auto" w:fill="auto"/>
          </w:tcPr>
          <w:p w:rsidR="00C867D4" w:rsidRPr="00111DA3" w:rsidRDefault="00C867D4" w:rsidP="00653C53">
            <w:pPr>
              <w:jc w:val="center"/>
              <w:rPr>
                <w:rFonts w:ascii="Arial" w:hAnsi="Arial" w:cs="Arial"/>
                <w:sz w:val="20"/>
              </w:rPr>
            </w:pPr>
            <w:r w:rsidRPr="00111DA3">
              <w:rPr>
                <w:rFonts w:ascii="Arial" w:hAnsi="Arial" w:cs="Arial"/>
                <w:sz w:val="20"/>
              </w:rPr>
              <w:t>GAAGTCTTGCATTTGAAGAAGG</w:t>
            </w:r>
          </w:p>
        </w:tc>
        <w:tc>
          <w:tcPr>
            <w:tcW w:w="3628" w:type="dxa"/>
            <w:shd w:val="clear" w:color="auto" w:fill="auto"/>
          </w:tcPr>
          <w:p w:rsidR="00C867D4" w:rsidRPr="00111DA3" w:rsidRDefault="00C867D4" w:rsidP="00653C53">
            <w:pPr>
              <w:jc w:val="center"/>
              <w:rPr>
                <w:rFonts w:ascii="Arial" w:hAnsi="Arial" w:cs="Arial"/>
                <w:sz w:val="20"/>
              </w:rPr>
            </w:pPr>
            <w:r w:rsidRPr="00111DA3">
              <w:rPr>
                <w:rFonts w:ascii="Arial" w:hAnsi="Arial" w:cs="Arial"/>
                <w:sz w:val="20"/>
              </w:rPr>
              <w:t>TGTTCGTAGTCTAGTAATGGGT</w:t>
            </w:r>
          </w:p>
        </w:tc>
      </w:tr>
      <w:tr w:rsidR="00C867D4" w:rsidRPr="00C867D4" w:rsidTr="00C867D4">
        <w:trPr>
          <w:trHeight w:hRule="exact" w:val="454"/>
          <w:jc w:val="center"/>
        </w:trPr>
        <w:tc>
          <w:tcPr>
            <w:tcW w:w="1418" w:type="dxa"/>
            <w:shd w:val="clear" w:color="auto" w:fill="auto"/>
          </w:tcPr>
          <w:p w:rsidR="00C867D4" w:rsidRPr="00111DA3" w:rsidRDefault="00C867D4" w:rsidP="00653C53">
            <w:pPr>
              <w:jc w:val="center"/>
              <w:rPr>
                <w:rFonts w:ascii="Arial" w:hAnsi="Arial" w:cs="Arial"/>
                <w:sz w:val="20"/>
              </w:rPr>
            </w:pPr>
            <w:r w:rsidRPr="00111DA3">
              <w:rPr>
                <w:rFonts w:ascii="Arial" w:hAnsi="Arial" w:cs="Arial"/>
                <w:sz w:val="20"/>
              </w:rPr>
              <w:t>FBL</w:t>
            </w:r>
          </w:p>
        </w:tc>
        <w:tc>
          <w:tcPr>
            <w:tcW w:w="3260" w:type="dxa"/>
            <w:shd w:val="clear" w:color="auto" w:fill="auto"/>
          </w:tcPr>
          <w:p w:rsidR="00C867D4" w:rsidRPr="00111DA3" w:rsidRDefault="00C867D4" w:rsidP="00653C53">
            <w:pPr>
              <w:jc w:val="center"/>
              <w:rPr>
                <w:rFonts w:ascii="Arial" w:hAnsi="Arial" w:cs="Arial"/>
                <w:sz w:val="20"/>
              </w:rPr>
            </w:pPr>
            <w:r w:rsidRPr="00111DA3">
              <w:rPr>
                <w:rFonts w:ascii="Arial" w:hAnsi="Arial" w:cs="Arial"/>
                <w:sz w:val="20"/>
              </w:rPr>
              <w:t>AGTCGAGTTCTCCCACCGCT</w:t>
            </w:r>
          </w:p>
        </w:tc>
        <w:tc>
          <w:tcPr>
            <w:tcW w:w="3628" w:type="dxa"/>
            <w:shd w:val="clear" w:color="auto" w:fill="auto"/>
          </w:tcPr>
          <w:p w:rsidR="00C867D4" w:rsidRPr="00111DA3" w:rsidRDefault="00C867D4" w:rsidP="00653C53">
            <w:pPr>
              <w:jc w:val="center"/>
              <w:rPr>
                <w:rFonts w:ascii="Arial" w:hAnsi="Arial" w:cs="Arial"/>
                <w:sz w:val="20"/>
              </w:rPr>
            </w:pPr>
            <w:r w:rsidRPr="00111DA3">
              <w:rPr>
                <w:rFonts w:ascii="Arial" w:hAnsi="Arial" w:cs="Arial"/>
                <w:sz w:val="20"/>
              </w:rPr>
              <w:t>AATCCGGGTCTGGTCTGGCT</w:t>
            </w:r>
          </w:p>
        </w:tc>
      </w:tr>
      <w:tr w:rsidR="00C867D4" w:rsidRPr="00C867D4" w:rsidTr="00C867D4">
        <w:trPr>
          <w:trHeight w:hRule="exact" w:val="454"/>
          <w:jc w:val="center"/>
        </w:trPr>
        <w:tc>
          <w:tcPr>
            <w:tcW w:w="1418" w:type="dxa"/>
            <w:shd w:val="clear" w:color="auto" w:fill="auto"/>
          </w:tcPr>
          <w:p w:rsidR="00C867D4" w:rsidRPr="00111DA3" w:rsidRDefault="00C867D4" w:rsidP="00653C53">
            <w:pPr>
              <w:jc w:val="center"/>
              <w:rPr>
                <w:rFonts w:ascii="Arial" w:hAnsi="Arial" w:cs="Arial"/>
                <w:sz w:val="20"/>
              </w:rPr>
            </w:pPr>
            <w:r w:rsidRPr="00111DA3">
              <w:rPr>
                <w:rFonts w:ascii="Arial" w:hAnsi="Arial" w:cs="Arial"/>
                <w:sz w:val="20"/>
              </w:rPr>
              <w:t>WDR75</w:t>
            </w:r>
          </w:p>
        </w:tc>
        <w:tc>
          <w:tcPr>
            <w:tcW w:w="3260" w:type="dxa"/>
            <w:shd w:val="clear" w:color="auto" w:fill="auto"/>
          </w:tcPr>
          <w:p w:rsidR="00C867D4" w:rsidRPr="00111DA3" w:rsidRDefault="00C867D4" w:rsidP="00653C53">
            <w:pPr>
              <w:jc w:val="center"/>
              <w:rPr>
                <w:rFonts w:ascii="Arial" w:hAnsi="Arial" w:cs="Arial"/>
                <w:sz w:val="20"/>
              </w:rPr>
            </w:pPr>
            <w:r w:rsidRPr="00111DA3">
              <w:rPr>
                <w:rFonts w:ascii="Arial" w:hAnsi="Arial" w:cs="Arial"/>
                <w:sz w:val="20"/>
              </w:rPr>
              <w:t>TAGCATGTCACCCAACGGAAG</w:t>
            </w:r>
          </w:p>
        </w:tc>
        <w:tc>
          <w:tcPr>
            <w:tcW w:w="3628" w:type="dxa"/>
            <w:shd w:val="clear" w:color="auto" w:fill="auto"/>
          </w:tcPr>
          <w:p w:rsidR="00C867D4" w:rsidRPr="00111DA3" w:rsidRDefault="00C867D4" w:rsidP="00653C53">
            <w:pPr>
              <w:jc w:val="center"/>
              <w:rPr>
                <w:rFonts w:ascii="Arial" w:hAnsi="Arial" w:cs="Arial"/>
                <w:sz w:val="20"/>
              </w:rPr>
            </w:pPr>
            <w:r w:rsidRPr="00111DA3">
              <w:rPr>
                <w:rFonts w:ascii="Arial" w:hAnsi="Arial" w:cs="Arial"/>
                <w:sz w:val="20"/>
              </w:rPr>
              <w:t>GGTGCCTGTCACTGAAAAAGC</w:t>
            </w:r>
          </w:p>
        </w:tc>
      </w:tr>
      <w:tr w:rsidR="00C867D4" w:rsidRPr="00C867D4" w:rsidTr="00C867D4">
        <w:trPr>
          <w:trHeight w:hRule="exact" w:val="454"/>
          <w:jc w:val="center"/>
        </w:trPr>
        <w:tc>
          <w:tcPr>
            <w:tcW w:w="1418" w:type="dxa"/>
            <w:shd w:val="clear" w:color="auto" w:fill="auto"/>
          </w:tcPr>
          <w:p w:rsidR="00C867D4" w:rsidRPr="00111DA3" w:rsidRDefault="00C867D4" w:rsidP="00653C53">
            <w:pPr>
              <w:jc w:val="center"/>
              <w:rPr>
                <w:rFonts w:ascii="Arial" w:hAnsi="Arial" w:cs="Arial"/>
                <w:sz w:val="20"/>
              </w:rPr>
            </w:pPr>
            <w:r w:rsidRPr="00111DA3">
              <w:rPr>
                <w:rFonts w:ascii="Arial" w:hAnsi="Arial" w:cs="Arial"/>
                <w:sz w:val="20"/>
              </w:rPr>
              <w:t>FOXO1</w:t>
            </w:r>
          </w:p>
        </w:tc>
        <w:tc>
          <w:tcPr>
            <w:tcW w:w="3260" w:type="dxa"/>
            <w:shd w:val="clear" w:color="auto" w:fill="auto"/>
          </w:tcPr>
          <w:p w:rsidR="00C867D4" w:rsidRPr="00111DA3" w:rsidRDefault="00C867D4" w:rsidP="00653C53">
            <w:pPr>
              <w:jc w:val="center"/>
              <w:rPr>
                <w:rFonts w:ascii="Arial" w:hAnsi="Arial" w:cs="Arial"/>
                <w:sz w:val="20"/>
              </w:rPr>
            </w:pPr>
            <w:r w:rsidRPr="00111DA3">
              <w:rPr>
                <w:rFonts w:ascii="Arial" w:hAnsi="Arial" w:cs="Arial"/>
                <w:sz w:val="20"/>
              </w:rPr>
              <w:t>GGGTTAGTGAGCAGGTTACAC</w:t>
            </w:r>
          </w:p>
        </w:tc>
        <w:tc>
          <w:tcPr>
            <w:tcW w:w="3628" w:type="dxa"/>
            <w:shd w:val="clear" w:color="auto" w:fill="auto"/>
          </w:tcPr>
          <w:p w:rsidR="00C867D4" w:rsidRPr="00111DA3" w:rsidRDefault="00C867D4" w:rsidP="00653C53">
            <w:pPr>
              <w:jc w:val="center"/>
              <w:rPr>
                <w:rFonts w:ascii="Arial" w:hAnsi="Arial" w:cs="Arial"/>
                <w:sz w:val="20"/>
              </w:rPr>
            </w:pPr>
            <w:r w:rsidRPr="00111DA3">
              <w:rPr>
                <w:rFonts w:ascii="Arial" w:hAnsi="Arial" w:cs="Arial"/>
                <w:sz w:val="20"/>
              </w:rPr>
              <w:t>TCCAATGGCACAGTCCTTATC</w:t>
            </w:r>
          </w:p>
        </w:tc>
      </w:tr>
      <w:tr w:rsidR="00C867D4" w:rsidRPr="00C867D4" w:rsidTr="00C867D4">
        <w:trPr>
          <w:trHeight w:hRule="exact" w:val="454"/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C867D4" w:rsidRPr="00111DA3" w:rsidRDefault="00C867D4" w:rsidP="00653C53">
            <w:pPr>
              <w:jc w:val="center"/>
              <w:rPr>
                <w:rFonts w:ascii="Arial" w:hAnsi="Arial" w:cs="Arial"/>
                <w:sz w:val="20"/>
              </w:rPr>
            </w:pPr>
            <w:r w:rsidRPr="00111DA3">
              <w:rPr>
                <w:rFonts w:ascii="Arial" w:hAnsi="Arial" w:cs="Arial"/>
                <w:sz w:val="20"/>
              </w:rPr>
              <w:t>GAPDH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:rsidR="00C867D4" w:rsidRPr="00111DA3" w:rsidRDefault="00C867D4" w:rsidP="00653C53">
            <w:pPr>
              <w:jc w:val="center"/>
              <w:rPr>
                <w:rFonts w:ascii="Arial" w:hAnsi="Arial" w:cs="Arial"/>
                <w:sz w:val="20"/>
              </w:rPr>
            </w:pPr>
            <w:r w:rsidRPr="00111DA3">
              <w:rPr>
                <w:rFonts w:ascii="Arial" w:hAnsi="Arial" w:cs="Arial"/>
                <w:sz w:val="20"/>
              </w:rPr>
              <w:t>AGCCACATCGCTCAGACAC</w:t>
            </w:r>
          </w:p>
        </w:tc>
        <w:tc>
          <w:tcPr>
            <w:tcW w:w="3628" w:type="dxa"/>
            <w:tcBorders>
              <w:bottom w:val="single" w:sz="4" w:space="0" w:color="auto"/>
            </w:tcBorders>
            <w:shd w:val="clear" w:color="auto" w:fill="auto"/>
          </w:tcPr>
          <w:p w:rsidR="00C867D4" w:rsidRPr="00111DA3" w:rsidRDefault="00C867D4" w:rsidP="00653C53">
            <w:pPr>
              <w:jc w:val="center"/>
              <w:rPr>
                <w:rFonts w:ascii="Arial" w:hAnsi="Arial" w:cs="Arial"/>
                <w:sz w:val="20"/>
              </w:rPr>
            </w:pPr>
            <w:r w:rsidRPr="00111DA3">
              <w:rPr>
                <w:rFonts w:ascii="Arial" w:hAnsi="Arial" w:cs="Arial"/>
                <w:sz w:val="20"/>
              </w:rPr>
              <w:t>GCCCAATACGACCAAATCC</w:t>
            </w:r>
          </w:p>
        </w:tc>
      </w:tr>
    </w:tbl>
    <w:p w:rsidR="00C867D4" w:rsidRDefault="00C867D4"/>
    <w:p w:rsidR="00E506C0" w:rsidRDefault="00E506C0">
      <w:pPr>
        <w:widowControl/>
        <w:jc w:val="left"/>
      </w:pPr>
      <w:r>
        <w:br w:type="page"/>
      </w:r>
    </w:p>
    <w:p w:rsidR="00E506C0" w:rsidRPr="002B0491" w:rsidRDefault="00E506C0" w:rsidP="00E506C0">
      <w:pPr>
        <w:spacing w:line="480" w:lineRule="auto"/>
        <w:jc w:val="left"/>
        <w:rPr>
          <w:rFonts w:ascii="Arial" w:hAnsi="Arial" w:cs="Arial"/>
          <w:bCs/>
          <w:kern w:val="0"/>
          <w:sz w:val="20"/>
          <w:szCs w:val="24"/>
          <w:lang w:eastAsia="en-US"/>
        </w:rPr>
      </w:pPr>
      <w:r w:rsidRPr="002B0491">
        <w:rPr>
          <w:rFonts w:ascii="Arial" w:hAnsi="Arial" w:cs="Arial" w:hint="eastAsia"/>
          <w:b/>
          <w:bCs/>
          <w:kern w:val="0"/>
          <w:sz w:val="20"/>
          <w:szCs w:val="24"/>
          <w:lang w:eastAsia="en-US"/>
        </w:rPr>
        <w:lastRenderedPageBreak/>
        <w:t>S</w:t>
      </w:r>
      <w:r w:rsidRPr="002B0491">
        <w:rPr>
          <w:rFonts w:ascii="Arial" w:hAnsi="Arial" w:cs="Arial"/>
          <w:b/>
          <w:bCs/>
          <w:kern w:val="0"/>
          <w:sz w:val="20"/>
          <w:szCs w:val="24"/>
          <w:lang w:eastAsia="en-US"/>
        </w:rPr>
        <w:t xml:space="preserve">upplementary table 2 </w:t>
      </w:r>
      <w:r w:rsidRPr="002B0491">
        <w:rPr>
          <w:rFonts w:ascii="Arial" w:hAnsi="Arial" w:cs="Arial"/>
          <w:bCs/>
          <w:kern w:val="0"/>
          <w:sz w:val="20"/>
          <w:szCs w:val="24"/>
          <w:lang w:eastAsia="en-US"/>
        </w:rPr>
        <w:t>Results of KEGG analysis.</w:t>
      </w:r>
    </w:p>
    <w:tbl>
      <w:tblPr>
        <w:tblStyle w:val="a7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0"/>
        <w:gridCol w:w="3232"/>
        <w:gridCol w:w="1278"/>
        <w:gridCol w:w="1061"/>
        <w:gridCol w:w="1051"/>
        <w:gridCol w:w="858"/>
      </w:tblGrid>
      <w:tr w:rsidR="00E506C0" w:rsidRPr="00175E5E" w:rsidTr="002D020E">
        <w:trPr>
          <w:trHeight w:val="285"/>
          <w:jc w:val="center"/>
        </w:trPr>
        <w:tc>
          <w:tcPr>
            <w:tcW w:w="1161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ID</w:t>
            </w:r>
          </w:p>
        </w:tc>
        <w:tc>
          <w:tcPr>
            <w:tcW w:w="3232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Description</w:t>
            </w:r>
          </w:p>
        </w:tc>
        <w:tc>
          <w:tcPr>
            <w:tcW w:w="1278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GeneRatio</w:t>
            </w:r>
          </w:p>
        </w:tc>
        <w:tc>
          <w:tcPr>
            <w:tcW w:w="1061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BgRatio</w:t>
            </w:r>
          </w:p>
        </w:tc>
        <w:tc>
          <w:tcPr>
            <w:tcW w:w="1050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i/>
                <w:color w:val="000000" w:themeColor="text1"/>
                <w:sz w:val="20"/>
                <w:szCs w:val="20"/>
              </w:rPr>
              <w:t>p</w:t>
            </w: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.adjust</w:t>
            </w:r>
          </w:p>
        </w:tc>
        <w:tc>
          <w:tcPr>
            <w:tcW w:w="858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Count</w:t>
            </w:r>
          </w:p>
        </w:tc>
      </w:tr>
      <w:tr w:rsidR="00E506C0" w:rsidRPr="00175E5E" w:rsidTr="002D020E">
        <w:trPr>
          <w:trHeight w:val="285"/>
          <w:jc w:val="center"/>
        </w:trPr>
        <w:tc>
          <w:tcPr>
            <w:tcW w:w="1161" w:type="dxa"/>
            <w:tcBorders>
              <w:top w:val="single" w:sz="4" w:space="0" w:color="auto"/>
            </w:tcBorders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hsa04640</w:t>
            </w:r>
          </w:p>
        </w:tc>
        <w:tc>
          <w:tcPr>
            <w:tcW w:w="3232" w:type="dxa"/>
            <w:tcBorders>
              <w:top w:val="single" w:sz="4" w:space="0" w:color="auto"/>
            </w:tcBorders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Hematopoietic cell lineage</w:t>
            </w:r>
          </w:p>
        </w:tc>
        <w:tc>
          <w:tcPr>
            <w:tcW w:w="1278" w:type="dxa"/>
            <w:tcBorders>
              <w:top w:val="single" w:sz="4" w:space="0" w:color="auto"/>
            </w:tcBorders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19/307</w:t>
            </w:r>
          </w:p>
        </w:tc>
        <w:tc>
          <w:tcPr>
            <w:tcW w:w="1061" w:type="dxa"/>
            <w:tcBorders>
              <w:top w:val="single" w:sz="4" w:space="0" w:color="auto"/>
            </w:tcBorders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99/8111</w:t>
            </w:r>
          </w:p>
        </w:tc>
        <w:tc>
          <w:tcPr>
            <w:tcW w:w="1050" w:type="dxa"/>
            <w:tcBorders>
              <w:top w:val="single" w:sz="4" w:space="0" w:color="auto"/>
            </w:tcBorders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1.07E-06</w:t>
            </w:r>
          </w:p>
        </w:tc>
        <w:tc>
          <w:tcPr>
            <w:tcW w:w="858" w:type="dxa"/>
            <w:tcBorders>
              <w:top w:val="single" w:sz="4" w:space="0" w:color="auto"/>
            </w:tcBorders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19</w:t>
            </w:r>
          </w:p>
        </w:tc>
      </w:tr>
      <w:tr w:rsidR="00E506C0" w:rsidRPr="00175E5E" w:rsidTr="002D020E">
        <w:trPr>
          <w:trHeight w:val="285"/>
          <w:jc w:val="center"/>
        </w:trPr>
        <w:tc>
          <w:tcPr>
            <w:tcW w:w="1161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hsa04658</w:t>
            </w:r>
          </w:p>
        </w:tc>
        <w:tc>
          <w:tcPr>
            <w:tcW w:w="3232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Th1 and Th2 cell differentiation</w:t>
            </w:r>
          </w:p>
        </w:tc>
        <w:tc>
          <w:tcPr>
            <w:tcW w:w="1278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17/307</w:t>
            </w:r>
          </w:p>
        </w:tc>
        <w:tc>
          <w:tcPr>
            <w:tcW w:w="1061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92/8111</w:t>
            </w:r>
          </w:p>
        </w:tc>
        <w:tc>
          <w:tcPr>
            <w:tcW w:w="1050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6.56E-06</w:t>
            </w:r>
          </w:p>
        </w:tc>
        <w:tc>
          <w:tcPr>
            <w:tcW w:w="858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17</w:t>
            </w:r>
          </w:p>
        </w:tc>
      </w:tr>
      <w:tr w:rsidR="00E506C0" w:rsidRPr="00175E5E" w:rsidTr="002D020E">
        <w:trPr>
          <w:trHeight w:val="285"/>
          <w:jc w:val="center"/>
        </w:trPr>
        <w:tc>
          <w:tcPr>
            <w:tcW w:w="1161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hsa05235</w:t>
            </w:r>
          </w:p>
        </w:tc>
        <w:tc>
          <w:tcPr>
            <w:tcW w:w="3232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PD-L1 expression and PD-1 checkpoint pathway in cancer</w:t>
            </w:r>
          </w:p>
        </w:tc>
        <w:tc>
          <w:tcPr>
            <w:tcW w:w="1278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16/307</w:t>
            </w:r>
          </w:p>
        </w:tc>
        <w:tc>
          <w:tcPr>
            <w:tcW w:w="1061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89/8111</w:t>
            </w:r>
          </w:p>
        </w:tc>
        <w:tc>
          <w:tcPr>
            <w:tcW w:w="1050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1.64E-05</w:t>
            </w:r>
          </w:p>
        </w:tc>
        <w:tc>
          <w:tcPr>
            <w:tcW w:w="858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16</w:t>
            </w:r>
          </w:p>
        </w:tc>
      </w:tr>
      <w:tr w:rsidR="00E506C0" w:rsidRPr="00175E5E" w:rsidTr="002D020E">
        <w:trPr>
          <w:trHeight w:val="285"/>
          <w:jc w:val="center"/>
        </w:trPr>
        <w:tc>
          <w:tcPr>
            <w:tcW w:w="1161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hsa04659</w:t>
            </w:r>
          </w:p>
        </w:tc>
        <w:tc>
          <w:tcPr>
            <w:tcW w:w="3232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Th17 cell differentiation</w:t>
            </w:r>
          </w:p>
        </w:tc>
        <w:tc>
          <w:tcPr>
            <w:tcW w:w="1278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17/307</w:t>
            </w:r>
          </w:p>
        </w:tc>
        <w:tc>
          <w:tcPr>
            <w:tcW w:w="1061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107/8111</w:t>
            </w:r>
          </w:p>
        </w:tc>
        <w:tc>
          <w:tcPr>
            <w:tcW w:w="1050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3.23E-05</w:t>
            </w:r>
          </w:p>
        </w:tc>
        <w:tc>
          <w:tcPr>
            <w:tcW w:w="858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17</w:t>
            </w:r>
          </w:p>
        </w:tc>
      </w:tr>
      <w:tr w:rsidR="00E506C0" w:rsidRPr="00175E5E" w:rsidTr="002D020E">
        <w:trPr>
          <w:trHeight w:val="285"/>
          <w:jc w:val="center"/>
        </w:trPr>
        <w:tc>
          <w:tcPr>
            <w:tcW w:w="1161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hsa04380</w:t>
            </w:r>
          </w:p>
        </w:tc>
        <w:tc>
          <w:tcPr>
            <w:tcW w:w="3232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Osteoclast differentiation</w:t>
            </w:r>
          </w:p>
        </w:tc>
        <w:tc>
          <w:tcPr>
            <w:tcW w:w="1278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18/307</w:t>
            </w:r>
          </w:p>
        </w:tc>
        <w:tc>
          <w:tcPr>
            <w:tcW w:w="1061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128/8111</w:t>
            </w:r>
          </w:p>
        </w:tc>
        <w:tc>
          <w:tcPr>
            <w:tcW w:w="1050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7.35E-05</w:t>
            </w:r>
          </w:p>
        </w:tc>
        <w:tc>
          <w:tcPr>
            <w:tcW w:w="858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18</w:t>
            </w:r>
          </w:p>
        </w:tc>
      </w:tr>
      <w:tr w:rsidR="00E506C0" w:rsidRPr="00175E5E" w:rsidTr="002D020E">
        <w:trPr>
          <w:trHeight w:val="285"/>
          <w:jc w:val="center"/>
        </w:trPr>
        <w:tc>
          <w:tcPr>
            <w:tcW w:w="1161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hsa04660</w:t>
            </w:r>
          </w:p>
        </w:tc>
        <w:tc>
          <w:tcPr>
            <w:tcW w:w="3232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T cell receptor signaling pathway</w:t>
            </w:r>
          </w:p>
        </w:tc>
        <w:tc>
          <w:tcPr>
            <w:tcW w:w="1278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16/307</w:t>
            </w:r>
          </w:p>
        </w:tc>
        <w:tc>
          <w:tcPr>
            <w:tcW w:w="1061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104/8111</w:t>
            </w:r>
          </w:p>
        </w:tc>
        <w:tc>
          <w:tcPr>
            <w:tcW w:w="1050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7.35E-05</w:t>
            </w:r>
          </w:p>
        </w:tc>
        <w:tc>
          <w:tcPr>
            <w:tcW w:w="858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16</w:t>
            </w:r>
          </w:p>
        </w:tc>
      </w:tr>
      <w:tr w:rsidR="00E506C0" w:rsidRPr="00175E5E" w:rsidTr="002D020E">
        <w:trPr>
          <w:trHeight w:val="285"/>
          <w:jc w:val="center"/>
        </w:trPr>
        <w:tc>
          <w:tcPr>
            <w:tcW w:w="1161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hsa05321</w:t>
            </w:r>
          </w:p>
        </w:tc>
        <w:tc>
          <w:tcPr>
            <w:tcW w:w="3232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Inflammatory bowel disease</w:t>
            </w:r>
          </w:p>
        </w:tc>
        <w:tc>
          <w:tcPr>
            <w:tcW w:w="1278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11/307</w:t>
            </w:r>
          </w:p>
        </w:tc>
        <w:tc>
          <w:tcPr>
            <w:tcW w:w="1061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65/8111</w:t>
            </w:r>
          </w:p>
        </w:tc>
        <w:tc>
          <w:tcPr>
            <w:tcW w:w="1050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0.001111</w:t>
            </w:r>
          </w:p>
        </w:tc>
        <w:tc>
          <w:tcPr>
            <w:tcW w:w="858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11</w:t>
            </w:r>
          </w:p>
        </w:tc>
      </w:tr>
      <w:tr w:rsidR="00E506C0" w:rsidRPr="00175E5E" w:rsidTr="002D020E">
        <w:trPr>
          <w:trHeight w:val="285"/>
          <w:jc w:val="center"/>
        </w:trPr>
        <w:tc>
          <w:tcPr>
            <w:tcW w:w="1161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hsa05202</w:t>
            </w:r>
          </w:p>
        </w:tc>
        <w:tc>
          <w:tcPr>
            <w:tcW w:w="3232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Transcriptional misregulation in cancer</w:t>
            </w:r>
          </w:p>
        </w:tc>
        <w:tc>
          <w:tcPr>
            <w:tcW w:w="1278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20/307</w:t>
            </w:r>
          </w:p>
        </w:tc>
        <w:tc>
          <w:tcPr>
            <w:tcW w:w="1061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192/8111</w:t>
            </w:r>
          </w:p>
        </w:tc>
        <w:tc>
          <w:tcPr>
            <w:tcW w:w="1050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0.001284</w:t>
            </w:r>
          </w:p>
        </w:tc>
        <w:tc>
          <w:tcPr>
            <w:tcW w:w="858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20</w:t>
            </w:r>
          </w:p>
        </w:tc>
      </w:tr>
      <w:tr w:rsidR="00E506C0" w:rsidRPr="00175E5E" w:rsidTr="002D020E">
        <w:trPr>
          <w:trHeight w:val="285"/>
          <w:jc w:val="center"/>
        </w:trPr>
        <w:tc>
          <w:tcPr>
            <w:tcW w:w="1161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hsa04610</w:t>
            </w:r>
          </w:p>
        </w:tc>
        <w:tc>
          <w:tcPr>
            <w:tcW w:w="3232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Complement and coagulation cascades</w:t>
            </w:r>
          </w:p>
        </w:tc>
        <w:tc>
          <w:tcPr>
            <w:tcW w:w="1278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12/307</w:t>
            </w:r>
          </w:p>
        </w:tc>
        <w:tc>
          <w:tcPr>
            <w:tcW w:w="1061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85/8111</w:t>
            </w:r>
          </w:p>
        </w:tc>
        <w:tc>
          <w:tcPr>
            <w:tcW w:w="1050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0.002415</w:t>
            </w:r>
          </w:p>
        </w:tc>
        <w:tc>
          <w:tcPr>
            <w:tcW w:w="858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12</w:t>
            </w:r>
          </w:p>
        </w:tc>
      </w:tr>
      <w:tr w:rsidR="00E506C0" w:rsidRPr="00175E5E" w:rsidTr="002D020E">
        <w:trPr>
          <w:trHeight w:val="285"/>
          <w:jc w:val="center"/>
        </w:trPr>
        <w:tc>
          <w:tcPr>
            <w:tcW w:w="1161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hsa05166</w:t>
            </w:r>
          </w:p>
        </w:tc>
        <w:tc>
          <w:tcPr>
            <w:tcW w:w="3232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Human T-cell leukemia virus 1 infection</w:t>
            </w:r>
          </w:p>
        </w:tc>
        <w:tc>
          <w:tcPr>
            <w:tcW w:w="1278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20/307</w:t>
            </w:r>
          </w:p>
        </w:tc>
        <w:tc>
          <w:tcPr>
            <w:tcW w:w="1061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219/8111</w:t>
            </w:r>
          </w:p>
        </w:tc>
        <w:tc>
          <w:tcPr>
            <w:tcW w:w="1050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0.006424</w:t>
            </w:r>
          </w:p>
        </w:tc>
        <w:tc>
          <w:tcPr>
            <w:tcW w:w="858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20</w:t>
            </w:r>
          </w:p>
        </w:tc>
      </w:tr>
      <w:tr w:rsidR="00E506C0" w:rsidRPr="00175E5E" w:rsidTr="002D020E">
        <w:trPr>
          <w:trHeight w:val="285"/>
          <w:jc w:val="center"/>
        </w:trPr>
        <w:tc>
          <w:tcPr>
            <w:tcW w:w="1161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hsa04613</w:t>
            </w:r>
          </w:p>
        </w:tc>
        <w:tc>
          <w:tcPr>
            <w:tcW w:w="3232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Neutrophil extracellular trap formation</w:t>
            </w:r>
          </w:p>
        </w:tc>
        <w:tc>
          <w:tcPr>
            <w:tcW w:w="1278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18/307</w:t>
            </w:r>
          </w:p>
        </w:tc>
        <w:tc>
          <w:tcPr>
            <w:tcW w:w="1061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190/8111</w:t>
            </w:r>
          </w:p>
        </w:tc>
        <w:tc>
          <w:tcPr>
            <w:tcW w:w="1050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0.007648</w:t>
            </w:r>
          </w:p>
        </w:tc>
        <w:tc>
          <w:tcPr>
            <w:tcW w:w="858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18</w:t>
            </w:r>
          </w:p>
        </w:tc>
      </w:tr>
      <w:tr w:rsidR="00E506C0" w:rsidRPr="00175E5E" w:rsidTr="002D020E">
        <w:trPr>
          <w:trHeight w:val="285"/>
          <w:jc w:val="center"/>
        </w:trPr>
        <w:tc>
          <w:tcPr>
            <w:tcW w:w="1161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hsa05142</w:t>
            </w:r>
          </w:p>
        </w:tc>
        <w:tc>
          <w:tcPr>
            <w:tcW w:w="3232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Chagas disease</w:t>
            </w:r>
          </w:p>
        </w:tc>
        <w:tc>
          <w:tcPr>
            <w:tcW w:w="1278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12/307</w:t>
            </w:r>
          </w:p>
        </w:tc>
        <w:tc>
          <w:tcPr>
            <w:tcW w:w="1061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102/8111</w:t>
            </w:r>
          </w:p>
        </w:tc>
        <w:tc>
          <w:tcPr>
            <w:tcW w:w="1050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0.010467</w:t>
            </w:r>
          </w:p>
        </w:tc>
        <w:tc>
          <w:tcPr>
            <w:tcW w:w="858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12</w:t>
            </w:r>
          </w:p>
        </w:tc>
      </w:tr>
      <w:tr w:rsidR="00E506C0" w:rsidRPr="00175E5E" w:rsidTr="002D020E">
        <w:trPr>
          <w:trHeight w:val="285"/>
          <w:jc w:val="center"/>
        </w:trPr>
        <w:tc>
          <w:tcPr>
            <w:tcW w:w="1161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hsa05221</w:t>
            </w:r>
          </w:p>
        </w:tc>
        <w:tc>
          <w:tcPr>
            <w:tcW w:w="3232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Acute myeloid leukemia</w:t>
            </w:r>
          </w:p>
        </w:tc>
        <w:tc>
          <w:tcPr>
            <w:tcW w:w="1278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9/307</w:t>
            </w:r>
          </w:p>
        </w:tc>
        <w:tc>
          <w:tcPr>
            <w:tcW w:w="1061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67/8111</w:t>
            </w:r>
          </w:p>
        </w:tc>
        <w:tc>
          <w:tcPr>
            <w:tcW w:w="1050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0.019087</w:t>
            </w:r>
          </w:p>
        </w:tc>
        <w:tc>
          <w:tcPr>
            <w:tcW w:w="858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9</w:t>
            </w:r>
          </w:p>
        </w:tc>
      </w:tr>
      <w:tr w:rsidR="00E506C0" w:rsidRPr="00175E5E" w:rsidTr="002D020E">
        <w:trPr>
          <w:trHeight w:val="285"/>
          <w:jc w:val="center"/>
        </w:trPr>
        <w:tc>
          <w:tcPr>
            <w:tcW w:w="1161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hsa05150</w:t>
            </w:r>
          </w:p>
        </w:tc>
        <w:tc>
          <w:tcPr>
            <w:tcW w:w="3232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Staphylococcus aureus infection</w:t>
            </w:r>
          </w:p>
        </w:tc>
        <w:tc>
          <w:tcPr>
            <w:tcW w:w="1278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11/307</w:t>
            </w:r>
          </w:p>
        </w:tc>
        <w:tc>
          <w:tcPr>
            <w:tcW w:w="1061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96/8111</w:t>
            </w:r>
          </w:p>
        </w:tc>
        <w:tc>
          <w:tcPr>
            <w:tcW w:w="1050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0.019285</w:t>
            </w:r>
          </w:p>
        </w:tc>
        <w:tc>
          <w:tcPr>
            <w:tcW w:w="858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11</w:t>
            </w:r>
          </w:p>
        </w:tc>
      </w:tr>
      <w:tr w:rsidR="00E506C0" w:rsidRPr="00175E5E" w:rsidTr="002D020E">
        <w:trPr>
          <w:trHeight w:val="285"/>
          <w:jc w:val="center"/>
        </w:trPr>
        <w:tc>
          <w:tcPr>
            <w:tcW w:w="1161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hsa05134</w:t>
            </w:r>
          </w:p>
        </w:tc>
        <w:tc>
          <w:tcPr>
            <w:tcW w:w="3232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Legionellosis</w:t>
            </w:r>
          </w:p>
        </w:tc>
        <w:tc>
          <w:tcPr>
            <w:tcW w:w="1278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8/307</w:t>
            </w:r>
          </w:p>
        </w:tc>
        <w:tc>
          <w:tcPr>
            <w:tcW w:w="1061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57/8111</w:t>
            </w:r>
          </w:p>
        </w:tc>
        <w:tc>
          <w:tcPr>
            <w:tcW w:w="1050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0.023495</w:t>
            </w:r>
          </w:p>
        </w:tc>
        <w:tc>
          <w:tcPr>
            <w:tcW w:w="858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8</w:t>
            </w:r>
          </w:p>
        </w:tc>
      </w:tr>
      <w:tr w:rsidR="00E506C0" w:rsidRPr="00175E5E" w:rsidTr="002D020E">
        <w:trPr>
          <w:trHeight w:val="285"/>
          <w:jc w:val="center"/>
        </w:trPr>
        <w:tc>
          <w:tcPr>
            <w:tcW w:w="1161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hsa04650</w:t>
            </w:r>
          </w:p>
        </w:tc>
        <w:tc>
          <w:tcPr>
            <w:tcW w:w="3232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Natural killer cell mediated cytotoxicity</w:t>
            </w:r>
          </w:p>
        </w:tc>
        <w:tc>
          <w:tcPr>
            <w:tcW w:w="1278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13/307</w:t>
            </w:r>
          </w:p>
        </w:tc>
        <w:tc>
          <w:tcPr>
            <w:tcW w:w="1061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131/8111</w:t>
            </w:r>
          </w:p>
        </w:tc>
        <w:tc>
          <w:tcPr>
            <w:tcW w:w="1050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0.023495</w:t>
            </w:r>
          </w:p>
        </w:tc>
        <w:tc>
          <w:tcPr>
            <w:tcW w:w="858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13</w:t>
            </w:r>
          </w:p>
        </w:tc>
      </w:tr>
      <w:tr w:rsidR="00E506C0" w:rsidRPr="00175E5E" w:rsidTr="002D020E">
        <w:trPr>
          <w:trHeight w:val="285"/>
          <w:jc w:val="center"/>
        </w:trPr>
        <w:tc>
          <w:tcPr>
            <w:tcW w:w="1161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hsa04930</w:t>
            </w:r>
          </w:p>
        </w:tc>
        <w:tc>
          <w:tcPr>
            <w:tcW w:w="3232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Type II diabetes mellitus</w:t>
            </w:r>
          </w:p>
        </w:tc>
        <w:tc>
          <w:tcPr>
            <w:tcW w:w="1278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7/307</w:t>
            </w:r>
          </w:p>
        </w:tc>
        <w:tc>
          <w:tcPr>
            <w:tcW w:w="1061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46/8111</w:t>
            </w:r>
          </w:p>
        </w:tc>
        <w:tc>
          <w:tcPr>
            <w:tcW w:w="1050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0.025993</w:t>
            </w:r>
          </w:p>
        </w:tc>
        <w:tc>
          <w:tcPr>
            <w:tcW w:w="858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7</w:t>
            </w:r>
          </w:p>
        </w:tc>
      </w:tr>
      <w:tr w:rsidR="00E506C0" w:rsidRPr="00175E5E" w:rsidTr="002D020E">
        <w:trPr>
          <w:trHeight w:val="285"/>
          <w:jc w:val="center"/>
        </w:trPr>
        <w:tc>
          <w:tcPr>
            <w:tcW w:w="1161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hsa04064</w:t>
            </w:r>
          </w:p>
        </w:tc>
        <w:tc>
          <w:tcPr>
            <w:tcW w:w="3232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NF-kappa B signaling pathway</w:t>
            </w:r>
          </w:p>
        </w:tc>
        <w:tc>
          <w:tcPr>
            <w:tcW w:w="1278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11/307</w:t>
            </w:r>
          </w:p>
        </w:tc>
        <w:tc>
          <w:tcPr>
            <w:tcW w:w="1061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104/8111</w:t>
            </w:r>
          </w:p>
        </w:tc>
        <w:tc>
          <w:tcPr>
            <w:tcW w:w="1050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0.029023</w:t>
            </w:r>
          </w:p>
        </w:tc>
        <w:tc>
          <w:tcPr>
            <w:tcW w:w="858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11</w:t>
            </w:r>
          </w:p>
        </w:tc>
      </w:tr>
      <w:tr w:rsidR="00E506C0" w:rsidRPr="00175E5E" w:rsidTr="002D020E">
        <w:trPr>
          <w:trHeight w:val="285"/>
          <w:jc w:val="center"/>
        </w:trPr>
        <w:tc>
          <w:tcPr>
            <w:tcW w:w="1161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hsa04910</w:t>
            </w:r>
          </w:p>
        </w:tc>
        <w:tc>
          <w:tcPr>
            <w:tcW w:w="3232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Insulin signaling pathway</w:t>
            </w:r>
          </w:p>
        </w:tc>
        <w:tc>
          <w:tcPr>
            <w:tcW w:w="1278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13/307</w:t>
            </w:r>
          </w:p>
        </w:tc>
        <w:tc>
          <w:tcPr>
            <w:tcW w:w="1061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137/8111</w:t>
            </w:r>
          </w:p>
        </w:tc>
        <w:tc>
          <w:tcPr>
            <w:tcW w:w="1050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0.029736</w:t>
            </w:r>
          </w:p>
        </w:tc>
        <w:tc>
          <w:tcPr>
            <w:tcW w:w="858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13</w:t>
            </w:r>
          </w:p>
        </w:tc>
      </w:tr>
      <w:tr w:rsidR="00E506C0" w:rsidRPr="00175E5E" w:rsidTr="002D020E">
        <w:trPr>
          <w:trHeight w:val="285"/>
          <w:jc w:val="center"/>
        </w:trPr>
        <w:tc>
          <w:tcPr>
            <w:tcW w:w="1161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lastRenderedPageBreak/>
              <w:t>hsa05140</w:t>
            </w:r>
          </w:p>
        </w:tc>
        <w:tc>
          <w:tcPr>
            <w:tcW w:w="3232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Leishmaniasis</w:t>
            </w:r>
          </w:p>
        </w:tc>
        <w:tc>
          <w:tcPr>
            <w:tcW w:w="1278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9/307</w:t>
            </w:r>
          </w:p>
        </w:tc>
        <w:tc>
          <w:tcPr>
            <w:tcW w:w="1061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77/8111</w:t>
            </w:r>
          </w:p>
        </w:tc>
        <w:tc>
          <w:tcPr>
            <w:tcW w:w="1050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0.033646</w:t>
            </w:r>
          </w:p>
        </w:tc>
        <w:tc>
          <w:tcPr>
            <w:tcW w:w="858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9</w:t>
            </w:r>
          </w:p>
        </w:tc>
      </w:tr>
      <w:tr w:rsidR="00E506C0" w:rsidRPr="00175E5E" w:rsidTr="002D020E">
        <w:trPr>
          <w:trHeight w:val="285"/>
          <w:jc w:val="center"/>
        </w:trPr>
        <w:tc>
          <w:tcPr>
            <w:tcW w:w="1161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hsa05340</w:t>
            </w:r>
          </w:p>
        </w:tc>
        <w:tc>
          <w:tcPr>
            <w:tcW w:w="3232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Primary immunodeficiency</w:t>
            </w:r>
          </w:p>
        </w:tc>
        <w:tc>
          <w:tcPr>
            <w:tcW w:w="1278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6/307</w:t>
            </w:r>
          </w:p>
        </w:tc>
        <w:tc>
          <w:tcPr>
            <w:tcW w:w="1061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38/8111</w:t>
            </w:r>
          </w:p>
        </w:tc>
        <w:tc>
          <w:tcPr>
            <w:tcW w:w="1050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0.037434</w:t>
            </w:r>
          </w:p>
        </w:tc>
        <w:tc>
          <w:tcPr>
            <w:tcW w:w="858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6</w:t>
            </w:r>
          </w:p>
        </w:tc>
      </w:tr>
      <w:tr w:rsidR="00E506C0" w:rsidRPr="00175E5E" w:rsidTr="002D020E">
        <w:trPr>
          <w:trHeight w:val="285"/>
          <w:jc w:val="center"/>
        </w:trPr>
        <w:tc>
          <w:tcPr>
            <w:tcW w:w="1161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hsa04750</w:t>
            </w:r>
          </w:p>
        </w:tc>
        <w:tc>
          <w:tcPr>
            <w:tcW w:w="3232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Inflammatory mediator regulation of TRP channels</w:t>
            </w:r>
          </w:p>
        </w:tc>
        <w:tc>
          <w:tcPr>
            <w:tcW w:w="1278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10/307</w:t>
            </w:r>
          </w:p>
        </w:tc>
        <w:tc>
          <w:tcPr>
            <w:tcW w:w="1061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98/8111</w:t>
            </w:r>
          </w:p>
        </w:tc>
        <w:tc>
          <w:tcPr>
            <w:tcW w:w="1050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0.048465</w:t>
            </w:r>
          </w:p>
        </w:tc>
        <w:tc>
          <w:tcPr>
            <w:tcW w:w="858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10</w:t>
            </w:r>
          </w:p>
        </w:tc>
      </w:tr>
      <w:tr w:rsidR="00E506C0" w:rsidRPr="00175E5E" w:rsidTr="002D020E">
        <w:trPr>
          <w:trHeight w:val="285"/>
          <w:jc w:val="center"/>
        </w:trPr>
        <w:tc>
          <w:tcPr>
            <w:tcW w:w="1161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hsa04664</w:t>
            </w:r>
          </w:p>
        </w:tc>
        <w:tc>
          <w:tcPr>
            <w:tcW w:w="3232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Fc epsilon RI signaling pathway</w:t>
            </w:r>
          </w:p>
        </w:tc>
        <w:tc>
          <w:tcPr>
            <w:tcW w:w="1278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8/307</w:t>
            </w:r>
          </w:p>
        </w:tc>
        <w:tc>
          <w:tcPr>
            <w:tcW w:w="1061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68/8111</w:t>
            </w:r>
          </w:p>
        </w:tc>
        <w:tc>
          <w:tcPr>
            <w:tcW w:w="1050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0.048465</w:t>
            </w:r>
          </w:p>
        </w:tc>
        <w:tc>
          <w:tcPr>
            <w:tcW w:w="858" w:type="dxa"/>
            <w:noWrap/>
            <w:hideMark/>
          </w:tcPr>
          <w:p w:rsidR="00E506C0" w:rsidRPr="002B0491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2B0491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8</w:t>
            </w:r>
          </w:p>
        </w:tc>
      </w:tr>
    </w:tbl>
    <w:p w:rsidR="00E506C0" w:rsidRDefault="00E506C0"/>
    <w:p w:rsidR="00E506C0" w:rsidRDefault="00E506C0">
      <w:pPr>
        <w:widowControl/>
        <w:jc w:val="left"/>
      </w:pPr>
      <w:r>
        <w:br w:type="page"/>
      </w:r>
    </w:p>
    <w:p w:rsidR="00E506C0" w:rsidRPr="00DD51B6" w:rsidRDefault="00E506C0" w:rsidP="00E506C0">
      <w:pPr>
        <w:spacing w:line="480" w:lineRule="auto"/>
        <w:jc w:val="left"/>
        <w:rPr>
          <w:rFonts w:ascii="Arial" w:hAnsi="Arial" w:cs="Arial"/>
          <w:b/>
          <w:bCs/>
          <w:kern w:val="0"/>
          <w:sz w:val="20"/>
          <w:szCs w:val="24"/>
          <w:lang w:eastAsia="en-US"/>
        </w:rPr>
      </w:pPr>
      <w:r w:rsidRPr="00DD51B6">
        <w:rPr>
          <w:rFonts w:ascii="Arial" w:hAnsi="Arial" w:cs="Arial" w:hint="eastAsia"/>
          <w:b/>
          <w:bCs/>
          <w:kern w:val="0"/>
          <w:sz w:val="20"/>
          <w:szCs w:val="24"/>
          <w:lang w:eastAsia="en-US"/>
        </w:rPr>
        <w:lastRenderedPageBreak/>
        <w:t>S</w:t>
      </w:r>
      <w:r w:rsidRPr="00DD51B6">
        <w:rPr>
          <w:rFonts w:ascii="Arial" w:hAnsi="Arial" w:cs="Arial"/>
          <w:b/>
          <w:bCs/>
          <w:kern w:val="0"/>
          <w:sz w:val="20"/>
          <w:szCs w:val="24"/>
          <w:lang w:eastAsia="en-US"/>
        </w:rPr>
        <w:t xml:space="preserve">upplementary table 3 </w:t>
      </w:r>
      <w:r w:rsidRPr="00DD51B6">
        <w:rPr>
          <w:rFonts w:ascii="Arial" w:hAnsi="Arial" w:cs="Arial"/>
          <w:bCs/>
          <w:kern w:val="0"/>
          <w:sz w:val="20"/>
          <w:szCs w:val="24"/>
          <w:lang w:eastAsia="en-US"/>
        </w:rPr>
        <w:t>Results of GO analysis.</w:t>
      </w:r>
    </w:p>
    <w:tbl>
      <w:tblPr>
        <w:tblStyle w:val="a7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2551"/>
        <w:gridCol w:w="1276"/>
        <w:gridCol w:w="1276"/>
        <w:gridCol w:w="1134"/>
        <w:gridCol w:w="850"/>
      </w:tblGrid>
      <w:tr w:rsidR="00E506C0" w:rsidRPr="00DD51B6" w:rsidTr="002D020E">
        <w:trPr>
          <w:trHeight w:val="285"/>
          <w:jc w:val="center"/>
        </w:trPr>
        <w:tc>
          <w:tcPr>
            <w:tcW w:w="1418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ID</w:t>
            </w:r>
          </w:p>
        </w:tc>
        <w:tc>
          <w:tcPr>
            <w:tcW w:w="2551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Description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GeneRatio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BgRatio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p.adjust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Count</w:t>
            </w:r>
          </w:p>
        </w:tc>
      </w:tr>
      <w:tr w:rsidR="00E506C0" w:rsidRPr="00DD51B6" w:rsidTr="002D020E">
        <w:trPr>
          <w:trHeight w:val="285"/>
          <w:jc w:val="center"/>
        </w:trPr>
        <w:tc>
          <w:tcPr>
            <w:tcW w:w="1418" w:type="dxa"/>
            <w:tcBorders>
              <w:top w:val="single" w:sz="4" w:space="0" w:color="auto"/>
            </w:tcBorders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BP:0043312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neutrophil degranulation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101/562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487/18866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8.16E-53</w:t>
            </w:r>
          </w:p>
        </w:tc>
        <w:tc>
          <w:tcPr>
            <w:tcW w:w="850" w:type="dxa"/>
            <w:tcBorders>
              <w:top w:val="single" w:sz="4" w:space="0" w:color="auto"/>
            </w:tcBorders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101</w:t>
            </w:r>
          </w:p>
        </w:tc>
      </w:tr>
      <w:tr w:rsidR="00E506C0" w:rsidRPr="00DD51B6" w:rsidTr="002D020E">
        <w:trPr>
          <w:trHeight w:val="285"/>
          <w:jc w:val="center"/>
        </w:trPr>
        <w:tc>
          <w:tcPr>
            <w:tcW w:w="1418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BP:0002283</w:t>
            </w:r>
          </w:p>
        </w:tc>
        <w:tc>
          <w:tcPr>
            <w:tcW w:w="2551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neutrophil activation involved in immune response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101/562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490/18866</w:t>
            </w:r>
          </w:p>
        </w:tc>
        <w:tc>
          <w:tcPr>
            <w:tcW w:w="1134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8.16E-53</w:t>
            </w:r>
          </w:p>
        </w:tc>
        <w:tc>
          <w:tcPr>
            <w:tcW w:w="850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101</w:t>
            </w:r>
          </w:p>
        </w:tc>
      </w:tr>
      <w:tr w:rsidR="00E506C0" w:rsidRPr="00DD51B6" w:rsidTr="002D020E">
        <w:trPr>
          <w:trHeight w:val="285"/>
          <w:jc w:val="center"/>
        </w:trPr>
        <w:tc>
          <w:tcPr>
            <w:tcW w:w="1418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BP:0042110</w:t>
            </w:r>
          </w:p>
        </w:tc>
        <w:tc>
          <w:tcPr>
            <w:tcW w:w="2551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T cell activation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60/562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483/18866</w:t>
            </w:r>
          </w:p>
        </w:tc>
        <w:tc>
          <w:tcPr>
            <w:tcW w:w="1134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5.87E-18</w:t>
            </w:r>
          </w:p>
        </w:tc>
        <w:tc>
          <w:tcPr>
            <w:tcW w:w="850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60</w:t>
            </w:r>
          </w:p>
        </w:tc>
      </w:tr>
      <w:tr w:rsidR="00E506C0" w:rsidRPr="00DD51B6" w:rsidTr="002D020E">
        <w:trPr>
          <w:trHeight w:val="285"/>
          <w:jc w:val="center"/>
        </w:trPr>
        <w:tc>
          <w:tcPr>
            <w:tcW w:w="1418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BP:0001819</w:t>
            </w:r>
          </w:p>
        </w:tc>
        <w:tc>
          <w:tcPr>
            <w:tcW w:w="2551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positive regulation of cytokine production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54/562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447/18866</w:t>
            </w:r>
          </w:p>
        </w:tc>
        <w:tc>
          <w:tcPr>
            <w:tcW w:w="1134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1.68E-15</w:t>
            </w:r>
          </w:p>
        </w:tc>
        <w:tc>
          <w:tcPr>
            <w:tcW w:w="850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54</w:t>
            </w:r>
          </w:p>
        </w:tc>
      </w:tr>
      <w:tr w:rsidR="00E506C0" w:rsidRPr="00DD51B6" w:rsidTr="002D020E">
        <w:trPr>
          <w:trHeight w:val="285"/>
          <w:jc w:val="center"/>
        </w:trPr>
        <w:tc>
          <w:tcPr>
            <w:tcW w:w="1418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BP:0030098</w:t>
            </w:r>
          </w:p>
        </w:tc>
        <w:tc>
          <w:tcPr>
            <w:tcW w:w="2551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lymphocyte differentiation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46/562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368/18866</w:t>
            </w:r>
          </w:p>
        </w:tc>
        <w:tc>
          <w:tcPr>
            <w:tcW w:w="1134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1.28E-13</w:t>
            </w:r>
          </w:p>
        </w:tc>
        <w:tc>
          <w:tcPr>
            <w:tcW w:w="850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46</w:t>
            </w:r>
          </w:p>
        </w:tc>
      </w:tr>
      <w:tr w:rsidR="00E506C0" w:rsidRPr="00DD51B6" w:rsidTr="002D020E">
        <w:trPr>
          <w:trHeight w:val="285"/>
          <w:jc w:val="center"/>
        </w:trPr>
        <w:tc>
          <w:tcPr>
            <w:tcW w:w="1418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BP:0030217</w:t>
            </w:r>
          </w:p>
        </w:tc>
        <w:tc>
          <w:tcPr>
            <w:tcW w:w="2551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T cell differentiation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38/562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253/18866</w:t>
            </w:r>
          </w:p>
        </w:tc>
        <w:tc>
          <w:tcPr>
            <w:tcW w:w="1134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1.28E-13</w:t>
            </w:r>
          </w:p>
        </w:tc>
        <w:tc>
          <w:tcPr>
            <w:tcW w:w="850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38</w:t>
            </w:r>
          </w:p>
        </w:tc>
      </w:tr>
      <w:tr w:rsidR="00E506C0" w:rsidRPr="00DD51B6" w:rsidTr="002D020E">
        <w:trPr>
          <w:trHeight w:val="285"/>
          <w:jc w:val="center"/>
        </w:trPr>
        <w:tc>
          <w:tcPr>
            <w:tcW w:w="1418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BP:0007159</w:t>
            </w:r>
          </w:p>
        </w:tc>
        <w:tc>
          <w:tcPr>
            <w:tcW w:w="2551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leukocyte cell-cell adhesion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42/562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364/18866</w:t>
            </w:r>
          </w:p>
        </w:tc>
        <w:tc>
          <w:tcPr>
            <w:tcW w:w="1134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3.67E-11</w:t>
            </w:r>
          </w:p>
        </w:tc>
        <w:tc>
          <w:tcPr>
            <w:tcW w:w="850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42</w:t>
            </w:r>
          </w:p>
        </w:tc>
      </w:tr>
      <w:tr w:rsidR="00E506C0" w:rsidRPr="00DD51B6" w:rsidTr="002D020E">
        <w:trPr>
          <w:trHeight w:val="285"/>
          <w:jc w:val="center"/>
        </w:trPr>
        <w:tc>
          <w:tcPr>
            <w:tcW w:w="1418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BP:1903039</w:t>
            </w:r>
          </w:p>
        </w:tc>
        <w:tc>
          <w:tcPr>
            <w:tcW w:w="2551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positive regulation of leukocyte cell-cell adhesion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33/562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235/18866</w:t>
            </w:r>
          </w:p>
        </w:tc>
        <w:tc>
          <w:tcPr>
            <w:tcW w:w="1134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6.55E-11</w:t>
            </w:r>
          </w:p>
        </w:tc>
        <w:tc>
          <w:tcPr>
            <w:tcW w:w="850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33</w:t>
            </w:r>
          </w:p>
        </w:tc>
      </w:tr>
      <w:tr w:rsidR="00E506C0" w:rsidRPr="00DD51B6" w:rsidTr="002D020E">
        <w:trPr>
          <w:trHeight w:val="285"/>
          <w:jc w:val="center"/>
        </w:trPr>
        <w:tc>
          <w:tcPr>
            <w:tcW w:w="1418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BP:0022409</w:t>
            </w:r>
          </w:p>
        </w:tc>
        <w:tc>
          <w:tcPr>
            <w:tcW w:w="2551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positive regulation of cell-cell adhesion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36/562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279/18866</w:t>
            </w:r>
          </w:p>
        </w:tc>
        <w:tc>
          <w:tcPr>
            <w:tcW w:w="1134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6.55E-11</w:t>
            </w:r>
          </w:p>
        </w:tc>
        <w:tc>
          <w:tcPr>
            <w:tcW w:w="850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36</w:t>
            </w:r>
          </w:p>
        </w:tc>
      </w:tr>
      <w:tr w:rsidR="00E506C0" w:rsidRPr="00DD51B6" w:rsidTr="002D020E">
        <w:trPr>
          <w:trHeight w:val="285"/>
          <w:jc w:val="center"/>
        </w:trPr>
        <w:tc>
          <w:tcPr>
            <w:tcW w:w="1418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BP:1903037</w:t>
            </w:r>
          </w:p>
        </w:tc>
        <w:tc>
          <w:tcPr>
            <w:tcW w:w="2551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regulation of leukocyte cell-cell adhesion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39/562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329/18866</w:t>
            </w:r>
          </w:p>
        </w:tc>
        <w:tc>
          <w:tcPr>
            <w:tcW w:w="1134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8.84E-11</w:t>
            </w:r>
          </w:p>
        </w:tc>
        <w:tc>
          <w:tcPr>
            <w:tcW w:w="850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39</w:t>
            </w:r>
          </w:p>
        </w:tc>
      </w:tr>
      <w:tr w:rsidR="00E506C0" w:rsidRPr="00DD51B6" w:rsidTr="002D020E">
        <w:trPr>
          <w:trHeight w:val="285"/>
          <w:jc w:val="center"/>
        </w:trPr>
        <w:tc>
          <w:tcPr>
            <w:tcW w:w="1418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MF:0140375</w:t>
            </w:r>
          </w:p>
        </w:tc>
        <w:tc>
          <w:tcPr>
            <w:tcW w:w="2551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immune receptor activity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22/570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135/18352</w:t>
            </w:r>
          </w:p>
        </w:tc>
        <w:tc>
          <w:tcPr>
            <w:tcW w:w="1134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1.42E-07</w:t>
            </w:r>
          </w:p>
        </w:tc>
        <w:tc>
          <w:tcPr>
            <w:tcW w:w="850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22</w:t>
            </w:r>
          </w:p>
        </w:tc>
      </w:tr>
      <w:tr w:rsidR="00E506C0" w:rsidRPr="00DD51B6" w:rsidTr="002D020E">
        <w:trPr>
          <w:trHeight w:val="285"/>
          <w:jc w:val="center"/>
        </w:trPr>
        <w:tc>
          <w:tcPr>
            <w:tcW w:w="1418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MF:0004715</w:t>
            </w:r>
          </w:p>
        </w:tc>
        <w:tc>
          <w:tcPr>
            <w:tcW w:w="2551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non-membrane spanning protein tyrosine kinase activity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11/570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46/18352</w:t>
            </w:r>
          </w:p>
        </w:tc>
        <w:tc>
          <w:tcPr>
            <w:tcW w:w="1134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3.74E-05</w:t>
            </w:r>
          </w:p>
        </w:tc>
        <w:tc>
          <w:tcPr>
            <w:tcW w:w="850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11</w:t>
            </w:r>
          </w:p>
        </w:tc>
      </w:tr>
      <w:tr w:rsidR="00E506C0" w:rsidRPr="00DD51B6" w:rsidTr="002D020E">
        <w:trPr>
          <w:trHeight w:val="285"/>
          <w:jc w:val="center"/>
        </w:trPr>
        <w:tc>
          <w:tcPr>
            <w:tcW w:w="1418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MF:0003953</w:t>
            </w:r>
          </w:p>
        </w:tc>
        <w:tc>
          <w:tcPr>
            <w:tcW w:w="2551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NAD+ nucleosidase activity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7/570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16/18352</w:t>
            </w:r>
          </w:p>
        </w:tc>
        <w:tc>
          <w:tcPr>
            <w:tcW w:w="1134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3.74E-05</w:t>
            </w:r>
          </w:p>
        </w:tc>
        <w:tc>
          <w:tcPr>
            <w:tcW w:w="850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7</w:t>
            </w:r>
          </w:p>
        </w:tc>
      </w:tr>
      <w:tr w:rsidR="00E506C0" w:rsidRPr="00DD51B6" w:rsidTr="002D020E">
        <w:trPr>
          <w:trHeight w:val="285"/>
          <w:jc w:val="center"/>
        </w:trPr>
        <w:tc>
          <w:tcPr>
            <w:tcW w:w="1418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MF:0050135</w:t>
            </w:r>
          </w:p>
        </w:tc>
        <w:tc>
          <w:tcPr>
            <w:tcW w:w="2551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 xml:space="preserve">NAD(P)+ nucleosidase </w:t>
            </w: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lastRenderedPageBreak/>
              <w:t>activity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lastRenderedPageBreak/>
              <w:t>7/570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16/18352</w:t>
            </w:r>
          </w:p>
        </w:tc>
        <w:tc>
          <w:tcPr>
            <w:tcW w:w="1134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3.74E-05</w:t>
            </w:r>
          </w:p>
        </w:tc>
        <w:tc>
          <w:tcPr>
            <w:tcW w:w="850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7</w:t>
            </w:r>
          </w:p>
        </w:tc>
      </w:tr>
      <w:tr w:rsidR="00E506C0" w:rsidRPr="00DD51B6" w:rsidTr="002D020E">
        <w:trPr>
          <w:trHeight w:val="285"/>
          <w:jc w:val="center"/>
        </w:trPr>
        <w:tc>
          <w:tcPr>
            <w:tcW w:w="1418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MF:0061809</w:t>
            </w:r>
          </w:p>
        </w:tc>
        <w:tc>
          <w:tcPr>
            <w:tcW w:w="2551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NAD+ nucleotidase, cyclic ADP-ribose generating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7/570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16/18352</w:t>
            </w:r>
          </w:p>
        </w:tc>
        <w:tc>
          <w:tcPr>
            <w:tcW w:w="1134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3.74E-05</w:t>
            </w:r>
          </w:p>
        </w:tc>
        <w:tc>
          <w:tcPr>
            <w:tcW w:w="850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7</w:t>
            </w:r>
          </w:p>
        </w:tc>
      </w:tr>
      <w:tr w:rsidR="00E506C0" w:rsidRPr="00DD51B6" w:rsidTr="002D020E">
        <w:trPr>
          <w:trHeight w:val="285"/>
          <w:jc w:val="center"/>
        </w:trPr>
        <w:tc>
          <w:tcPr>
            <w:tcW w:w="1418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MF:0050786</w:t>
            </w:r>
          </w:p>
        </w:tc>
        <w:tc>
          <w:tcPr>
            <w:tcW w:w="2551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RAGE receptor binding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6/570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11/18352</w:t>
            </w:r>
          </w:p>
        </w:tc>
        <w:tc>
          <w:tcPr>
            <w:tcW w:w="1134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4.57E-05</w:t>
            </w:r>
          </w:p>
        </w:tc>
        <w:tc>
          <w:tcPr>
            <w:tcW w:w="850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6</w:t>
            </w:r>
          </w:p>
        </w:tc>
      </w:tr>
      <w:tr w:rsidR="00E506C0" w:rsidRPr="00DD51B6" w:rsidTr="002D020E">
        <w:trPr>
          <w:trHeight w:val="285"/>
          <w:jc w:val="center"/>
        </w:trPr>
        <w:tc>
          <w:tcPr>
            <w:tcW w:w="1418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MF:0004896</w:t>
            </w:r>
          </w:p>
        </w:tc>
        <w:tc>
          <w:tcPr>
            <w:tcW w:w="2551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cytokine receptor activity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14/570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97/18352</w:t>
            </w:r>
          </w:p>
        </w:tc>
        <w:tc>
          <w:tcPr>
            <w:tcW w:w="1134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0.000192</w:t>
            </w:r>
          </w:p>
        </w:tc>
        <w:tc>
          <w:tcPr>
            <w:tcW w:w="850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14</w:t>
            </w:r>
          </w:p>
        </w:tc>
      </w:tr>
      <w:tr w:rsidR="00E506C0" w:rsidRPr="00DD51B6" w:rsidTr="002D020E">
        <w:trPr>
          <w:trHeight w:val="285"/>
          <w:jc w:val="center"/>
        </w:trPr>
        <w:tc>
          <w:tcPr>
            <w:tcW w:w="1418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MF:0038187</w:t>
            </w:r>
          </w:p>
        </w:tc>
        <w:tc>
          <w:tcPr>
            <w:tcW w:w="2551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pattern recognition receptor activity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7/570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23/18352</w:t>
            </w:r>
          </w:p>
        </w:tc>
        <w:tc>
          <w:tcPr>
            <w:tcW w:w="1134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0.000414</w:t>
            </w:r>
          </w:p>
        </w:tc>
        <w:tc>
          <w:tcPr>
            <w:tcW w:w="850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7</w:t>
            </w:r>
          </w:p>
        </w:tc>
      </w:tr>
      <w:tr w:rsidR="00E506C0" w:rsidRPr="00DD51B6" w:rsidTr="002D020E">
        <w:trPr>
          <w:trHeight w:val="285"/>
          <w:jc w:val="center"/>
        </w:trPr>
        <w:tc>
          <w:tcPr>
            <w:tcW w:w="1418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MF:0005536</w:t>
            </w:r>
          </w:p>
        </w:tc>
        <w:tc>
          <w:tcPr>
            <w:tcW w:w="2551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glucose binding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5/570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11/18352</w:t>
            </w:r>
          </w:p>
        </w:tc>
        <w:tc>
          <w:tcPr>
            <w:tcW w:w="1134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0.000967</w:t>
            </w:r>
          </w:p>
        </w:tc>
        <w:tc>
          <w:tcPr>
            <w:tcW w:w="850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5</w:t>
            </w:r>
          </w:p>
        </w:tc>
      </w:tr>
      <w:tr w:rsidR="00E506C0" w:rsidRPr="00DD51B6" w:rsidTr="002D020E">
        <w:trPr>
          <w:trHeight w:val="285"/>
          <w:jc w:val="center"/>
        </w:trPr>
        <w:tc>
          <w:tcPr>
            <w:tcW w:w="1418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MF:0004875</w:t>
            </w:r>
          </w:p>
        </w:tc>
        <w:tc>
          <w:tcPr>
            <w:tcW w:w="2551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complement receptor activity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5/570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12/18352</w:t>
            </w:r>
          </w:p>
        </w:tc>
        <w:tc>
          <w:tcPr>
            <w:tcW w:w="1134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0.001405</w:t>
            </w:r>
          </w:p>
        </w:tc>
        <w:tc>
          <w:tcPr>
            <w:tcW w:w="850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5</w:t>
            </w:r>
          </w:p>
        </w:tc>
      </w:tr>
      <w:tr w:rsidR="00E506C0" w:rsidRPr="00DD51B6" w:rsidTr="002D020E">
        <w:trPr>
          <w:trHeight w:val="285"/>
          <w:jc w:val="center"/>
        </w:trPr>
        <w:tc>
          <w:tcPr>
            <w:tcW w:w="1418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CC:0042581</w:t>
            </w:r>
          </w:p>
        </w:tc>
        <w:tc>
          <w:tcPr>
            <w:tcW w:w="2551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specific granule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49/570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160/19559</w:t>
            </w:r>
          </w:p>
        </w:tc>
        <w:tc>
          <w:tcPr>
            <w:tcW w:w="1134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6.99E-34</w:t>
            </w:r>
          </w:p>
        </w:tc>
        <w:tc>
          <w:tcPr>
            <w:tcW w:w="850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49</w:t>
            </w:r>
          </w:p>
        </w:tc>
      </w:tr>
      <w:tr w:rsidR="00E506C0" w:rsidRPr="00DD51B6" w:rsidTr="002D020E">
        <w:trPr>
          <w:trHeight w:val="285"/>
          <w:jc w:val="center"/>
        </w:trPr>
        <w:tc>
          <w:tcPr>
            <w:tcW w:w="1418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CC:0070820</w:t>
            </w:r>
          </w:p>
        </w:tc>
        <w:tc>
          <w:tcPr>
            <w:tcW w:w="2551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tertiary granule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47/570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164/19559</w:t>
            </w:r>
          </w:p>
        </w:tc>
        <w:tc>
          <w:tcPr>
            <w:tcW w:w="1134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3.00E-31</w:t>
            </w:r>
          </w:p>
        </w:tc>
        <w:tc>
          <w:tcPr>
            <w:tcW w:w="850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47</w:t>
            </w:r>
          </w:p>
        </w:tc>
      </w:tr>
      <w:tr w:rsidR="00E506C0" w:rsidRPr="00DD51B6" w:rsidTr="002D020E">
        <w:trPr>
          <w:trHeight w:val="285"/>
          <w:jc w:val="center"/>
        </w:trPr>
        <w:tc>
          <w:tcPr>
            <w:tcW w:w="1418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CC:0034774</w:t>
            </w:r>
          </w:p>
        </w:tc>
        <w:tc>
          <w:tcPr>
            <w:tcW w:w="2551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secretory granule lumen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54/570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322/19559</w:t>
            </w:r>
          </w:p>
        </w:tc>
        <w:tc>
          <w:tcPr>
            <w:tcW w:w="1134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1.16E-23</w:t>
            </w:r>
          </w:p>
        </w:tc>
        <w:tc>
          <w:tcPr>
            <w:tcW w:w="850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54</w:t>
            </w:r>
          </w:p>
        </w:tc>
      </w:tr>
      <w:tr w:rsidR="00E506C0" w:rsidRPr="00DD51B6" w:rsidTr="002D020E">
        <w:trPr>
          <w:trHeight w:val="285"/>
          <w:jc w:val="center"/>
        </w:trPr>
        <w:tc>
          <w:tcPr>
            <w:tcW w:w="1418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CC:0060205</w:t>
            </w:r>
          </w:p>
        </w:tc>
        <w:tc>
          <w:tcPr>
            <w:tcW w:w="2551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cytoplasmic vesicle lumen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54/570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326/19559</w:t>
            </w:r>
          </w:p>
        </w:tc>
        <w:tc>
          <w:tcPr>
            <w:tcW w:w="1134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1.62E-23</w:t>
            </w:r>
          </w:p>
        </w:tc>
        <w:tc>
          <w:tcPr>
            <w:tcW w:w="850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54</w:t>
            </w:r>
          </w:p>
        </w:tc>
      </w:tr>
      <w:tr w:rsidR="00E506C0" w:rsidRPr="00DD51B6" w:rsidTr="002D020E">
        <w:trPr>
          <w:trHeight w:val="285"/>
          <w:jc w:val="center"/>
        </w:trPr>
        <w:tc>
          <w:tcPr>
            <w:tcW w:w="1418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CC:0031983</w:t>
            </w:r>
          </w:p>
        </w:tc>
        <w:tc>
          <w:tcPr>
            <w:tcW w:w="2551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vesicle lumen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54/570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328/19559</w:t>
            </w:r>
          </w:p>
        </w:tc>
        <w:tc>
          <w:tcPr>
            <w:tcW w:w="1134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1.76E-23</w:t>
            </w:r>
          </w:p>
        </w:tc>
        <w:tc>
          <w:tcPr>
            <w:tcW w:w="850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54</w:t>
            </w:r>
          </w:p>
        </w:tc>
      </w:tr>
      <w:tr w:rsidR="00E506C0" w:rsidRPr="00DD51B6" w:rsidTr="002D020E">
        <w:trPr>
          <w:trHeight w:val="285"/>
          <w:jc w:val="center"/>
        </w:trPr>
        <w:tc>
          <w:tcPr>
            <w:tcW w:w="1418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CC:0030667</w:t>
            </w:r>
          </w:p>
        </w:tc>
        <w:tc>
          <w:tcPr>
            <w:tcW w:w="2551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secretory granule membrane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52/570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306/19559</w:t>
            </w:r>
          </w:p>
        </w:tc>
        <w:tc>
          <w:tcPr>
            <w:tcW w:w="1134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2.56E-23</w:t>
            </w:r>
          </w:p>
        </w:tc>
        <w:tc>
          <w:tcPr>
            <w:tcW w:w="850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52</w:t>
            </w:r>
          </w:p>
        </w:tc>
      </w:tr>
      <w:tr w:rsidR="00E506C0" w:rsidRPr="00DD51B6" w:rsidTr="002D020E">
        <w:trPr>
          <w:trHeight w:val="285"/>
          <w:jc w:val="center"/>
        </w:trPr>
        <w:tc>
          <w:tcPr>
            <w:tcW w:w="1418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CC:0035580</w:t>
            </w:r>
          </w:p>
        </w:tc>
        <w:tc>
          <w:tcPr>
            <w:tcW w:w="2551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specific granule lumen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24/570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62/19559</w:t>
            </w:r>
          </w:p>
        </w:tc>
        <w:tc>
          <w:tcPr>
            <w:tcW w:w="1134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1.78E-19</w:t>
            </w:r>
          </w:p>
        </w:tc>
        <w:tc>
          <w:tcPr>
            <w:tcW w:w="850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24</w:t>
            </w:r>
          </w:p>
        </w:tc>
      </w:tr>
      <w:tr w:rsidR="00E506C0" w:rsidRPr="00DD51B6" w:rsidTr="002D020E">
        <w:trPr>
          <w:trHeight w:val="285"/>
          <w:jc w:val="center"/>
        </w:trPr>
        <w:tc>
          <w:tcPr>
            <w:tcW w:w="1418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CC:1904724</w:t>
            </w:r>
          </w:p>
        </w:tc>
        <w:tc>
          <w:tcPr>
            <w:tcW w:w="2551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tertiary granule lumen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20/570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55/19559</w:t>
            </w:r>
          </w:p>
        </w:tc>
        <w:tc>
          <w:tcPr>
            <w:tcW w:w="1134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1.42E-15</w:t>
            </w:r>
          </w:p>
        </w:tc>
        <w:tc>
          <w:tcPr>
            <w:tcW w:w="850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20</w:t>
            </w:r>
          </w:p>
        </w:tc>
      </w:tr>
      <w:tr w:rsidR="00E506C0" w:rsidRPr="00DD51B6" w:rsidTr="002D020E">
        <w:trPr>
          <w:trHeight w:val="285"/>
          <w:jc w:val="center"/>
        </w:trPr>
        <w:tc>
          <w:tcPr>
            <w:tcW w:w="1418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CC:0070821</w:t>
            </w:r>
          </w:p>
        </w:tc>
        <w:tc>
          <w:tcPr>
            <w:tcW w:w="2551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tertiary granule membrane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22/570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73/19559</w:t>
            </w:r>
          </w:p>
        </w:tc>
        <w:tc>
          <w:tcPr>
            <w:tcW w:w="1134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3.28E-15</w:t>
            </w:r>
          </w:p>
        </w:tc>
        <w:tc>
          <w:tcPr>
            <w:tcW w:w="850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22</w:t>
            </w:r>
          </w:p>
        </w:tc>
      </w:tr>
      <w:tr w:rsidR="00E506C0" w:rsidRPr="00DD51B6" w:rsidTr="002D020E">
        <w:trPr>
          <w:trHeight w:val="285"/>
          <w:jc w:val="center"/>
        </w:trPr>
        <w:tc>
          <w:tcPr>
            <w:tcW w:w="1418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CC:0005766</w:t>
            </w:r>
          </w:p>
        </w:tc>
        <w:tc>
          <w:tcPr>
            <w:tcW w:w="2551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primary lysosome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28/570</w:t>
            </w:r>
          </w:p>
        </w:tc>
        <w:tc>
          <w:tcPr>
            <w:tcW w:w="1276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155/19559</w:t>
            </w:r>
          </w:p>
        </w:tc>
        <w:tc>
          <w:tcPr>
            <w:tcW w:w="1134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3.28E-13</w:t>
            </w:r>
          </w:p>
        </w:tc>
        <w:tc>
          <w:tcPr>
            <w:tcW w:w="850" w:type="dxa"/>
            <w:noWrap/>
            <w:hideMark/>
          </w:tcPr>
          <w:p w:rsidR="00E506C0" w:rsidRPr="00DD51B6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</w:pPr>
            <w:r w:rsidRPr="00DD51B6">
              <w:rPr>
                <w:rFonts w:ascii="Arial" w:eastAsia="宋体" w:hAnsi="Arial" w:cs="Arial"/>
                <w:color w:val="000000" w:themeColor="text1"/>
                <w:sz w:val="20"/>
                <w:szCs w:val="20"/>
              </w:rPr>
              <w:t>28</w:t>
            </w:r>
          </w:p>
        </w:tc>
      </w:tr>
    </w:tbl>
    <w:p w:rsidR="00E506C0" w:rsidRDefault="00E506C0"/>
    <w:p w:rsidR="00E506C0" w:rsidRDefault="00E506C0">
      <w:pPr>
        <w:widowControl/>
        <w:jc w:val="left"/>
        <w:sectPr w:rsidR="00E506C0" w:rsidSect="00C867D4">
          <w:pgSz w:w="12240" w:h="15840" w:code="1"/>
          <w:pgMar w:top="1440" w:right="1800" w:bottom="1440" w:left="1800" w:header="851" w:footer="992" w:gutter="0"/>
          <w:cols w:space="425"/>
          <w:docGrid w:type="lines" w:linePitch="312"/>
        </w:sectPr>
      </w:pPr>
      <w:r>
        <w:br w:type="page"/>
      </w:r>
    </w:p>
    <w:p w:rsidR="00E506C0" w:rsidRPr="00D95537" w:rsidRDefault="00E506C0" w:rsidP="00E506C0">
      <w:pPr>
        <w:spacing w:line="480" w:lineRule="auto"/>
        <w:jc w:val="left"/>
        <w:rPr>
          <w:rFonts w:ascii="Arial" w:hAnsi="Arial" w:cs="Arial"/>
          <w:b/>
          <w:bCs/>
          <w:kern w:val="0"/>
          <w:sz w:val="20"/>
          <w:szCs w:val="24"/>
          <w:lang w:eastAsia="en-US"/>
        </w:rPr>
      </w:pPr>
      <w:r w:rsidRPr="00D95537">
        <w:rPr>
          <w:rFonts w:ascii="Arial" w:hAnsi="Arial" w:cs="Arial" w:hint="eastAsia"/>
          <w:b/>
          <w:bCs/>
          <w:kern w:val="0"/>
          <w:sz w:val="20"/>
          <w:szCs w:val="24"/>
          <w:lang w:eastAsia="en-US"/>
        </w:rPr>
        <w:lastRenderedPageBreak/>
        <w:t>S</w:t>
      </w:r>
      <w:r w:rsidRPr="00D95537">
        <w:rPr>
          <w:rFonts w:ascii="Arial" w:hAnsi="Arial" w:cs="Arial"/>
          <w:b/>
          <w:bCs/>
          <w:kern w:val="0"/>
          <w:sz w:val="20"/>
          <w:szCs w:val="24"/>
          <w:lang w:eastAsia="en-US"/>
        </w:rPr>
        <w:t xml:space="preserve">upplementary table 4 </w:t>
      </w:r>
      <w:r w:rsidRPr="00D95537">
        <w:rPr>
          <w:rFonts w:ascii="Arial" w:hAnsi="Arial" w:cs="Arial"/>
          <w:bCs/>
          <w:kern w:val="0"/>
          <w:sz w:val="20"/>
          <w:szCs w:val="24"/>
          <w:lang w:eastAsia="en-US"/>
        </w:rPr>
        <w:t>Results of GSEA analysis.</w:t>
      </w:r>
    </w:p>
    <w:tbl>
      <w:tblPr>
        <w:tblStyle w:val="a7"/>
        <w:tblW w:w="15026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992"/>
        <w:gridCol w:w="1843"/>
        <w:gridCol w:w="1134"/>
        <w:gridCol w:w="1134"/>
        <w:gridCol w:w="1134"/>
        <w:gridCol w:w="709"/>
        <w:gridCol w:w="1559"/>
        <w:gridCol w:w="3543"/>
      </w:tblGrid>
      <w:tr w:rsidR="00E506C0" w:rsidRPr="00D95537" w:rsidTr="002D020E">
        <w:trPr>
          <w:jc w:val="center"/>
        </w:trPr>
        <w:tc>
          <w:tcPr>
            <w:tcW w:w="2978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:rsidR="00E506C0" w:rsidRPr="00D95537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95537">
              <w:rPr>
                <w:rFonts w:ascii="Arial" w:eastAsia="宋体" w:hAnsi="Arial" w:cs="Arial"/>
                <w:sz w:val="20"/>
                <w:szCs w:val="20"/>
              </w:rPr>
              <w:t>ID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:rsidR="00E506C0" w:rsidRPr="00D95537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95537">
              <w:rPr>
                <w:rFonts w:ascii="Arial" w:eastAsia="宋体" w:hAnsi="Arial" w:cs="Arial"/>
                <w:sz w:val="20"/>
                <w:szCs w:val="20"/>
              </w:rPr>
              <w:t>setSize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:rsidR="00E506C0" w:rsidRPr="00D95537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95537">
              <w:rPr>
                <w:rFonts w:ascii="Arial" w:eastAsia="宋体" w:hAnsi="Arial" w:cs="Arial"/>
                <w:sz w:val="20"/>
                <w:szCs w:val="20"/>
              </w:rPr>
              <w:t>enrichmentScore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:rsidR="00E506C0" w:rsidRPr="00D95537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95537">
              <w:rPr>
                <w:rFonts w:ascii="Arial" w:eastAsia="宋体" w:hAnsi="Arial" w:cs="Arial"/>
                <w:sz w:val="20"/>
                <w:szCs w:val="20"/>
              </w:rPr>
              <w:t>NES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:rsidR="00E506C0" w:rsidRPr="00D95537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95537">
              <w:rPr>
                <w:rFonts w:ascii="Arial" w:eastAsia="宋体" w:hAnsi="Arial" w:cs="Arial"/>
                <w:i/>
                <w:sz w:val="20"/>
                <w:szCs w:val="20"/>
              </w:rPr>
              <w:t>p</w:t>
            </w:r>
            <w:r w:rsidRPr="00D95537">
              <w:rPr>
                <w:rFonts w:ascii="Arial" w:eastAsia="宋体" w:hAnsi="Arial" w:cs="Arial"/>
                <w:sz w:val="20"/>
                <w:szCs w:val="20"/>
              </w:rPr>
              <w:t>.adjust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:rsidR="00E506C0" w:rsidRPr="00D95537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95537">
              <w:rPr>
                <w:rFonts w:ascii="Arial" w:eastAsia="宋体" w:hAnsi="Arial" w:cs="Arial"/>
                <w:sz w:val="20"/>
                <w:szCs w:val="20"/>
              </w:rPr>
              <w:t>qvalues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:rsidR="00E506C0" w:rsidRPr="00D95537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95537">
              <w:rPr>
                <w:rFonts w:ascii="Arial" w:eastAsia="宋体" w:hAnsi="Arial" w:cs="Arial"/>
                <w:sz w:val="20"/>
                <w:szCs w:val="20"/>
              </w:rPr>
              <w:t>rank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:rsidR="00E506C0" w:rsidRPr="00D95537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95537">
              <w:rPr>
                <w:rFonts w:ascii="Arial" w:eastAsia="宋体" w:hAnsi="Arial" w:cs="Arial"/>
                <w:sz w:val="20"/>
                <w:szCs w:val="20"/>
              </w:rPr>
              <w:t>leading_edge</w:t>
            </w:r>
          </w:p>
        </w:tc>
        <w:tc>
          <w:tcPr>
            <w:tcW w:w="3543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:rsidR="00E506C0" w:rsidRPr="00D95537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95537">
              <w:rPr>
                <w:rFonts w:ascii="Arial" w:eastAsia="宋体" w:hAnsi="Arial" w:cs="Arial"/>
                <w:sz w:val="20"/>
                <w:szCs w:val="20"/>
              </w:rPr>
              <w:t>core_enrichment</w:t>
            </w:r>
          </w:p>
        </w:tc>
      </w:tr>
      <w:tr w:rsidR="00E506C0" w:rsidRPr="00D95537" w:rsidTr="002D020E">
        <w:trPr>
          <w:gridAfter w:val="8"/>
          <w:wAfter w:w="12048" w:type="dxa"/>
          <w:jc w:val="center"/>
        </w:trPr>
        <w:tc>
          <w:tcPr>
            <w:tcW w:w="2978" w:type="dxa"/>
            <w:tcBorders>
              <w:top w:val="single" w:sz="4" w:space="0" w:color="auto"/>
            </w:tcBorders>
            <w:noWrap/>
          </w:tcPr>
          <w:p w:rsidR="00E506C0" w:rsidRPr="00D95537" w:rsidRDefault="00E506C0" w:rsidP="002D020E">
            <w:pPr>
              <w:spacing w:line="360" w:lineRule="auto"/>
              <w:jc w:val="left"/>
              <w:rPr>
                <w:rFonts w:ascii="Arial" w:eastAsia="宋体" w:hAnsi="Arial" w:cs="Arial"/>
                <w:b/>
                <w:sz w:val="20"/>
                <w:szCs w:val="20"/>
              </w:rPr>
            </w:pPr>
            <w:r w:rsidRPr="00D95537">
              <w:rPr>
                <w:rFonts w:ascii="Arial" w:eastAsia="宋体" w:hAnsi="Arial" w:cs="Arial"/>
                <w:b/>
                <w:sz w:val="20"/>
                <w:szCs w:val="20"/>
              </w:rPr>
              <w:t>GSE145227</w:t>
            </w:r>
          </w:p>
        </w:tc>
      </w:tr>
      <w:tr w:rsidR="00E506C0" w:rsidRPr="00D95537" w:rsidTr="002D020E">
        <w:trPr>
          <w:jc w:val="center"/>
        </w:trPr>
        <w:tc>
          <w:tcPr>
            <w:tcW w:w="2978" w:type="dxa"/>
            <w:noWrap/>
            <w:hideMark/>
          </w:tcPr>
          <w:p w:rsidR="00E506C0" w:rsidRPr="00D95537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95537">
              <w:rPr>
                <w:rFonts w:ascii="Arial" w:eastAsia="宋体" w:hAnsi="Arial" w:cs="Arial"/>
                <w:sz w:val="20"/>
                <w:szCs w:val="20"/>
              </w:rPr>
              <w:t>KEGG_T cell receptor signalling pathways</w:t>
            </w:r>
          </w:p>
        </w:tc>
        <w:tc>
          <w:tcPr>
            <w:tcW w:w="992" w:type="dxa"/>
            <w:noWrap/>
            <w:hideMark/>
          </w:tcPr>
          <w:p w:rsidR="00E506C0" w:rsidRPr="00D95537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95537">
              <w:rPr>
                <w:rFonts w:ascii="Arial" w:eastAsia="宋体" w:hAnsi="Arial" w:cs="Arial"/>
                <w:sz w:val="20"/>
                <w:szCs w:val="20"/>
              </w:rPr>
              <w:t>16</w:t>
            </w:r>
          </w:p>
        </w:tc>
        <w:tc>
          <w:tcPr>
            <w:tcW w:w="1843" w:type="dxa"/>
            <w:noWrap/>
            <w:hideMark/>
          </w:tcPr>
          <w:p w:rsidR="00E506C0" w:rsidRPr="00D95537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95537">
              <w:rPr>
                <w:rFonts w:ascii="Arial" w:eastAsia="宋体" w:hAnsi="Arial" w:cs="Arial"/>
                <w:sz w:val="20"/>
                <w:szCs w:val="20"/>
              </w:rPr>
              <w:t>-0.67642</w:t>
            </w:r>
          </w:p>
        </w:tc>
        <w:tc>
          <w:tcPr>
            <w:tcW w:w="1134" w:type="dxa"/>
            <w:noWrap/>
            <w:hideMark/>
          </w:tcPr>
          <w:p w:rsidR="00E506C0" w:rsidRPr="00D95537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95537">
              <w:rPr>
                <w:rFonts w:ascii="Arial" w:eastAsia="宋体" w:hAnsi="Arial" w:cs="Arial"/>
                <w:sz w:val="20"/>
                <w:szCs w:val="20"/>
              </w:rPr>
              <w:t>-2.99043</w:t>
            </w:r>
          </w:p>
        </w:tc>
        <w:tc>
          <w:tcPr>
            <w:tcW w:w="1134" w:type="dxa"/>
            <w:noWrap/>
            <w:hideMark/>
          </w:tcPr>
          <w:p w:rsidR="00E506C0" w:rsidRPr="00D95537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95537">
              <w:rPr>
                <w:rFonts w:ascii="Arial" w:eastAsia="宋体" w:hAnsi="Arial" w:cs="Arial"/>
                <w:sz w:val="20"/>
                <w:szCs w:val="20"/>
              </w:rPr>
              <w:t>4.19E-06</w:t>
            </w:r>
          </w:p>
        </w:tc>
        <w:tc>
          <w:tcPr>
            <w:tcW w:w="1134" w:type="dxa"/>
            <w:noWrap/>
            <w:hideMark/>
          </w:tcPr>
          <w:p w:rsidR="00E506C0" w:rsidRPr="00D95537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95537">
              <w:rPr>
                <w:rFonts w:ascii="Arial" w:eastAsia="宋体" w:hAnsi="Arial" w:cs="Arial"/>
                <w:sz w:val="20"/>
                <w:szCs w:val="20"/>
              </w:rPr>
              <w:t>3.67E-06</w:t>
            </w:r>
          </w:p>
        </w:tc>
        <w:tc>
          <w:tcPr>
            <w:tcW w:w="709" w:type="dxa"/>
            <w:noWrap/>
            <w:hideMark/>
          </w:tcPr>
          <w:p w:rsidR="00E506C0" w:rsidRPr="00D95537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95537">
              <w:rPr>
                <w:rFonts w:ascii="Arial" w:eastAsia="宋体" w:hAnsi="Arial" w:cs="Arial"/>
                <w:sz w:val="20"/>
                <w:szCs w:val="20"/>
              </w:rPr>
              <w:t>116</w:t>
            </w:r>
          </w:p>
        </w:tc>
        <w:tc>
          <w:tcPr>
            <w:tcW w:w="1559" w:type="dxa"/>
            <w:noWrap/>
            <w:hideMark/>
          </w:tcPr>
          <w:p w:rsidR="00E506C0" w:rsidRPr="00D95537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95537">
              <w:rPr>
                <w:rFonts w:ascii="Arial" w:eastAsia="宋体" w:hAnsi="Arial" w:cs="Arial"/>
                <w:sz w:val="20"/>
                <w:szCs w:val="20"/>
              </w:rPr>
              <w:t>tags=88%, list=20%, signal=72%</w:t>
            </w:r>
          </w:p>
        </w:tc>
        <w:tc>
          <w:tcPr>
            <w:tcW w:w="3543" w:type="dxa"/>
            <w:noWrap/>
            <w:hideMark/>
          </w:tcPr>
          <w:p w:rsidR="00E506C0" w:rsidRPr="00D95537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95537">
              <w:rPr>
                <w:rFonts w:ascii="Arial" w:eastAsia="宋体" w:hAnsi="Arial" w:cs="Arial"/>
                <w:sz w:val="20"/>
                <w:szCs w:val="20"/>
              </w:rPr>
              <w:t>CBLB/FYN/LCK/ITK/ZAP70/RASGRP1/NFATC2/CD3D/CD3E/PRKCQ/CD28/CD247/CD3G/CD8A</w:t>
            </w:r>
          </w:p>
        </w:tc>
      </w:tr>
      <w:tr w:rsidR="00E506C0" w:rsidRPr="00D95537" w:rsidTr="002D020E">
        <w:trPr>
          <w:jc w:val="center"/>
        </w:trPr>
        <w:tc>
          <w:tcPr>
            <w:tcW w:w="2978" w:type="dxa"/>
            <w:noWrap/>
            <w:hideMark/>
          </w:tcPr>
          <w:p w:rsidR="00E506C0" w:rsidRPr="00D95537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95537">
              <w:rPr>
                <w:rFonts w:ascii="Arial" w:eastAsia="宋体" w:hAnsi="Arial" w:cs="Arial"/>
                <w:sz w:val="20"/>
                <w:szCs w:val="20"/>
              </w:rPr>
              <w:t>KEGG_</w:t>
            </w:r>
            <w:r w:rsidRPr="00D9553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95537">
              <w:rPr>
                <w:rFonts w:ascii="Arial" w:eastAsia="宋体" w:hAnsi="Arial" w:cs="Arial"/>
                <w:sz w:val="20"/>
                <w:szCs w:val="20"/>
              </w:rPr>
              <w:t>natural killer cell-mediated cytotoxicity</w:t>
            </w:r>
          </w:p>
        </w:tc>
        <w:tc>
          <w:tcPr>
            <w:tcW w:w="992" w:type="dxa"/>
            <w:noWrap/>
            <w:hideMark/>
          </w:tcPr>
          <w:p w:rsidR="00E506C0" w:rsidRPr="00D95537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95537">
              <w:rPr>
                <w:rFonts w:ascii="Arial" w:eastAsia="宋体" w:hAnsi="Arial" w:cs="Arial"/>
                <w:sz w:val="20"/>
                <w:szCs w:val="20"/>
              </w:rPr>
              <w:t>13</w:t>
            </w:r>
          </w:p>
        </w:tc>
        <w:tc>
          <w:tcPr>
            <w:tcW w:w="1843" w:type="dxa"/>
            <w:noWrap/>
            <w:hideMark/>
          </w:tcPr>
          <w:p w:rsidR="00E506C0" w:rsidRPr="00D95537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95537">
              <w:rPr>
                <w:rFonts w:ascii="Arial" w:eastAsia="宋体" w:hAnsi="Arial" w:cs="Arial"/>
                <w:sz w:val="20"/>
                <w:szCs w:val="20"/>
              </w:rPr>
              <w:t>-0.67552</w:t>
            </w:r>
          </w:p>
        </w:tc>
        <w:tc>
          <w:tcPr>
            <w:tcW w:w="1134" w:type="dxa"/>
            <w:noWrap/>
            <w:hideMark/>
          </w:tcPr>
          <w:p w:rsidR="00E506C0" w:rsidRPr="00D95537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95537">
              <w:rPr>
                <w:rFonts w:ascii="Arial" w:eastAsia="宋体" w:hAnsi="Arial" w:cs="Arial"/>
                <w:sz w:val="20"/>
                <w:szCs w:val="20"/>
              </w:rPr>
              <w:t>-2.77019</w:t>
            </w:r>
          </w:p>
        </w:tc>
        <w:tc>
          <w:tcPr>
            <w:tcW w:w="1134" w:type="dxa"/>
            <w:noWrap/>
            <w:hideMark/>
          </w:tcPr>
          <w:p w:rsidR="00E506C0" w:rsidRPr="00D95537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95537">
              <w:rPr>
                <w:rFonts w:ascii="Arial" w:eastAsia="宋体" w:hAnsi="Arial" w:cs="Arial"/>
                <w:sz w:val="20"/>
                <w:szCs w:val="20"/>
              </w:rPr>
              <w:t>4.62E-05</w:t>
            </w:r>
          </w:p>
        </w:tc>
        <w:tc>
          <w:tcPr>
            <w:tcW w:w="1134" w:type="dxa"/>
            <w:noWrap/>
            <w:hideMark/>
          </w:tcPr>
          <w:p w:rsidR="00E506C0" w:rsidRPr="00D95537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95537">
              <w:rPr>
                <w:rFonts w:ascii="Arial" w:eastAsia="宋体" w:hAnsi="Arial" w:cs="Arial"/>
                <w:sz w:val="20"/>
                <w:szCs w:val="20"/>
              </w:rPr>
              <w:t>4.05E-05</w:t>
            </w:r>
          </w:p>
        </w:tc>
        <w:tc>
          <w:tcPr>
            <w:tcW w:w="709" w:type="dxa"/>
            <w:noWrap/>
            <w:hideMark/>
          </w:tcPr>
          <w:p w:rsidR="00E506C0" w:rsidRPr="00D95537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95537">
              <w:rPr>
                <w:rFonts w:ascii="Arial" w:eastAsia="宋体" w:hAnsi="Arial" w:cs="Arial"/>
                <w:sz w:val="20"/>
                <w:szCs w:val="20"/>
              </w:rPr>
              <w:t>111</w:t>
            </w:r>
          </w:p>
        </w:tc>
        <w:tc>
          <w:tcPr>
            <w:tcW w:w="1559" w:type="dxa"/>
            <w:noWrap/>
            <w:hideMark/>
          </w:tcPr>
          <w:p w:rsidR="00E506C0" w:rsidRPr="00D95537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95537">
              <w:rPr>
                <w:rFonts w:ascii="Arial" w:eastAsia="宋体" w:hAnsi="Arial" w:cs="Arial"/>
                <w:sz w:val="20"/>
                <w:szCs w:val="20"/>
              </w:rPr>
              <w:t>tags=85%, list=19%, signal=70%</w:t>
            </w:r>
          </w:p>
        </w:tc>
        <w:tc>
          <w:tcPr>
            <w:tcW w:w="3543" w:type="dxa"/>
            <w:noWrap/>
            <w:hideMark/>
          </w:tcPr>
          <w:p w:rsidR="00E506C0" w:rsidRPr="00D95537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95537">
              <w:rPr>
                <w:rFonts w:ascii="Arial" w:eastAsia="宋体" w:hAnsi="Arial" w:cs="Arial"/>
                <w:sz w:val="20"/>
                <w:szCs w:val="20"/>
              </w:rPr>
              <w:t>FYN/LCK/ZAP70/NFATC2/PRF1/CD247/SH2D1A/GZMB/KLRD1/SH2D1B/KLRC3</w:t>
            </w:r>
          </w:p>
        </w:tc>
      </w:tr>
      <w:tr w:rsidR="00E506C0" w:rsidRPr="00D95537" w:rsidTr="002D020E">
        <w:trPr>
          <w:gridAfter w:val="8"/>
          <w:wAfter w:w="12048" w:type="dxa"/>
          <w:jc w:val="center"/>
        </w:trPr>
        <w:tc>
          <w:tcPr>
            <w:tcW w:w="2978" w:type="dxa"/>
            <w:noWrap/>
          </w:tcPr>
          <w:p w:rsidR="00E506C0" w:rsidRPr="00D95537" w:rsidRDefault="00E506C0" w:rsidP="002D020E">
            <w:pPr>
              <w:spacing w:line="360" w:lineRule="auto"/>
              <w:jc w:val="left"/>
              <w:rPr>
                <w:rFonts w:ascii="Arial" w:eastAsia="宋体" w:hAnsi="Arial" w:cs="Arial"/>
                <w:b/>
                <w:sz w:val="20"/>
                <w:szCs w:val="20"/>
              </w:rPr>
            </w:pPr>
            <w:r w:rsidRPr="00D95537">
              <w:rPr>
                <w:rFonts w:ascii="Arial" w:eastAsia="宋体" w:hAnsi="Arial" w:cs="Arial"/>
                <w:b/>
                <w:sz w:val="20"/>
                <w:szCs w:val="20"/>
              </w:rPr>
              <w:t>GSE26440</w:t>
            </w:r>
          </w:p>
        </w:tc>
      </w:tr>
      <w:tr w:rsidR="00E506C0" w:rsidRPr="00D95537" w:rsidTr="002D020E">
        <w:trPr>
          <w:jc w:val="center"/>
        </w:trPr>
        <w:tc>
          <w:tcPr>
            <w:tcW w:w="2978" w:type="dxa"/>
            <w:noWrap/>
            <w:hideMark/>
          </w:tcPr>
          <w:p w:rsidR="00E506C0" w:rsidRPr="00D95537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95537">
              <w:rPr>
                <w:rFonts w:ascii="Arial" w:eastAsia="宋体" w:hAnsi="Arial" w:cs="Arial"/>
                <w:sz w:val="20"/>
                <w:szCs w:val="20"/>
              </w:rPr>
              <w:t>KEGG_T cell receptor signalling pathways</w:t>
            </w:r>
          </w:p>
        </w:tc>
        <w:tc>
          <w:tcPr>
            <w:tcW w:w="992" w:type="dxa"/>
            <w:noWrap/>
            <w:hideMark/>
          </w:tcPr>
          <w:p w:rsidR="00E506C0" w:rsidRPr="00D95537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95537">
              <w:rPr>
                <w:rFonts w:ascii="Arial" w:eastAsia="宋体" w:hAnsi="Arial" w:cs="Arial"/>
                <w:sz w:val="20"/>
                <w:szCs w:val="20"/>
              </w:rPr>
              <w:t>16</w:t>
            </w:r>
          </w:p>
        </w:tc>
        <w:tc>
          <w:tcPr>
            <w:tcW w:w="1843" w:type="dxa"/>
            <w:noWrap/>
            <w:hideMark/>
          </w:tcPr>
          <w:p w:rsidR="00E506C0" w:rsidRPr="00D95537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95537">
              <w:rPr>
                <w:rFonts w:ascii="Arial" w:eastAsia="宋体" w:hAnsi="Arial" w:cs="Arial"/>
                <w:sz w:val="20"/>
                <w:szCs w:val="20"/>
              </w:rPr>
              <w:t>-0.57977</w:t>
            </w:r>
          </w:p>
        </w:tc>
        <w:tc>
          <w:tcPr>
            <w:tcW w:w="1134" w:type="dxa"/>
            <w:noWrap/>
            <w:hideMark/>
          </w:tcPr>
          <w:p w:rsidR="00E506C0" w:rsidRPr="00D95537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95537">
              <w:rPr>
                <w:rFonts w:ascii="Arial" w:eastAsia="宋体" w:hAnsi="Arial" w:cs="Arial"/>
                <w:sz w:val="20"/>
                <w:szCs w:val="20"/>
              </w:rPr>
              <w:t>-2.53876</w:t>
            </w:r>
          </w:p>
        </w:tc>
        <w:tc>
          <w:tcPr>
            <w:tcW w:w="1134" w:type="dxa"/>
            <w:noWrap/>
            <w:hideMark/>
          </w:tcPr>
          <w:p w:rsidR="00E506C0" w:rsidRPr="00D95537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95537">
              <w:rPr>
                <w:rFonts w:ascii="Arial" w:eastAsia="宋体" w:hAnsi="Arial" w:cs="Arial"/>
                <w:sz w:val="20"/>
                <w:szCs w:val="20"/>
              </w:rPr>
              <w:t>0.000987</w:t>
            </w:r>
          </w:p>
        </w:tc>
        <w:tc>
          <w:tcPr>
            <w:tcW w:w="1134" w:type="dxa"/>
            <w:noWrap/>
            <w:hideMark/>
          </w:tcPr>
          <w:p w:rsidR="00E506C0" w:rsidRPr="00D95537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95537">
              <w:rPr>
                <w:rFonts w:ascii="Arial" w:eastAsia="宋体" w:hAnsi="Arial" w:cs="Arial"/>
                <w:sz w:val="20"/>
                <w:szCs w:val="20"/>
              </w:rPr>
              <w:t>0.00078</w:t>
            </w:r>
          </w:p>
        </w:tc>
        <w:tc>
          <w:tcPr>
            <w:tcW w:w="709" w:type="dxa"/>
            <w:noWrap/>
            <w:hideMark/>
          </w:tcPr>
          <w:p w:rsidR="00E506C0" w:rsidRPr="00D95537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95537">
              <w:rPr>
                <w:rFonts w:ascii="Arial" w:eastAsia="宋体" w:hAnsi="Arial" w:cs="Arial"/>
                <w:sz w:val="20"/>
                <w:szCs w:val="20"/>
              </w:rPr>
              <w:t>219</w:t>
            </w:r>
          </w:p>
        </w:tc>
        <w:tc>
          <w:tcPr>
            <w:tcW w:w="1559" w:type="dxa"/>
            <w:noWrap/>
            <w:hideMark/>
          </w:tcPr>
          <w:p w:rsidR="00E506C0" w:rsidRPr="00D95537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95537">
              <w:rPr>
                <w:rFonts w:ascii="Arial" w:eastAsia="宋体" w:hAnsi="Arial" w:cs="Arial"/>
                <w:sz w:val="20"/>
                <w:szCs w:val="20"/>
              </w:rPr>
              <w:t>tags=94%, list=37%, signal=60%</w:t>
            </w:r>
          </w:p>
        </w:tc>
        <w:tc>
          <w:tcPr>
            <w:tcW w:w="3543" w:type="dxa"/>
            <w:noWrap/>
            <w:hideMark/>
          </w:tcPr>
          <w:p w:rsidR="00E506C0" w:rsidRPr="00D95537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95537">
              <w:rPr>
                <w:rFonts w:ascii="Arial" w:eastAsia="宋体" w:hAnsi="Arial" w:cs="Arial"/>
                <w:sz w:val="20"/>
                <w:szCs w:val="20"/>
              </w:rPr>
              <w:t>PIK3CB/CBLB/ZAP70/FYN/CD8A/CD3E/NFATC2/PRKCQ/CD3D/CD3G/LCK/CD28/ITK/RASGRP1/CD247</w:t>
            </w:r>
          </w:p>
        </w:tc>
      </w:tr>
      <w:tr w:rsidR="00E506C0" w:rsidRPr="00D95537" w:rsidTr="002D020E">
        <w:trPr>
          <w:trHeight w:val="340"/>
          <w:jc w:val="center"/>
        </w:trPr>
        <w:tc>
          <w:tcPr>
            <w:tcW w:w="2978" w:type="dxa"/>
            <w:noWrap/>
            <w:hideMark/>
          </w:tcPr>
          <w:p w:rsidR="00E506C0" w:rsidRPr="00D95537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95537">
              <w:rPr>
                <w:rFonts w:ascii="Arial" w:eastAsia="宋体" w:hAnsi="Arial" w:cs="Arial"/>
                <w:sz w:val="20"/>
                <w:szCs w:val="20"/>
              </w:rPr>
              <w:t>KEGG_</w:t>
            </w:r>
            <w:r w:rsidRPr="00D9553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95537">
              <w:rPr>
                <w:rFonts w:ascii="Arial" w:eastAsia="宋体" w:hAnsi="Arial" w:cs="Arial"/>
                <w:sz w:val="20"/>
                <w:szCs w:val="20"/>
              </w:rPr>
              <w:t>natural killer cell-mediated cytotoxicity</w:t>
            </w:r>
          </w:p>
        </w:tc>
        <w:tc>
          <w:tcPr>
            <w:tcW w:w="992" w:type="dxa"/>
            <w:noWrap/>
            <w:hideMark/>
          </w:tcPr>
          <w:p w:rsidR="00E506C0" w:rsidRPr="00D95537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95537">
              <w:rPr>
                <w:rFonts w:ascii="Arial" w:eastAsia="宋体" w:hAnsi="Arial" w:cs="Arial"/>
                <w:sz w:val="20"/>
                <w:szCs w:val="20"/>
              </w:rPr>
              <w:t>13</w:t>
            </w:r>
          </w:p>
        </w:tc>
        <w:tc>
          <w:tcPr>
            <w:tcW w:w="1843" w:type="dxa"/>
            <w:noWrap/>
            <w:hideMark/>
          </w:tcPr>
          <w:p w:rsidR="00E506C0" w:rsidRPr="00D95537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95537">
              <w:rPr>
                <w:rFonts w:ascii="Arial" w:eastAsia="宋体" w:hAnsi="Arial" w:cs="Arial"/>
                <w:sz w:val="20"/>
                <w:szCs w:val="20"/>
              </w:rPr>
              <w:t>-0.59198</w:t>
            </w:r>
          </w:p>
        </w:tc>
        <w:tc>
          <w:tcPr>
            <w:tcW w:w="1134" w:type="dxa"/>
            <w:noWrap/>
            <w:hideMark/>
          </w:tcPr>
          <w:p w:rsidR="00E506C0" w:rsidRPr="00D95537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95537">
              <w:rPr>
                <w:rFonts w:ascii="Arial" w:eastAsia="宋体" w:hAnsi="Arial" w:cs="Arial"/>
                <w:sz w:val="20"/>
                <w:szCs w:val="20"/>
              </w:rPr>
              <w:t>-2.39562</w:t>
            </w:r>
          </w:p>
        </w:tc>
        <w:tc>
          <w:tcPr>
            <w:tcW w:w="1134" w:type="dxa"/>
            <w:noWrap/>
            <w:hideMark/>
          </w:tcPr>
          <w:p w:rsidR="00E506C0" w:rsidRPr="00D95537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95537">
              <w:rPr>
                <w:rFonts w:ascii="Arial" w:eastAsia="宋体" w:hAnsi="Arial" w:cs="Arial"/>
                <w:sz w:val="20"/>
                <w:szCs w:val="20"/>
              </w:rPr>
              <w:t>0.002915</w:t>
            </w:r>
          </w:p>
        </w:tc>
        <w:tc>
          <w:tcPr>
            <w:tcW w:w="1134" w:type="dxa"/>
            <w:noWrap/>
            <w:hideMark/>
          </w:tcPr>
          <w:p w:rsidR="00E506C0" w:rsidRPr="00D95537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95537">
              <w:rPr>
                <w:rFonts w:ascii="Arial" w:eastAsia="宋体" w:hAnsi="Arial" w:cs="Arial"/>
                <w:sz w:val="20"/>
                <w:szCs w:val="20"/>
              </w:rPr>
              <w:t>0.002301</w:t>
            </w:r>
          </w:p>
        </w:tc>
        <w:tc>
          <w:tcPr>
            <w:tcW w:w="709" w:type="dxa"/>
            <w:noWrap/>
            <w:hideMark/>
          </w:tcPr>
          <w:p w:rsidR="00E506C0" w:rsidRPr="00D95537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95537">
              <w:rPr>
                <w:rFonts w:ascii="Arial" w:eastAsia="宋体" w:hAnsi="Arial" w:cs="Arial"/>
                <w:sz w:val="20"/>
                <w:szCs w:val="20"/>
              </w:rPr>
              <w:t>175</w:t>
            </w:r>
          </w:p>
        </w:tc>
        <w:tc>
          <w:tcPr>
            <w:tcW w:w="1559" w:type="dxa"/>
            <w:noWrap/>
            <w:hideMark/>
          </w:tcPr>
          <w:p w:rsidR="00E506C0" w:rsidRPr="00D95537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95537">
              <w:rPr>
                <w:rFonts w:ascii="Arial" w:eastAsia="宋体" w:hAnsi="Arial" w:cs="Arial"/>
                <w:sz w:val="20"/>
                <w:szCs w:val="20"/>
              </w:rPr>
              <w:t>tags=85%, list=30%, signal=61%</w:t>
            </w:r>
          </w:p>
        </w:tc>
        <w:tc>
          <w:tcPr>
            <w:tcW w:w="3543" w:type="dxa"/>
            <w:noWrap/>
            <w:hideMark/>
          </w:tcPr>
          <w:p w:rsidR="00E506C0" w:rsidRPr="00D95537" w:rsidRDefault="00E506C0" w:rsidP="002D020E">
            <w:pPr>
              <w:spacing w:line="360" w:lineRule="auto"/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95537">
              <w:rPr>
                <w:rFonts w:ascii="Arial" w:eastAsia="宋体" w:hAnsi="Arial" w:cs="Arial"/>
                <w:sz w:val="20"/>
                <w:szCs w:val="20"/>
              </w:rPr>
              <w:t>ZAP70/FYN/NFATC2/GZMB/PRF1/LCK/KLRD1/CD247/KLRC3/SH2D1A/SH2D1B</w:t>
            </w:r>
          </w:p>
        </w:tc>
      </w:tr>
    </w:tbl>
    <w:p w:rsidR="00E506C0" w:rsidRPr="006B1053" w:rsidRDefault="00E506C0" w:rsidP="00E506C0"/>
    <w:p w:rsidR="00C867D4" w:rsidRPr="00E506C0" w:rsidRDefault="00C867D4">
      <w:pPr>
        <w:rPr>
          <w:rFonts w:hint="eastAsia"/>
        </w:rPr>
      </w:pPr>
    </w:p>
    <w:sectPr w:rsidR="00C867D4" w:rsidRPr="00E506C0" w:rsidSect="00E506C0">
      <w:pgSz w:w="15840" w:h="12240" w:orient="landscape" w:code="1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1AFE" w:rsidRDefault="00CB1AFE" w:rsidP="00C867D4">
      <w:r>
        <w:separator/>
      </w:r>
    </w:p>
  </w:endnote>
  <w:endnote w:type="continuationSeparator" w:id="0">
    <w:p w:rsidR="00CB1AFE" w:rsidRDefault="00CB1AFE" w:rsidP="00C867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1AFE" w:rsidRDefault="00CB1AFE" w:rsidP="00C867D4">
      <w:r>
        <w:separator/>
      </w:r>
    </w:p>
  </w:footnote>
  <w:footnote w:type="continuationSeparator" w:id="0">
    <w:p w:rsidR="00CB1AFE" w:rsidRDefault="00CB1AFE" w:rsidP="00C867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C08"/>
    <w:rsid w:val="000E3F66"/>
    <w:rsid w:val="00111DA3"/>
    <w:rsid w:val="00355D7E"/>
    <w:rsid w:val="003B5F25"/>
    <w:rsid w:val="004833E5"/>
    <w:rsid w:val="005162F3"/>
    <w:rsid w:val="006B7C08"/>
    <w:rsid w:val="009F729E"/>
    <w:rsid w:val="00A92709"/>
    <w:rsid w:val="00C867D4"/>
    <w:rsid w:val="00CB1AFE"/>
    <w:rsid w:val="00E506C0"/>
    <w:rsid w:val="00E66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75258E"/>
  <w15:chartTrackingRefBased/>
  <w15:docId w15:val="{BE65A0D5-5054-48A7-B15F-DAFD28CEF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67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867D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867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867D4"/>
    <w:rPr>
      <w:sz w:val="18"/>
      <w:szCs w:val="18"/>
    </w:rPr>
  </w:style>
  <w:style w:type="table" w:styleId="a7">
    <w:name w:val="Table Grid"/>
    <w:basedOn w:val="a1"/>
    <w:uiPriority w:val="39"/>
    <w:rsid w:val="00E506C0"/>
    <w:rPr>
      <w:lang w:bidi="ug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11</Pages>
  <Words>1143</Words>
  <Characters>6516</Characters>
  <Application>Microsoft Office Word</Application>
  <DocSecurity>0</DocSecurity>
  <Lines>54</Lines>
  <Paragraphs>15</Paragraphs>
  <ScaleCrop>false</ScaleCrop>
  <Company/>
  <LinksUpToDate>false</LinksUpToDate>
  <CharactersWithSpaces>7644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ThinkPad</dc:creator>
  <cp:keywords/>
  <dc:description/>
  <cp:lastModifiedBy>ThinkPad</cp:lastModifiedBy>
  <cp:revision>5</cp:revision>
  <dcterms:created xsi:type="dcterms:W3CDTF">2022-01-22T14:00:00Z</dcterms:created>
  <dcterms:modified xsi:type="dcterms:W3CDTF">2022-03-13T13:00:00Z</dcterms:modified>
</cp:coreProperties>
</file>