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E2644" w14:textId="77777777" w:rsidR="00260D3D" w:rsidRPr="006457E7" w:rsidRDefault="00260D3D" w:rsidP="00260D3D">
      <w:pPr>
        <w:pStyle w:val="tabfigtitle"/>
        <w:rPr>
          <w:noProof/>
        </w:rPr>
      </w:pPr>
      <w:r w:rsidRPr="006457E7">
        <w:rPr>
          <w:noProof/>
        </w:rPr>
        <w:t xml:space="preserve">Supplementary Table S-1. List of All Model Inputs for the ALS Case Study Model </w:t>
      </w:r>
    </w:p>
    <w:tbl>
      <w:tblPr>
        <w:tblStyle w:val="TableGridLight"/>
        <w:tblW w:w="5000" w:type="pct"/>
        <w:tblBorders>
          <w:top w:val="single" w:sz="12" w:space="0" w:color="000000"/>
          <w:left w:val="none" w:sz="0" w:space="0" w:color="auto"/>
          <w:bottom w:val="single" w:sz="12" w:space="0" w:color="000000"/>
          <w:right w:val="none" w:sz="0" w:space="0" w:color="auto"/>
          <w:insideH w:val="single" w:sz="2" w:space="0" w:color="DDDDDD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8"/>
        <w:gridCol w:w="3782"/>
        <w:gridCol w:w="5940"/>
      </w:tblGrid>
      <w:tr w:rsidR="00260D3D" w:rsidRPr="006457E7" w14:paraId="057FA276" w14:textId="77777777" w:rsidTr="009E189A">
        <w:trPr>
          <w:tblHeader/>
        </w:trPr>
        <w:tc>
          <w:tcPr>
            <w:tcW w:w="3238" w:type="dxa"/>
            <w:tcBorders>
              <w:top w:val="single" w:sz="12" w:space="0" w:color="000000"/>
              <w:bottom w:val="single" w:sz="2" w:space="0" w:color="DDDDDD"/>
            </w:tcBorders>
            <w:shd w:val="clear" w:color="auto" w:fill="E6E6E6"/>
            <w:vAlign w:val="bottom"/>
          </w:tcPr>
          <w:p w14:paraId="2E9EFFCE" w14:textId="77777777" w:rsidR="00260D3D" w:rsidRPr="006457E7" w:rsidRDefault="00260D3D" w:rsidP="009E189A">
            <w:pPr>
              <w:pStyle w:val="Tableheadings"/>
              <w:jc w:val="left"/>
              <w:rPr>
                <w:noProof/>
              </w:rPr>
            </w:pPr>
          </w:p>
        </w:tc>
        <w:tc>
          <w:tcPr>
            <w:tcW w:w="3782" w:type="dxa"/>
            <w:tcBorders>
              <w:top w:val="single" w:sz="12" w:space="0" w:color="000000"/>
              <w:bottom w:val="single" w:sz="2" w:space="0" w:color="DDDDDD"/>
            </w:tcBorders>
            <w:shd w:val="clear" w:color="auto" w:fill="E6E6E6"/>
            <w:vAlign w:val="bottom"/>
          </w:tcPr>
          <w:p w14:paraId="24C85A7A" w14:textId="77777777" w:rsidR="00260D3D" w:rsidRPr="006457E7" w:rsidRDefault="00260D3D" w:rsidP="009E189A">
            <w:pPr>
              <w:pStyle w:val="Tableheadings"/>
              <w:jc w:val="left"/>
              <w:rPr>
                <w:noProof/>
              </w:rPr>
            </w:pPr>
            <w:r w:rsidRPr="006457E7">
              <w:rPr>
                <w:noProof/>
              </w:rPr>
              <w:t xml:space="preserve">Input Value </w:t>
            </w:r>
          </w:p>
        </w:tc>
        <w:tc>
          <w:tcPr>
            <w:tcW w:w="5940" w:type="dxa"/>
            <w:tcBorders>
              <w:top w:val="single" w:sz="12" w:space="0" w:color="000000"/>
              <w:bottom w:val="single" w:sz="2" w:space="0" w:color="DDDDDD"/>
            </w:tcBorders>
            <w:shd w:val="clear" w:color="auto" w:fill="E6E6E6"/>
            <w:vAlign w:val="bottom"/>
          </w:tcPr>
          <w:p w14:paraId="3543CF97" w14:textId="77777777" w:rsidR="00260D3D" w:rsidRPr="006457E7" w:rsidRDefault="00260D3D" w:rsidP="009E189A">
            <w:pPr>
              <w:pStyle w:val="Tableheadings"/>
              <w:jc w:val="left"/>
              <w:rPr>
                <w:noProof/>
              </w:rPr>
            </w:pPr>
            <w:r w:rsidRPr="006457E7">
              <w:rPr>
                <w:noProof/>
              </w:rPr>
              <w:t xml:space="preserve">Sources </w:t>
            </w:r>
          </w:p>
        </w:tc>
      </w:tr>
      <w:tr w:rsidR="00260D3D" w:rsidRPr="006457E7" w14:paraId="5EDC4C08" w14:textId="77777777" w:rsidTr="009E189A">
        <w:tc>
          <w:tcPr>
            <w:tcW w:w="12960" w:type="dxa"/>
            <w:gridSpan w:val="3"/>
            <w:tcBorders>
              <w:top w:val="single" w:sz="2" w:space="0" w:color="DDDDDD"/>
            </w:tcBorders>
            <w:shd w:val="clear" w:color="auto" w:fill="auto"/>
          </w:tcPr>
          <w:p w14:paraId="0C882ABD" w14:textId="77777777" w:rsidR="00260D3D" w:rsidRPr="006457E7" w:rsidRDefault="00260D3D" w:rsidP="009E189A">
            <w:pPr>
              <w:pStyle w:val="Tabletext"/>
              <w:rPr>
                <w:b/>
                <w:bCs/>
                <w:noProof/>
              </w:rPr>
            </w:pPr>
            <w:r w:rsidRPr="006457E7">
              <w:rPr>
                <w:b/>
                <w:bCs/>
                <w:noProof/>
              </w:rPr>
              <w:t>Inputs for estimating IV administration costs</w:t>
            </w:r>
          </w:p>
        </w:tc>
      </w:tr>
      <w:tr w:rsidR="00260D3D" w:rsidRPr="006457E7" w14:paraId="48588BB2" w14:textId="77777777" w:rsidTr="009E189A">
        <w:tc>
          <w:tcPr>
            <w:tcW w:w="3238" w:type="dxa"/>
            <w:shd w:val="clear" w:color="auto" w:fill="auto"/>
          </w:tcPr>
          <w:p w14:paraId="445DB1A9" w14:textId="77777777" w:rsidR="00260D3D" w:rsidRPr="006457E7" w:rsidRDefault="00260D3D" w:rsidP="009E189A">
            <w:pPr>
              <w:pStyle w:val="Tabletext"/>
              <w:rPr>
                <w:noProof/>
              </w:rPr>
            </w:pPr>
            <w:r w:rsidRPr="006457E7">
              <w:rPr>
                <w:noProof/>
              </w:rPr>
              <w:t xml:space="preserve">Distribution of patients across different sites of IV administration </w:t>
            </w:r>
          </w:p>
        </w:tc>
        <w:tc>
          <w:tcPr>
            <w:tcW w:w="3782" w:type="dxa"/>
            <w:shd w:val="clear" w:color="auto" w:fill="auto"/>
          </w:tcPr>
          <w:p w14:paraId="597589AB" w14:textId="77777777" w:rsidR="00260D3D" w:rsidRPr="006457E7" w:rsidRDefault="00260D3D" w:rsidP="009E189A">
            <w:pPr>
              <w:pStyle w:val="Tabletext"/>
              <w:rPr>
                <w:noProof/>
              </w:rPr>
            </w:pPr>
            <w:r w:rsidRPr="006457E7">
              <w:rPr>
                <w:noProof/>
              </w:rPr>
              <w:t>Home infusion: 43%</w:t>
            </w:r>
          </w:p>
          <w:p w14:paraId="0D2F46D5" w14:textId="77777777" w:rsidR="00260D3D" w:rsidRPr="006457E7" w:rsidRDefault="00260D3D" w:rsidP="009E189A">
            <w:pPr>
              <w:pStyle w:val="Tabletext"/>
              <w:rPr>
                <w:noProof/>
              </w:rPr>
            </w:pPr>
            <w:r w:rsidRPr="006457E7">
              <w:rPr>
                <w:noProof/>
              </w:rPr>
              <w:t>Physician office: 32%</w:t>
            </w:r>
          </w:p>
          <w:p w14:paraId="69BD0775" w14:textId="77777777" w:rsidR="00260D3D" w:rsidRPr="006457E7" w:rsidRDefault="00260D3D" w:rsidP="009E189A">
            <w:pPr>
              <w:pStyle w:val="Tabletext"/>
              <w:rPr>
                <w:noProof/>
              </w:rPr>
            </w:pPr>
            <w:r w:rsidRPr="006457E7">
              <w:rPr>
                <w:noProof/>
              </w:rPr>
              <w:t>Hospital:</w:t>
            </w:r>
            <w:r w:rsidRPr="006457E7">
              <w:rPr>
                <w:noProof/>
              </w:rPr>
              <w:tab/>
              <w:t xml:space="preserve"> 26%</w:t>
            </w:r>
          </w:p>
        </w:tc>
        <w:tc>
          <w:tcPr>
            <w:tcW w:w="5940" w:type="dxa"/>
            <w:shd w:val="clear" w:color="auto" w:fill="auto"/>
          </w:tcPr>
          <w:p w14:paraId="13D4088B" w14:textId="77777777" w:rsidR="00260D3D" w:rsidRPr="006457E7" w:rsidRDefault="00260D3D" w:rsidP="009E189A">
            <w:pPr>
              <w:pStyle w:val="Tabletext"/>
              <w:rPr>
                <w:noProof/>
              </w:rPr>
            </w:pPr>
            <w:r w:rsidRPr="006457E7">
              <w:rPr>
                <w:noProof/>
              </w:rPr>
              <w:t>Jackson et al (2019)</w:t>
            </w:r>
          </w:p>
        </w:tc>
      </w:tr>
      <w:tr w:rsidR="00260D3D" w:rsidRPr="006457E7" w14:paraId="2DAC2E83" w14:textId="77777777" w:rsidTr="009E189A">
        <w:tc>
          <w:tcPr>
            <w:tcW w:w="3238" w:type="dxa"/>
            <w:shd w:val="clear" w:color="auto" w:fill="auto"/>
          </w:tcPr>
          <w:p w14:paraId="07F40548" w14:textId="77777777" w:rsidR="00260D3D" w:rsidRPr="006457E7" w:rsidRDefault="00260D3D" w:rsidP="009E189A">
            <w:pPr>
              <w:pStyle w:val="Tabletext"/>
              <w:rPr>
                <w:noProof/>
              </w:rPr>
            </w:pPr>
            <w:r w:rsidRPr="006457E7">
              <w:rPr>
                <w:noProof/>
              </w:rPr>
              <w:t>Number of administrations per year</w:t>
            </w:r>
          </w:p>
        </w:tc>
        <w:tc>
          <w:tcPr>
            <w:tcW w:w="3782" w:type="dxa"/>
            <w:shd w:val="clear" w:color="auto" w:fill="auto"/>
          </w:tcPr>
          <w:p w14:paraId="377B57ED" w14:textId="77777777" w:rsidR="00260D3D" w:rsidRPr="006457E7" w:rsidRDefault="00260D3D" w:rsidP="009E189A">
            <w:pPr>
              <w:pStyle w:val="Tabletext"/>
              <w:rPr>
                <w:noProof/>
              </w:rPr>
            </w:pPr>
            <w:r w:rsidRPr="006457E7">
              <w:rPr>
                <w:noProof/>
              </w:rPr>
              <w:t>134.4</w:t>
            </w:r>
          </w:p>
        </w:tc>
        <w:tc>
          <w:tcPr>
            <w:tcW w:w="5940" w:type="dxa"/>
            <w:shd w:val="clear" w:color="auto" w:fill="auto"/>
          </w:tcPr>
          <w:p w14:paraId="11E8DE7D" w14:textId="77777777" w:rsidR="00260D3D" w:rsidRPr="006457E7" w:rsidRDefault="00260D3D" w:rsidP="009E189A">
            <w:pPr>
              <w:pStyle w:val="Tabletext"/>
              <w:rPr>
                <w:noProof/>
              </w:rPr>
            </w:pPr>
            <w:r w:rsidRPr="006457E7">
              <w:rPr>
                <w:noProof/>
              </w:rPr>
              <w:t>R</w:t>
            </w:r>
            <w:r>
              <w:rPr>
                <w:noProof/>
              </w:rPr>
              <w:t>adicava</w:t>
            </w:r>
            <w:r w:rsidRPr="006457E7">
              <w:rPr>
                <w:noProof/>
              </w:rPr>
              <w:t xml:space="preserve"> prescribing information, 2018</w:t>
            </w:r>
          </w:p>
        </w:tc>
      </w:tr>
      <w:tr w:rsidR="00260D3D" w:rsidRPr="006457E7" w14:paraId="56F86938" w14:textId="77777777" w:rsidTr="009E189A">
        <w:tc>
          <w:tcPr>
            <w:tcW w:w="3238" w:type="dxa"/>
            <w:shd w:val="clear" w:color="auto" w:fill="auto"/>
          </w:tcPr>
          <w:p w14:paraId="41812DE8" w14:textId="77777777" w:rsidR="00260D3D" w:rsidRPr="006457E7" w:rsidRDefault="00260D3D" w:rsidP="009E189A">
            <w:pPr>
              <w:pStyle w:val="Tabletext"/>
              <w:rPr>
                <w:noProof/>
              </w:rPr>
            </w:pPr>
            <w:r w:rsidRPr="006457E7">
              <w:rPr>
                <w:noProof/>
              </w:rPr>
              <w:t>Cost of each administration</w:t>
            </w:r>
            <w:r w:rsidRPr="006457E7">
              <w:rPr>
                <w:noProof/>
                <w:vertAlign w:val="superscript"/>
              </w:rPr>
              <w:t xml:space="preserve">  </w:t>
            </w:r>
          </w:p>
        </w:tc>
        <w:tc>
          <w:tcPr>
            <w:tcW w:w="3782" w:type="dxa"/>
            <w:shd w:val="clear" w:color="auto" w:fill="auto"/>
          </w:tcPr>
          <w:p w14:paraId="13CB00B7" w14:textId="77777777" w:rsidR="00260D3D" w:rsidRPr="006457E7" w:rsidRDefault="00260D3D" w:rsidP="009E189A">
            <w:pPr>
              <w:pStyle w:val="Tabletext"/>
              <w:rPr>
                <w:noProof/>
              </w:rPr>
            </w:pPr>
            <w:r w:rsidRPr="006457E7">
              <w:rPr>
                <w:noProof/>
              </w:rPr>
              <w:t>Home infusion: $0; Office: $148.33</w:t>
            </w:r>
          </w:p>
        </w:tc>
        <w:tc>
          <w:tcPr>
            <w:tcW w:w="5940" w:type="dxa"/>
            <w:shd w:val="clear" w:color="auto" w:fill="auto"/>
          </w:tcPr>
          <w:p w14:paraId="6DE72161" w14:textId="77777777" w:rsidR="00260D3D" w:rsidRPr="006457E7" w:rsidRDefault="00260D3D" w:rsidP="009E189A">
            <w:pPr>
              <w:pStyle w:val="Tabletext"/>
              <w:rPr>
                <w:noProof/>
              </w:rPr>
            </w:pPr>
            <w:r w:rsidRPr="006457E7">
              <w:rPr>
                <w:noProof/>
              </w:rPr>
              <w:t xml:space="preserve">Centers for Medicare and Medicaid Services, 2020 </w:t>
            </w:r>
          </w:p>
        </w:tc>
      </w:tr>
      <w:tr w:rsidR="00260D3D" w:rsidRPr="006457E7" w14:paraId="2835BE3F" w14:textId="77777777" w:rsidTr="009E189A">
        <w:tc>
          <w:tcPr>
            <w:tcW w:w="3238" w:type="dxa"/>
            <w:shd w:val="clear" w:color="auto" w:fill="auto"/>
          </w:tcPr>
          <w:p w14:paraId="12E9613D" w14:textId="77777777" w:rsidR="00260D3D" w:rsidRPr="006457E7" w:rsidRDefault="00260D3D" w:rsidP="009E189A">
            <w:pPr>
              <w:pStyle w:val="Tabletext"/>
              <w:rPr>
                <w:noProof/>
              </w:rPr>
            </w:pPr>
            <w:r w:rsidRPr="006457E7">
              <w:rPr>
                <w:noProof/>
              </w:rPr>
              <w:t>One-time cost of home IV administration training</w:t>
            </w:r>
          </w:p>
        </w:tc>
        <w:tc>
          <w:tcPr>
            <w:tcW w:w="3782" w:type="dxa"/>
            <w:shd w:val="clear" w:color="auto" w:fill="auto"/>
          </w:tcPr>
          <w:p w14:paraId="1E44171C" w14:textId="77777777" w:rsidR="00260D3D" w:rsidRPr="006457E7" w:rsidRDefault="00260D3D" w:rsidP="009E189A">
            <w:pPr>
              <w:pStyle w:val="Tabletext"/>
              <w:rPr>
                <w:noProof/>
              </w:rPr>
            </w:pPr>
            <w:r w:rsidRPr="006457E7">
              <w:rPr>
                <w:noProof/>
              </w:rPr>
              <w:t>Home infusion: $162.15</w:t>
            </w:r>
          </w:p>
        </w:tc>
        <w:tc>
          <w:tcPr>
            <w:tcW w:w="5940" w:type="dxa"/>
            <w:shd w:val="clear" w:color="auto" w:fill="auto"/>
          </w:tcPr>
          <w:p w14:paraId="35375E9F" w14:textId="77777777" w:rsidR="00260D3D" w:rsidRPr="006457E7" w:rsidRDefault="00260D3D" w:rsidP="009E189A">
            <w:pPr>
              <w:pStyle w:val="Tabletext"/>
              <w:rPr>
                <w:noProof/>
              </w:rPr>
            </w:pPr>
            <w:r w:rsidRPr="006457E7">
              <w:rPr>
                <w:noProof/>
              </w:rPr>
              <w:t>Washington State Department of Labor and Industries, 2019</w:t>
            </w:r>
          </w:p>
        </w:tc>
      </w:tr>
      <w:tr w:rsidR="00260D3D" w:rsidRPr="006457E7" w14:paraId="42D27FF3" w14:textId="77777777" w:rsidTr="009E189A">
        <w:tc>
          <w:tcPr>
            <w:tcW w:w="12960" w:type="dxa"/>
            <w:gridSpan w:val="3"/>
            <w:shd w:val="clear" w:color="auto" w:fill="auto"/>
          </w:tcPr>
          <w:p w14:paraId="30D0517A" w14:textId="77777777" w:rsidR="00260D3D" w:rsidRPr="006457E7" w:rsidRDefault="00260D3D" w:rsidP="009E189A">
            <w:pPr>
              <w:pStyle w:val="Tabletext"/>
              <w:rPr>
                <w:b/>
                <w:bCs/>
                <w:noProof/>
              </w:rPr>
            </w:pPr>
            <w:r w:rsidRPr="006457E7">
              <w:rPr>
                <w:b/>
                <w:bCs/>
                <w:noProof/>
              </w:rPr>
              <w:t xml:space="preserve">Inputs for estimating IV maintenance costs </w:t>
            </w:r>
          </w:p>
        </w:tc>
      </w:tr>
      <w:tr w:rsidR="00260D3D" w:rsidRPr="006457E7" w14:paraId="27D63DBC" w14:textId="77777777" w:rsidTr="009E189A">
        <w:tc>
          <w:tcPr>
            <w:tcW w:w="3238" w:type="dxa"/>
            <w:shd w:val="clear" w:color="auto" w:fill="auto"/>
          </w:tcPr>
          <w:p w14:paraId="208363D2" w14:textId="77777777" w:rsidR="00260D3D" w:rsidRPr="006457E7" w:rsidRDefault="00260D3D" w:rsidP="009E189A">
            <w:pPr>
              <w:pStyle w:val="Tabletext"/>
              <w:rPr>
                <w:noProof/>
              </w:rPr>
            </w:pPr>
            <w:r w:rsidRPr="006457E7">
              <w:rPr>
                <w:noProof/>
              </w:rPr>
              <w:t xml:space="preserve">Distribution of patients across different methods of IV administration </w:t>
            </w:r>
          </w:p>
        </w:tc>
        <w:tc>
          <w:tcPr>
            <w:tcW w:w="3782" w:type="dxa"/>
            <w:shd w:val="clear" w:color="auto" w:fill="auto"/>
          </w:tcPr>
          <w:p w14:paraId="6B994142" w14:textId="77777777" w:rsidR="00260D3D" w:rsidRPr="006457E7" w:rsidRDefault="00260D3D" w:rsidP="009E189A">
            <w:pPr>
              <w:pStyle w:val="Tabletext"/>
              <w:rPr>
                <w:noProof/>
              </w:rPr>
            </w:pPr>
            <w:r w:rsidRPr="006457E7">
              <w:rPr>
                <w:noProof/>
              </w:rPr>
              <w:t>Peripheral line: 18.4%</w:t>
            </w:r>
          </w:p>
          <w:p w14:paraId="7169763D" w14:textId="77777777" w:rsidR="00260D3D" w:rsidRPr="006457E7" w:rsidRDefault="00260D3D" w:rsidP="009E189A">
            <w:pPr>
              <w:pStyle w:val="Tabletext"/>
              <w:rPr>
                <w:noProof/>
              </w:rPr>
            </w:pPr>
            <w:r w:rsidRPr="006457E7">
              <w:rPr>
                <w:noProof/>
              </w:rPr>
              <w:t>PICC line: 21.4%</w:t>
            </w:r>
          </w:p>
          <w:p w14:paraId="75E9E656" w14:textId="77777777" w:rsidR="00260D3D" w:rsidRPr="006457E7" w:rsidRDefault="00260D3D" w:rsidP="009E189A">
            <w:pPr>
              <w:pStyle w:val="Tabletext"/>
              <w:rPr>
                <w:noProof/>
              </w:rPr>
            </w:pPr>
            <w:r w:rsidRPr="006457E7">
              <w:rPr>
                <w:noProof/>
              </w:rPr>
              <w:t>Implantable port: 60.2%</w:t>
            </w:r>
          </w:p>
        </w:tc>
        <w:tc>
          <w:tcPr>
            <w:tcW w:w="5940" w:type="dxa"/>
            <w:shd w:val="clear" w:color="auto" w:fill="auto"/>
          </w:tcPr>
          <w:p w14:paraId="29366BE7" w14:textId="77777777" w:rsidR="00260D3D" w:rsidRPr="006457E7" w:rsidRDefault="00260D3D" w:rsidP="009E189A">
            <w:pPr>
              <w:pStyle w:val="Tabletext"/>
              <w:rPr>
                <w:noProof/>
              </w:rPr>
            </w:pPr>
            <w:r w:rsidRPr="006457E7">
              <w:rPr>
                <w:noProof/>
              </w:rPr>
              <w:t>Jackson et al (2019)</w:t>
            </w:r>
          </w:p>
        </w:tc>
      </w:tr>
      <w:tr w:rsidR="00260D3D" w:rsidRPr="006457E7" w14:paraId="4E019610" w14:textId="77777777" w:rsidTr="009E189A">
        <w:tc>
          <w:tcPr>
            <w:tcW w:w="3238" w:type="dxa"/>
            <w:shd w:val="clear" w:color="auto" w:fill="auto"/>
          </w:tcPr>
          <w:p w14:paraId="610B0D57" w14:textId="320B1B91" w:rsidR="00260D3D" w:rsidRPr="006457E7" w:rsidRDefault="00260D3D" w:rsidP="009E189A">
            <w:pPr>
              <w:pStyle w:val="Tabletext"/>
              <w:rPr>
                <w:noProof/>
              </w:rPr>
            </w:pPr>
            <w:r w:rsidRPr="006457E7">
              <w:rPr>
                <w:noProof/>
              </w:rPr>
              <w:t>Cost of each insertion</w:t>
            </w:r>
          </w:p>
        </w:tc>
        <w:tc>
          <w:tcPr>
            <w:tcW w:w="3782" w:type="dxa"/>
            <w:shd w:val="clear" w:color="auto" w:fill="auto"/>
          </w:tcPr>
          <w:p w14:paraId="000BBDB8" w14:textId="77777777" w:rsidR="00260D3D" w:rsidRPr="006457E7" w:rsidRDefault="00260D3D" w:rsidP="009E189A">
            <w:pPr>
              <w:pStyle w:val="Tabletext"/>
              <w:rPr>
                <w:noProof/>
              </w:rPr>
            </w:pPr>
            <w:r w:rsidRPr="006457E7">
              <w:rPr>
                <w:noProof/>
              </w:rPr>
              <w:t>Peripheral line: $174.67</w:t>
            </w:r>
          </w:p>
          <w:p w14:paraId="5D79D9AA" w14:textId="77777777" w:rsidR="00260D3D" w:rsidRPr="006457E7" w:rsidRDefault="00260D3D" w:rsidP="009E189A">
            <w:pPr>
              <w:pStyle w:val="Tabletext"/>
              <w:rPr>
                <w:noProof/>
              </w:rPr>
            </w:pPr>
            <w:r w:rsidRPr="006457E7">
              <w:rPr>
                <w:noProof/>
              </w:rPr>
              <w:t>PICC line: $486.85</w:t>
            </w:r>
          </w:p>
          <w:p w14:paraId="26A033D7" w14:textId="77777777" w:rsidR="00260D3D" w:rsidRPr="006457E7" w:rsidRDefault="00260D3D" w:rsidP="009E189A">
            <w:pPr>
              <w:pStyle w:val="Tabletext"/>
              <w:rPr>
                <w:noProof/>
              </w:rPr>
            </w:pPr>
            <w:r w:rsidRPr="006457E7">
              <w:rPr>
                <w:noProof/>
              </w:rPr>
              <w:t>Implantable port: $1,218.02</w:t>
            </w:r>
          </w:p>
        </w:tc>
        <w:tc>
          <w:tcPr>
            <w:tcW w:w="5940" w:type="dxa"/>
            <w:shd w:val="clear" w:color="auto" w:fill="auto"/>
          </w:tcPr>
          <w:p w14:paraId="6AF1817D" w14:textId="77777777" w:rsidR="00260D3D" w:rsidRPr="006457E7" w:rsidRDefault="00260D3D" w:rsidP="009E189A">
            <w:pPr>
              <w:pStyle w:val="Tabletext"/>
              <w:rPr>
                <w:noProof/>
              </w:rPr>
            </w:pPr>
            <w:r w:rsidRPr="006457E7">
              <w:rPr>
                <w:noProof/>
              </w:rPr>
              <w:t>Centers for Medicare and Medicaid Services, 2020</w:t>
            </w:r>
          </w:p>
        </w:tc>
      </w:tr>
      <w:tr w:rsidR="00260D3D" w:rsidRPr="006457E7" w14:paraId="34A9EE0E" w14:textId="77777777" w:rsidTr="009E189A">
        <w:tc>
          <w:tcPr>
            <w:tcW w:w="3238" w:type="dxa"/>
            <w:shd w:val="clear" w:color="auto" w:fill="auto"/>
          </w:tcPr>
          <w:p w14:paraId="2DE6D52E" w14:textId="77777777" w:rsidR="00260D3D" w:rsidRPr="006457E7" w:rsidRDefault="00260D3D" w:rsidP="009E189A">
            <w:pPr>
              <w:pStyle w:val="Tabletext"/>
              <w:rPr>
                <w:noProof/>
              </w:rPr>
            </w:pPr>
            <w:r w:rsidRPr="006457E7">
              <w:rPr>
                <w:noProof/>
              </w:rPr>
              <w:t xml:space="preserve">Number of insertions </w:t>
            </w:r>
          </w:p>
        </w:tc>
        <w:tc>
          <w:tcPr>
            <w:tcW w:w="3782" w:type="dxa"/>
            <w:shd w:val="clear" w:color="auto" w:fill="auto"/>
          </w:tcPr>
          <w:p w14:paraId="0B8D18BC" w14:textId="77777777" w:rsidR="00260D3D" w:rsidRPr="006457E7" w:rsidRDefault="00260D3D" w:rsidP="009E189A">
            <w:pPr>
              <w:pStyle w:val="Tabletext"/>
              <w:rPr>
                <w:noProof/>
              </w:rPr>
            </w:pPr>
            <w:r w:rsidRPr="006457E7">
              <w:rPr>
                <w:noProof/>
              </w:rPr>
              <w:t>Peripheral line: 27.1 (year 1), 26.1 (year 2+)</w:t>
            </w:r>
          </w:p>
          <w:p w14:paraId="3EFAA1AA" w14:textId="77777777" w:rsidR="00260D3D" w:rsidRPr="006457E7" w:rsidRDefault="00260D3D" w:rsidP="009E189A">
            <w:pPr>
              <w:pStyle w:val="Tabletext"/>
              <w:rPr>
                <w:noProof/>
              </w:rPr>
            </w:pPr>
            <w:r w:rsidRPr="006457E7">
              <w:rPr>
                <w:noProof/>
              </w:rPr>
              <w:t xml:space="preserve">PICC line: 2 (year 1+) </w:t>
            </w:r>
          </w:p>
          <w:p w14:paraId="3018C788" w14:textId="77777777" w:rsidR="00260D3D" w:rsidRPr="006457E7" w:rsidRDefault="00260D3D" w:rsidP="009E189A">
            <w:pPr>
              <w:pStyle w:val="Tabletext"/>
              <w:rPr>
                <w:noProof/>
              </w:rPr>
            </w:pPr>
            <w:r w:rsidRPr="006457E7">
              <w:rPr>
                <w:noProof/>
              </w:rPr>
              <w:t xml:space="preserve">Implantable port:1 (year 1), 0 (year 2+) </w:t>
            </w:r>
          </w:p>
          <w:p w14:paraId="41AB7EE7" w14:textId="77777777" w:rsidR="00260D3D" w:rsidRPr="006457E7" w:rsidRDefault="00260D3D" w:rsidP="009E189A">
            <w:pPr>
              <w:pStyle w:val="Tabletext"/>
              <w:rPr>
                <w:noProof/>
              </w:rPr>
            </w:pPr>
          </w:p>
        </w:tc>
        <w:tc>
          <w:tcPr>
            <w:tcW w:w="5940" w:type="dxa"/>
            <w:shd w:val="clear" w:color="auto" w:fill="auto"/>
          </w:tcPr>
          <w:p w14:paraId="6B303D3B" w14:textId="77777777" w:rsidR="00260D3D" w:rsidRPr="006457E7" w:rsidRDefault="00260D3D" w:rsidP="009E189A">
            <w:pPr>
              <w:pStyle w:val="Tabletext"/>
              <w:rPr>
                <w:noProof/>
              </w:rPr>
            </w:pPr>
            <w:r w:rsidRPr="006457E7">
              <w:rPr>
                <w:noProof/>
              </w:rPr>
              <w:t>Assumption based on Cheung et al, 2009</w:t>
            </w:r>
          </w:p>
        </w:tc>
      </w:tr>
      <w:tr w:rsidR="00260D3D" w:rsidRPr="006457E7" w14:paraId="091D1A44" w14:textId="77777777" w:rsidTr="009E189A">
        <w:tc>
          <w:tcPr>
            <w:tcW w:w="3238" w:type="dxa"/>
            <w:shd w:val="clear" w:color="auto" w:fill="auto"/>
          </w:tcPr>
          <w:p w14:paraId="761E5F08" w14:textId="77777777" w:rsidR="00260D3D" w:rsidRPr="006457E7" w:rsidRDefault="00260D3D" w:rsidP="009E189A">
            <w:pPr>
              <w:pStyle w:val="Tabletext"/>
              <w:rPr>
                <w:noProof/>
              </w:rPr>
            </w:pPr>
            <w:r w:rsidRPr="006457E7">
              <w:rPr>
                <w:noProof/>
              </w:rPr>
              <w:t xml:space="preserve">Cost of IV removals </w:t>
            </w:r>
          </w:p>
        </w:tc>
        <w:tc>
          <w:tcPr>
            <w:tcW w:w="3782" w:type="dxa"/>
            <w:shd w:val="clear" w:color="auto" w:fill="auto"/>
          </w:tcPr>
          <w:p w14:paraId="0630AED8" w14:textId="77777777" w:rsidR="00260D3D" w:rsidRPr="006457E7" w:rsidRDefault="00260D3D" w:rsidP="009E189A">
            <w:pPr>
              <w:pStyle w:val="Tabletext"/>
              <w:rPr>
                <w:noProof/>
              </w:rPr>
            </w:pPr>
            <w:r w:rsidRPr="006457E7">
              <w:rPr>
                <w:noProof/>
              </w:rPr>
              <w:t xml:space="preserve">Annual number of removals: 13 only for peripheral line (0 for other methods) </w:t>
            </w:r>
          </w:p>
          <w:p w14:paraId="14B04E8B" w14:textId="77777777" w:rsidR="00260D3D" w:rsidRPr="006457E7" w:rsidRDefault="00260D3D" w:rsidP="009E189A">
            <w:pPr>
              <w:pStyle w:val="Tabletext"/>
              <w:rPr>
                <w:noProof/>
              </w:rPr>
            </w:pPr>
            <w:r w:rsidRPr="006457E7">
              <w:rPr>
                <w:noProof/>
              </w:rPr>
              <w:t xml:space="preserve">Cost per removal $76.15 </w:t>
            </w:r>
          </w:p>
        </w:tc>
        <w:tc>
          <w:tcPr>
            <w:tcW w:w="5940" w:type="dxa"/>
            <w:shd w:val="clear" w:color="auto" w:fill="auto"/>
          </w:tcPr>
          <w:p w14:paraId="4AC1D534" w14:textId="77777777" w:rsidR="00260D3D" w:rsidRPr="006457E7" w:rsidRDefault="00260D3D" w:rsidP="009E189A">
            <w:pPr>
              <w:pStyle w:val="Tabletext"/>
              <w:rPr>
                <w:noProof/>
              </w:rPr>
            </w:pPr>
            <w:r w:rsidRPr="006457E7">
              <w:rPr>
                <w:noProof/>
              </w:rPr>
              <w:t xml:space="preserve">Unit cost: Centers for Medicare and Medicaid Services, 2020; number of removals: assumption </w:t>
            </w:r>
          </w:p>
        </w:tc>
      </w:tr>
      <w:tr w:rsidR="00260D3D" w:rsidRPr="006457E7" w14:paraId="5FBB71BD" w14:textId="77777777" w:rsidTr="009E189A">
        <w:tc>
          <w:tcPr>
            <w:tcW w:w="12960" w:type="dxa"/>
            <w:gridSpan w:val="3"/>
            <w:shd w:val="clear" w:color="auto" w:fill="auto"/>
          </w:tcPr>
          <w:p w14:paraId="3C85452C" w14:textId="77777777" w:rsidR="00260D3D" w:rsidRPr="006457E7" w:rsidRDefault="00260D3D" w:rsidP="009E189A">
            <w:pPr>
              <w:pStyle w:val="Tabletext"/>
              <w:rPr>
                <w:b/>
                <w:bCs/>
                <w:noProof/>
              </w:rPr>
            </w:pPr>
            <w:r w:rsidRPr="006457E7">
              <w:rPr>
                <w:b/>
                <w:bCs/>
                <w:noProof/>
              </w:rPr>
              <w:t>Inputs for estimating costs of adverse events</w:t>
            </w:r>
          </w:p>
        </w:tc>
      </w:tr>
      <w:tr w:rsidR="00260D3D" w:rsidRPr="006457E7" w14:paraId="5EAD31D4" w14:textId="77777777" w:rsidTr="009E189A">
        <w:tc>
          <w:tcPr>
            <w:tcW w:w="3238" w:type="dxa"/>
            <w:shd w:val="clear" w:color="auto" w:fill="auto"/>
          </w:tcPr>
          <w:p w14:paraId="350747D0" w14:textId="77777777" w:rsidR="00260D3D" w:rsidRPr="006457E7" w:rsidRDefault="00260D3D" w:rsidP="009E189A">
            <w:pPr>
              <w:pStyle w:val="Tabletext"/>
              <w:rPr>
                <w:noProof/>
              </w:rPr>
            </w:pPr>
            <w:r w:rsidRPr="006457E7">
              <w:rPr>
                <w:noProof/>
              </w:rPr>
              <w:t>Injection-site infection</w:t>
            </w:r>
          </w:p>
        </w:tc>
        <w:tc>
          <w:tcPr>
            <w:tcW w:w="3782" w:type="dxa"/>
            <w:shd w:val="clear" w:color="auto" w:fill="auto"/>
          </w:tcPr>
          <w:p w14:paraId="735ABC78" w14:textId="77777777" w:rsidR="00260D3D" w:rsidRPr="006457E7" w:rsidRDefault="00260D3D" w:rsidP="009E189A">
            <w:pPr>
              <w:pStyle w:val="Tabletext"/>
              <w:rPr>
                <w:noProof/>
              </w:rPr>
            </w:pPr>
            <w:r w:rsidRPr="006457E7">
              <w:rPr>
                <w:noProof/>
              </w:rPr>
              <w:t xml:space="preserve">0.55%, $23,725.28 per case </w:t>
            </w:r>
          </w:p>
        </w:tc>
        <w:tc>
          <w:tcPr>
            <w:tcW w:w="5940" w:type="dxa"/>
            <w:vMerge w:val="restart"/>
            <w:shd w:val="clear" w:color="auto" w:fill="auto"/>
          </w:tcPr>
          <w:p w14:paraId="7AFD337D" w14:textId="77777777" w:rsidR="00260D3D" w:rsidRPr="006457E7" w:rsidRDefault="00260D3D" w:rsidP="009E189A">
            <w:pPr>
              <w:pStyle w:val="Tabletext"/>
              <w:rPr>
                <w:noProof/>
              </w:rPr>
            </w:pPr>
            <w:r w:rsidRPr="006457E7">
              <w:rPr>
                <w:noProof/>
              </w:rPr>
              <w:t>Incidence: Genge et al, 2020; cost per case: Agency for Healthcare Research and Quality, 2020</w:t>
            </w:r>
          </w:p>
        </w:tc>
      </w:tr>
      <w:tr w:rsidR="00260D3D" w:rsidRPr="006457E7" w14:paraId="3244B96C" w14:textId="77777777" w:rsidTr="009E189A">
        <w:tc>
          <w:tcPr>
            <w:tcW w:w="3238" w:type="dxa"/>
            <w:shd w:val="clear" w:color="auto" w:fill="auto"/>
          </w:tcPr>
          <w:p w14:paraId="355D6FC0" w14:textId="77777777" w:rsidR="00260D3D" w:rsidRPr="006457E7" w:rsidRDefault="00260D3D" w:rsidP="009E189A">
            <w:pPr>
              <w:pStyle w:val="Tabletext"/>
              <w:rPr>
                <w:noProof/>
              </w:rPr>
            </w:pPr>
            <w:r w:rsidRPr="006457E7">
              <w:rPr>
                <w:noProof/>
              </w:rPr>
              <w:lastRenderedPageBreak/>
              <w:t>Pulmonary embolism</w:t>
            </w:r>
          </w:p>
        </w:tc>
        <w:tc>
          <w:tcPr>
            <w:tcW w:w="3782" w:type="dxa"/>
            <w:shd w:val="clear" w:color="auto" w:fill="auto"/>
          </w:tcPr>
          <w:p w14:paraId="5C94FB81" w14:textId="77777777" w:rsidR="00260D3D" w:rsidRPr="006457E7" w:rsidRDefault="00260D3D" w:rsidP="009E189A">
            <w:pPr>
              <w:pStyle w:val="Tabletext"/>
              <w:rPr>
                <w:noProof/>
              </w:rPr>
            </w:pPr>
            <w:r w:rsidRPr="006457E7">
              <w:rPr>
                <w:noProof/>
              </w:rPr>
              <w:t xml:space="preserve">0.37%, $10,584.80 per case </w:t>
            </w:r>
          </w:p>
        </w:tc>
        <w:tc>
          <w:tcPr>
            <w:tcW w:w="5940" w:type="dxa"/>
            <w:vMerge/>
            <w:shd w:val="clear" w:color="auto" w:fill="auto"/>
          </w:tcPr>
          <w:p w14:paraId="5A816D23" w14:textId="77777777" w:rsidR="00260D3D" w:rsidRPr="006457E7" w:rsidRDefault="00260D3D" w:rsidP="009E189A">
            <w:pPr>
              <w:pStyle w:val="Tabletext"/>
              <w:rPr>
                <w:noProof/>
              </w:rPr>
            </w:pPr>
          </w:p>
        </w:tc>
      </w:tr>
      <w:tr w:rsidR="00260D3D" w:rsidRPr="006457E7" w14:paraId="4E91BB72" w14:textId="77777777" w:rsidTr="009E189A">
        <w:tc>
          <w:tcPr>
            <w:tcW w:w="3238" w:type="dxa"/>
            <w:shd w:val="clear" w:color="auto" w:fill="auto"/>
          </w:tcPr>
          <w:p w14:paraId="118A38AF" w14:textId="77777777" w:rsidR="00260D3D" w:rsidRPr="006457E7" w:rsidRDefault="00260D3D" w:rsidP="009E189A">
            <w:pPr>
              <w:pStyle w:val="Tabletext"/>
              <w:rPr>
                <w:noProof/>
              </w:rPr>
            </w:pPr>
            <w:r w:rsidRPr="006457E7">
              <w:rPr>
                <w:noProof/>
              </w:rPr>
              <w:t>Deep vein thrombosis</w:t>
            </w:r>
          </w:p>
        </w:tc>
        <w:tc>
          <w:tcPr>
            <w:tcW w:w="3782" w:type="dxa"/>
            <w:shd w:val="clear" w:color="auto" w:fill="auto"/>
          </w:tcPr>
          <w:p w14:paraId="7EAD39E2" w14:textId="77777777" w:rsidR="00260D3D" w:rsidRPr="006457E7" w:rsidRDefault="00260D3D" w:rsidP="009E189A">
            <w:pPr>
              <w:pStyle w:val="Tabletext"/>
              <w:rPr>
                <w:noProof/>
              </w:rPr>
            </w:pPr>
            <w:r w:rsidRPr="006457E7">
              <w:rPr>
                <w:noProof/>
              </w:rPr>
              <w:t xml:space="preserve">0.37%, $10,420.81 per case </w:t>
            </w:r>
          </w:p>
        </w:tc>
        <w:tc>
          <w:tcPr>
            <w:tcW w:w="5940" w:type="dxa"/>
            <w:vMerge/>
            <w:shd w:val="clear" w:color="auto" w:fill="auto"/>
          </w:tcPr>
          <w:p w14:paraId="569288AA" w14:textId="77777777" w:rsidR="00260D3D" w:rsidRPr="006457E7" w:rsidRDefault="00260D3D" w:rsidP="009E189A">
            <w:pPr>
              <w:pStyle w:val="Tabletext"/>
              <w:rPr>
                <w:noProof/>
              </w:rPr>
            </w:pPr>
          </w:p>
        </w:tc>
      </w:tr>
      <w:tr w:rsidR="00260D3D" w:rsidRPr="006457E7" w14:paraId="355AF939" w14:textId="77777777" w:rsidTr="009E189A">
        <w:tc>
          <w:tcPr>
            <w:tcW w:w="12960" w:type="dxa"/>
            <w:gridSpan w:val="3"/>
            <w:shd w:val="clear" w:color="auto" w:fill="auto"/>
          </w:tcPr>
          <w:p w14:paraId="47D0EE83" w14:textId="77777777" w:rsidR="00260D3D" w:rsidRPr="006457E7" w:rsidRDefault="00260D3D" w:rsidP="009E189A">
            <w:pPr>
              <w:pStyle w:val="Tabletext"/>
              <w:rPr>
                <w:b/>
                <w:bCs/>
                <w:noProof/>
              </w:rPr>
            </w:pPr>
            <w:r w:rsidRPr="006457E7">
              <w:rPr>
                <w:b/>
                <w:bCs/>
                <w:noProof/>
              </w:rPr>
              <w:t xml:space="preserve">Inputs for estimating indirect costs </w:t>
            </w:r>
          </w:p>
        </w:tc>
      </w:tr>
      <w:tr w:rsidR="00260D3D" w:rsidRPr="006457E7" w14:paraId="4E04C625" w14:textId="77777777" w:rsidTr="009E189A">
        <w:tc>
          <w:tcPr>
            <w:tcW w:w="3238" w:type="dxa"/>
            <w:shd w:val="clear" w:color="auto" w:fill="auto"/>
          </w:tcPr>
          <w:p w14:paraId="7E17CD2E" w14:textId="77777777" w:rsidR="00260D3D" w:rsidRPr="006457E7" w:rsidRDefault="00260D3D" w:rsidP="009E189A">
            <w:pPr>
              <w:pStyle w:val="Tabletext"/>
              <w:rPr>
                <w:noProof/>
              </w:rPr>
            </w:pPr>
            <w:r w:rsidRPr="006457E7">
              <w:rPr>
                <w:noProof/>
              </w:rPr>
              <w:t>Time lost for IV administration</w:t>
            </w:r>
          </w:p>
        </w:tc>
        <w:tc>
          <w:tcPr>
            <w:tcW w:w="3782" w:type="dxa"/>
            <w:shd w:val="clear" w:color="auto" w:fill="auto"/>
          </w:tcPr>
          <w:p w14:paraId="722756DE" w14:textId="77777777" w:rsidR="00260D3D" w:rsidRPr="006457E7" w:rsidRDefault="00260D3D" w:rsidP="009E189A">
            <w:pPr>
              <w:pStyle w:val="Tabletext"/>
              <w:rPr>
                <w:noProof/>
              </w:rPr>
            </w:pPr>
            <w:r w:rsidRPr="006457E7">
              <w:rPr>
                <w:noProof/>
              </w:rPr>
              <w:t xml:space="preserve">Home: 1 hour for each patient and caregiver </w:t>
            </w:r>
          </w:p>
          <w:p w14:paraId="6A3C77E9" w14:textId="77777777" w:rsidR="00260D3D" w:rsidRPr="006457E7" w:rsidRDefault="00260D3D" w:rsidP="009E189A">
            <w:pPr>
              <w:pStyle w:val="Tabletext"/>
              <w:rPr>
                <w:noProof/>
              </w:rPr>
            </w:pPr>
            <w:r w:rsidRPr="006457E7">
              <w:rPr>
                <w:noProof/>
              </w:rPr>
              <w:t xml:space="preserve">Office/hospital: 3.1 hour for each patient and caregiver </w:t>
            </w:r>
          </w:p>
        </w:tc>
        <w:tc>
          <w:tcPr>
            <w:tcW w:w="5940" w:type="dxa"/>
            <w:vMerge w:val="restart"/>
            <w:shd w:val="clear" w:color="auto" w:fill="auto"/>
          </w:tcPr>
          <w:p w14:paraId="2CD109D3" w14:textId="77777777" w:rsidR="00260D3D" w:rsidRPr="006457E7" w:rsidRDefault="00260D3D" w:rsidP="009E189A">
            <w:pPr>
              <w:pStyle w:val="Tabletext"/>
              <w:rPr>
                <w:noProof/>
              </w:rPr>
            </w:pPr>
            <w:r w:rsidRPr="006457E7">
              <w:rPr>
                <w:noProof/>
              </w:rPr>
              <w:t>1 hour based on the time required for R</w:t>
            </w:r>
            <w:r>
              <w:rPr>
                <w:noProof/>
              </w:rPr>
              <w:t>adicava</w:t>
            </w:r>
            <w:r w:rsidRPr="006457E7">
              <w:rPr>
                <w:noProof/>
              </w:rPr>
              <w:t xml:space="preserve"> infusion (R</w:t>
            </w:r>
            <w:r>
              <w:rPr>
                <w:noProof/>
              </w:rPr>
              <w:t>adicava</w:t>
            </w:r>
            <w:r w:rsidRPr="006457E7">
              <w:rPr>
                <w:noProof/>
              </w:rPr>
              <w:t xml:space="preserve"> prescribing information, 2018); 3.1 hours based on a previous publication on time to travel (1 hour- Jensen et al, 2016) plus 1 hour for the insertion procedure (Mayo Clinic, 2020) plus 1.1 hours for wait time for the procedure (Kallen et al, 2012) </w:t>
            </w:r>
          </w:p>
          <w:p w14:paraId="6A72B7DF" w14:textId="77777777" w:rsidR="00260D3D" w:rsidRPr="006457E7" w:rsidRDefault="00260D3D" w:rsidP="009E189A">
            <w:pPr>
              <w:pStyle w:val="Tabletext"/>
              <w:rPr>
                <w:noProof/>
              </w:rPr>
            </w:pPr>
            <w:r w:rsidRPr="006457E7">
              <w:rPr>
                <w:noProof/>
              </w:rPr>
              <w:t>Patients with port lines are assumed to lose 1 full day for rest and recovery (University Health Network, 2020; University of Washington Medicine, 2020)</w:t>
            </w:r>
          </w:p>
        </w:tc>
      </w:tr>
      <w:tr w:rsidR="00260D3D" w:rsidRPr="006457E7" w14:paraId="165F9E0B" w14:textId="77777777" w:rsidTr="009E189A">
        <w:tc>
          <w:tcPr>
            <w:tcW w:w="3238" w:type="dxa"/>
            <w:shd w:val="clear" w:color="auto" w:fill="auto"/>
          </w:tcPr>
          <w:p w14:paraId="28325501" w14:textId="77777777" w:rsidR="00260D3D" w:rsidRPr="006457E7" w:rsidRDefault="00260D3D" w:rsidP="009E189A">
            <w:pPr>
              <w:pStyle w:val="Tabletext"/>
              <w:rPr>
                <w:noProof/>
              </w:rPr>
            </w:pPr>
            <w:r w:rsidRPr="006457E7">
              <w:rPr>
                <w:noProof/>
              </w:rPr>
              <w:t xml:space="preserve">Time lost for each IV insertion visit </w:t>
            </w:r>
          </w:p>
        </w:tc>
        <w:tc>
          <w:tcPr>
            <w:tcW w:w="3782" w:type="dxa"/>
            <w:shd w:val="clear" w:color="auto" w:fill="auto"/>
          </w:tcPr>
          <w:p w14:paraId="2DF3DFDB" w14:textId="77777777" w:rsidR="00260D3D" w:rsidRPr="006457E7" w:rsidRDefault="00260D3D" w:rsidP="009E189A">
            <w:pPr>
              <w:pStyle w:val="Tabletext"/>
              <w:rPr>
                <w:noProof/>
              </w:rPr>
            </w:pPr>
            <w:r w:rsidRPr="006457E7">
              <w:rPr>
                <w:noProof/>
              </w:rPr>
              <w:t>Peripheral and PICC line: 3.1 hours for each patient and caregiver</w:t>
            </w:r>
          </w:p>
          <w:p w14:paraId="7FDF9BE3" w14:textId="77777777" w:rsidR="00260D3D" w:rsidRPr="006457E7" w:rsidRDefault="00260D3D" w:rsidP="009E189A">
            <w:pPr>
              <w:pStyle w:val="Tabletext"/>
              <w:rPr>
                <w:noProof/>
              </w:rPr>
            </w:pPr>
            <w:r w:rsidRPr="006457E7">
              <w:rPr>
                <w:noProof/>
              </w:rPr>
              <w:t>Port: 8 hours for each patient and caregiver</w:t>
            </w:r>
          </w:p>
        </w:tc>
        <w:tc>
          <w:tcPr>
            <w:tcW w:w="5940" w:type="dxa"/>
            <w:vMerge/>
            <w:shd w:val="clear" w:color="auto" w:fill="auto"/>
          </w:tcPr>
          <w:p w14:paraId="406C50AC" w14:textId="77777777" w:rsidR="00260D3D" w:rsidRPr="006457E7" w:rsidRDefault="00260D3D" w:rsidP="009E189A">
            <w:pPr>
              <w:pStyle w:val="Tabletext"/>
              <w:rPr>
                <w:noProof/>
              </w:rPr>
            </w:pPr>
          </w:p>
        </w:tc>
      </w:tr>
      <w:tr w:rsidR="00260D3D" w:rsidRPr="006457E7" w14:paraId="0D12DADF" w14:textId="77777777" w:rsidTr="009E189A">
        <w:tc>
          <w:tcPr>
            <w:tcW w:w="3238" w:type="dxa"/>
            <w:shd w:val="clear" w:color="auto" w:fill="auto"/>
          </w:tcPr>
          <w:p w14:paraId="6D3ED161" w14:textId="77777777" w:rsidR="00260D3D" w:rsidRPr="006457E7" w:rsidRDefault="00260D3D" w:rsidP="009E189A">
            <w:pPr>
              <w:pStyle w:val="Tabletext"/>
              <w:rPr>
                <w:noProof/>
              </w:rPr>
            </w:pPr>
            <w:r w:rsidRPr="006457E7">
              <w:rPr>
                <w:noProof/>
              </w:rPr>
              <w:t xml:space="preserve">Wage lost </w:t>
            </w:r>
          </w:p>
        </w:tc>
        <w:tc>
          <w:tcPr>
            <w:tcW w:w="3782" w:type="dxa"/>
            <w:shd w:val="clear" w:color="auto" w:fill="auto"/>
          </w:tcPr>
          <w:p w14:paraId="1DF357B9" w14:textId="77777777" w:rsidR="00260D3D" w:rsidRPr="006457E7" w:rsidRDefault="00260D3D" w:rsidP="009E189A">
            <w:pPr>
              <w:pStyle w:val="Tabletext"/>
              <w:rPr>
                <w:noProof/>
              </w:rPr>
            </w:pPr>
            <w:r w:rsidRPr="006457E7">
              <w:rPr>
                <w:noProof/>
              </w:rPr>
              <w:t xml:space="preserve">Percentage of patients and caregivers who are employed: 15% </w:t>
            </w:r>
          </w:p>
          <w:p w14:paraId="1B7913D3" w14:textId="77777777" w:rsidR="00260D3D" w:rsidRPr="006457E7" w:rsidRDefault="00260D3D" w:rsidP="009E189A">
            <w:pPr>
              <w:pStyle w:val="Tabletext"/>
              <w:rPr>
                <w:noProof/>
              </w:rPr>
            </w:pPr>
            <w:r w:rsidRPr="006457E7">
              <w:rPr>
                <w:noProof/>
              </w:rPr>
              <w:t xml:space="preserve">Hourly wage: $27.04 </w:t>
            </w:r>
          </w:p>
        </w:tc>
        <w:tc>
          <w:tcPr>
            <w:tcW w:w="5940" w:type="dxa"/>
            <w:shd w:val="clear" w:color="auto" w:fill="auto"/>
          </w:tcPr>
          <w:p w14:paraId="0EFA414C" w14:textId="77777777" w:rsidR="00260D3D" w:rsidRPr="006457E7" w:rsidRDefault="00260D3D" w:rsidP="009E189A">
            <w:pPr>
              <w:pStyle w:val="Tabletext"/>
              <w:rPr>
                <w:noProof/>
              </w:rPr>
            </w:pPr>
            <w:r w:rsidRPr="006457E7">
              <w:rPr>
                <w:noProof/>
              </w:rPr>
              <w:t xml:space="preserve">Employment rate for ALS patients: Mehta et al, 2014, assumption for a similar employment rate for caregivers </w:t>
            </w:r>
          </w:p>
          <w:p w14:paraId="31A7CA91" w14:textId="77777777" w:rsidR="00260D3D" w:rsidRPr="006457E7" w:rsidRDefault="00260D3D" w:rsidP="009E189A">
            <w:pPr>
              <w:pStyle w:val="Tabletext"/>
              <w:rPr>
                <w:noProof/>
              </w:rPr>
            </w:pPr>
            <w:r w:rsidRPr="006457E7">
              <w:rPr>
                <w:noProof/>
              </w:rPr>
              <w:t>Wage: The average wage amoung the general population in the age group of typical ALS patients (United States Bureau of Labor Statistics, 2020)</w:t>
            </w:r>
          </w:p>
        </w:tc>
      </w:tr>
    </w:tbl>
    <w:p w14:paraId="27634759" w14:textId="77777777" w:rsidR="00260D3D" w:rsidRPr="006457E7" w:rsidRDefault="00260D3D" w:rsidP="00260D3D">
      <w:pPr>
        <w:pStyle w:val="tabfignote"/>
        <w:rPr>
          <w:b/>
          <w:noProof/>
        </w:rPr>
      </w:pPr>
      <w:r w:rsidRPr="006457E7">
        <w:rPr>
          <w:b/>
          <w:noProof/>
        </w:rPr>
        <w:t xml:space="preserve">Abbreviations: </w:t>
      </w:r>
      <w:r w:rsidRPr="006457E7">
        <w:t>ALS, amyotrophic lateral sclerosis;</w:t>
      </w:r>
      <w:r w:rsidRPr="006457E7">
        <w:rPr>
          <w:b/>
          <w:noProof/>
        </w:rPr>
        <w:t xml:space="preserve"> </w:t>
      </w:r>
      <w:r w:rsidRPr="006457E7">
        <w:rPr>
          <w:noProof/>
        </w:rPr>
        <w:t xml:space="preserve">IV, intravenous; PICC, </w:t>
      </w:r>
      <w:r w:rsidRPr="006457E7">
        <w:t>peripherally inserted central catheter.</w:t>
      </w:r>
    </w:p>
    <w:p w14:paraId="26B4ECDD" w14:textId="77777777" w:rsidR="00260D3D" w:rsidRPr="006457E7" w:rsidRDefault="00260D3D" w:rsidP="00260D3D">
      <w:pPr>
        <w:spacing w:line="240" w:lineRule="auto"/>
        <w:rPr>
          <w:rFonts w:cs="Arial"/>
          <w:b/>
          <w:bCs/>
          <w:noProof/>
        </w:rPr>
      </w:pPr>
    </w:p>
    <w:p w14:paraId="05EF915C" w14:textId="77777777" w:rsidR="00260D3D" w:rsidRPr="006457E7" w:rsidRDefault="00260D3D" w:rsidP="00260D3D">
      <w:pPr>
        <w:spacing w:line="240" w:lineRule="auto"/>
        <w:rPr>
          <w:rFonts w:cs="Arial"/>
          <w:b/>
          <w:bCs/>
          <w:noProof/>
        </w:rPr>
        <w:sectPr w:rsidR="00260D3D" w:rsidRPr="006457E7" w:rsidSect="00A34BD2">
          <w:pgSz w:w="15840" w:h="12240" w:orient="landscape"/>
          <w:pgMar w:top="1800" w:right="1440" w:bottom="1800" w:left="1440" w:header="720" w:footer="720" w:gutter="0"/>
          <w:cols w:space="720"/>
          <w:titlePg/>
          <w:docGrid w:linePitch="360"/>
        </w:sectPr>
      </w:pPr>
    </w:p>
    <w:p w14:paraId="52A83D4E" w14:textId="77777777" w:rsidR="00260D3D" w:rsidRPr="006457E7" w:rsidRDefault="00260D3D" w:rsidP="00260D3D">
      <w:pPr>
        <w:pStyle w:val="Heading1"/>
        <w:rPr>
          <w:noProof/>
        </w:rPr>
      </w:pPr>
      <w:r w:rsidRPr="006457E7">
        <w:rPr>
          <w:noProof/>
        </w:rPr>
        <w:lastRenderedPageBreak/>
        <w:t xml:space="preserve">Supplementary References  </w:t>
      </w:r>
    </w:p>
    <w:p w14:paraId="1B44ACBC" w14:textId="77777777" w:rsidR="00260D3D" w:rsidRPr="006457E7" w:rsidRDefault="00260D3D" w:rsidP="00260D3D">
      <w:pPr>
        <w:spacing w:line="240" w:lineRule="auto"/>
        <w:rPr>
          <w:rFonts w:cs="Arial"/>
          <w:b/>
          <w:bCs/>
          <w:noProof/>
        </w:rPr>
      </w:pPr>
    </w:p>
    <w:p w14:paraId="34A36224" w14:textId="77777777" w:rsidR="00260D3D" w:rsidRPr="006457E7" w:rsidRDefault="00260D3D" w:rsidP="00260D3D">
      <w:pPr>
        <w:pStyle w:val="Supplreference"/>
      </w:pPr>
      <w:r w:rsidRPr="006457E7">
        <w:t>Agency for Healthcare Research and Quality. HCUPnet: Healthcare Cost and Utilization Project. 2020. Available at: https://hcupnet.ahrq.gov/#setup. Accessed May 20, 2020.</w:t>
      </w:r>
    </w:p>
    <w:p w14:paraId="7AF8E19B" w14:textId="77777777" w:rsidR="00260D3D" w:rsidRPr="006457E7" w:rsidRDefault="00260D3D" w:rsidP="00260D3D">
      <w:pPr>
        <w:pStyle w:val="Supplreference"/>
      </w:pPr>
      <w:r w:rsidRPr="006457E7">
        <w:t>Centers for Medicare and Medicaid Services. Physician fee schedule look-up. April 3, 2020a. Available at: https://www.cms.gov/apps/physician-fee-schedule/overview.aspx. Accessed May 20, 2020.</w:t>
      </w:r>
    </w:p>
    <w:p w14:paraId="38F3F20B" w14:textId="77777777" w:rsidR="00260D3D" w:rsidRPr="006457E7" w:rsidRDefault="00260D3D" w:rsidP="00260D3D">
      <w:pPr>
        <w:pStyle w:val="Supplreference"/>
      </w:pPr>
      <w:r w:rsidRPr="006457E7">
        <w:t>Cheung E, Baerlocher MO, Asch M, Myers A. Venous access: a practical review for 2009. Can Fam Physician. 2009 May 1;55(5):494-6.</w:t>
      </w:r>
    </w:p>
    <w:p w14:paraId="019957DB" w14:textId="77777777" w:rsidR="00260D3D" w:rsidRPr="006457E7" w:rsidRDefault="00260D3D" w:rsidP="00260D3D">
      <w:pPr>
        <w:pStyle w:val="Supplreference"/>
      </w:pPr>
      <w:r w:rsidRPr="006457E7">
        <w:t>Genge, A, Brooks BR, Osakarsson B, Kalin A, Ji M, Agnese W, et al. Analysis of the US safety data for Radicava® (edaravone): findings from postmarketing pharmacovigilance during the first year after launch. Manuscript submitted for publication.</w:t>
      </w:r>
    </w:p>
    <w:p w14:paraId="72CC2773" w14:textId="77777777" w:rsidR="00260D3D" w:rsidRPr="006457E7" w:rsidRDefault="00260D3D" w:rsidP="00260D3D">
      <w:pPr>
        <w:pStyle w:val="Supplreference"/>
      </w:pPr>
      <w:r w:rsidRPr="006457E7">
        <w:t>Jackson C, Heiman-Patterson T, Kittrell P, Baranovsky T, McAnanama G, Bower L, et al. Radicava (edaravone) for amyotrophic lateral sclerosis: US experience at 1 year after launch. Amyotroph Lateral Scler Frontotemporal Degener. 2019 Oct 2;20(7-8):605-10.</w:t>
      </w:r>
    </w:p>
    <w:p w14:paraId="1D125E24" w14:textId="77777777" w:rsidR="00260D3D" w:rsidRPr="006457E7" w:rsidRDefault="00260D3D" w:rsidP="00260D3D">
      <w:pPr>
        <w:pStyle w:val="Supplreference"/>
      </w:pPr>
      <w:r w:rsidRPr="006457E7">
        <w:t>Jensen IS, Zacherle E, Blanchette CM, Zhang J, Yin W. Evaluating cost benefits of combination therapies for advanced melanoma. Drugs Context. 2016;5.</w:t>
      </w:r>
    </w:p>
    <w:p w14:paraId="64B257BA" w14:textId="77777777" w:rsidR="00260D3D" w:rsidRPr="006457E7" w:rsidRDefault="00260D3D" w:rsidP="00260D3D">
      <w:pPr>
        <w:pStyle w:val="Supplreference"/>
      </w:pPr>
      <w:r w:rsidRPr="006457E7">
        <w:t>Kallen MA, Terrell JA, Lewis-Patterson P, Hwang JP. Improving wait time for chemotherapy in an outpatient clinic at a comprehensive cancer center. J Oncol Pract. 2012 Jan;8(1):e1-7.</w:t>
      </w:r>
    </w:p>
    <w:p w14:paraId="28DC73CE" w14:textId="77777777" w:rsidR="00260D3D" w:rsidRPr="006457E7" w:rsidRDefault="00260D3D" w:rsidP="00260D3D">
      <w:pPr>
        <w:pStyle w:val="Supplreference"/>
      </w:pPr>
      <w:r w:rsidRPr="006457E7">
        <w:t>Mayo Clinic. Peripherally inserted central catheter (PICC) line. 2020. Available at: https://www.mayoclinic.org/tests-procedures/picc-line/about/pac-20468748. Accessed May 20, 2020.</w:t>
      </w:r>
    </w:p>
    <w:p w14:paraId="2C537BA1" w14:textId="77777777" w:rsidR="00260D3D" w:rsidRPr="006457E7" w:rsidRDefault="00260D3D" w:rsidP="00260D3D">
      <w:pPr>
        <w:pStyle w:val="Supplreference"/>
      </w:pPr>
      <w:r w:rsidRPr="006457E7">
        <w:t>RADICAVA prescribing information. Jersey City, NJ: MT Pharma America, Inc; 2018.</w:t>
      </w:r>
    </w:p>
    <w:p w14:paraId="19BAA881" w14:textId="77777777" w:rsidR="00260D3D" w:rsidRPr="006457E7" w:rsidRDefault="00260D3D" w:rsidP="00260D3D">
      <w:pPr>
        <w:pStyle w:val="Supplreference"/>
      </w:pPr>
      <w:r w:rsidRPr="006457E7">
        <w:t>University Health Network. What to expect when getting an implanted port. 2020. Available at: https://www.uhn.ca/PatientsFamilies/Health_Information/Health_Topics/Documents/What_to_Expect_When_Getting_Port-a-Cath.pdf. Accessed May 20, 2020.</w:t>
      </w:r>
    </w:p>
    <w:p w14:paraId="28DF2E9D" w14:textId="77777777" w:rsidR="00260D3D" w:rsidRPr="006457E7" w:rsidRDefault="00260D3D" w:rsidP="00260D3D">
      <w:pPr>
        <w:pStyle w:val="Supplreference"/>
      </w:pPr>
      <w:r w:rsidRPr="006457E7">
        <w:lastRenderedPageBreak/>
        <w:t>University of Washington Medicine. Angiography: chest port. 2020. Available at: https://www.uwmedicine.org/sites/default/files/2018-10/181019_Radiology_Preps_Angiography-Chest-Port.pdf. Accessed May 20, 2020.</w:t>
      </w:r>
    </w:p>
    <w:p w14:paraId="150BF708" w14:textId="77777777" w:rsidR="00260D3D" w:rsidRPr="006457E7" w:rsidRDefault="00260D3D" w:rsidP="00260D3D">
      <w:pPr>
        <w:pStyle w:val="Supplreference"/>
      </w:pPr>
      <w:r w:rsidRPr="006457E7">
        <w:t>US Bureau of Labor Statistics (BLS). Databases, Tables &amp; Calculators by Subject: CPI for All Urban Consumers (CPI-U). Series Title: Medical care in US city average, all urban consumers, not seasonally adjusted; 2019. Available at: https://data.bls.gov/timeseries/CUUR0000SAM?output_view=data. Accessed July 1, 2019.</w:t>
      </w:r>
      <w:r w:rsidRPr="006457E7">
        <w:tab/>
      </w:r>
    </w:p>
    <w:p w14:paraId="0710B804" w14:textId="77777777" w:rsidR="00260D3D" w:rsidRPr="006457E7" w:rsidRDefault="00260D3D" w:rsidP="00260D3D">
      <w:pPr>
        <w:ind w:left="720" w:hanging="720"/>
        <w:rPr>
          <w:noProof/>
        </w:rPr>
      </w:pPr>
      <w:r w:rsidRPr="006457E7">
        <w:rPr>
          <w:noProof/>
        </w:rPr>
        <w:t>Washington State Department of Labor and Industries. Patient Care. Fee Schedule Lookup. Year 2019. Available at: https://lni.wa.gov/patient-care/billing-payments/fee-schedules-and-payment-policies/fee-schedule#/. Accessed May 20, 2020.</w:t>
      </w:r>
    </w:p>
    <w:p w14:paraId="68B1E3AE" w14:textId="77777777" w:rsidR="0042328A" w:rsidRDefault="0042328A"/>
    <w:sectPr w:rsidR="0042328A" w:rsidSect="00A34BD2"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D3D"/>
    <w:rsid w:val="00012A51"/>
    <w:rsid w:val="00143D3A"/>
    <w:rsid w:val="00260D3D"/>
    <w:rsid w:val="0042328A"/>
    <w:rsid w:val="008C7CD4"/>
    <w:rsid w:val="00A521E8"/>
    <w:rsid w:val="00BF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13BB0"/>
  <w15:chartTrackingRefBased/>
  <w15:docId w15:val="{78C497D8-2D7F-4B73-BB29-CBA25CE96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D3D"/>
    <w:pPr>
      <w:spacing w:after="0" w:line="480" w:lineRule="auto"/>
    </w:pPr>
    <w:rPr>
      <w:rFonts w:ascii="Arial" w:eastAsia="Times New Roman" w:hAnsi="Arial" w:cs="Times New Roman"/>
      <w:sz w:val="2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60D3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0D3D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table" w:styleId="TableGridLight">
    <w:name w:val="Grid Table Light"/>
    <w:basedOn w:val="TableNormal"/>
    <w:uiPriority w:val="40"/>
    <w:rsid w:val="00260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fignote">
    <w:name w:val="tab/fig note"/>
    <w:qFormat/>
    <w:rsid w:val="00260D3D"/>
    <w:pPr>
      <w:keepLines/>
      <w:spacing w:before="120" w:after="0" w:line="360" w:lineRule="auto"/>
    </w:pPr>
    <w:rPr>
      <w:rFonts w:ascii="Arial" w:eastAsia="Times New Roman" w:hAnsi="Arial" w:cs="Times New Roman"/>
      <w:sz w:val="18"/>
      <w:szCs w:val="20"/>
      <w:lang w:eastAsia="en-US"/>
    </w:rPr>
  </w:style>
  <w:style w:type="paragraph" w:customStyle="1" w:styleId="tabfigtitle">
    <w:name w:val="tab/fig title"/>
    <w:basedOn w:val="Normal"/>
    <w:rsid w:val="00260D3D"/>
    <w:pPr>
      <w:keepNext/>
      <w:keepLines/>
      <w:spacing w:before="120"/>
      <w:outlineLvl w:val="1"/>
    </w:pPr>
    <w:rPr>
      <w:b/>
      <w:szCs w:val="20"/>
    </w:rPr>
  </w:style>
  <w:style w:type="paragraph" w:customStyle="1" w:styleId="Tabletext">
    <w:name w:val="Table text"/>
    <w:qFormat/>
    <w:rsid w:val="00260D3D"/>
    <w:pPr>
      <w:spacing w:after="0" w:line="360" w:lineRule="auto"/>
    </w:pPr>
    <w:rPr>
      <w:rFonts w:ascii="Arial" w:eastAsia="Times New Roman" w:hAnsi="Arial" w:cs="Times New Roman"/>
      <w:sz w:val="18"/>
      <w:szCs w:val="20"/>
      <w:lang w:eastAsia="en-US"/>
    </w:rPr>
  </w:style>
  <w:style w:type="paragraph" w:customStyle="1" w:styleId="Tableheadings">
    <w:name w:val="Table headings"/>
    <w:basedOn w:val="Normal"/>
    <w:rsid w:val="00260D3D"/>
    <w:pPr>
      <w:spacing w:before="40" w:line="360" w:lineRule="auto"/>
      <w:jc w:val="center"/>
    </w:pPr>
    <w:rPr>
      <w:b/>
      <w:szCs w:val="20"/>
    </w:rPr>
  </w:style>
  <w:style w:type="paragraph" w:customStyle="1" w:styleId="Supplreference">
    <w:name w:val="Suppl reference"/>
    <w:basedOn w:val="Normal"/>
    <w:qFormat/>
    <w:rsid w:val="00260D3D"/>
    <w:pPr>
      <w:ind w:left="720" w:hanging="720"/>
      <w:contextualSpacing/>
    </w:pPr>
    <w:rPr>
      <w:rFonts w:cs="Arial"/>
      <w:noProof/>
    </w:rPr>
  </w:style>
  <w:style w:type="paragraph" w:styleId="Revision">
    <w:name w:val="Revision"/>
    <w:hidden/>
    <w:uiPriority w:val="99"/>
    <w:semiHidden/>
    <w:rsid w:val="00A521E8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827</Words>
  <Characters>4715</Characters>
  <Application>Microsoft Office Word</Application>
  <DocSecurity>0</DocSecurity>
  <Lines>39</Lines>
  <Paragraphs>11</Paragraphs>
  <ScaleCrop>false</ScaleCrop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Ronquest (she/her), Naoko</dc:creator>
  <cp:keywords/>
  <dc:description/>
  <cp:lastModifiedBy>Linda  Cooney</cp:lastModifiedBy>
  <cp:revision>3</cp:revision>
  <dcterms:created xsi:type="dcterms:W3CDTF">2022-04-15T19:25:00Z</dcterms:created>
  <dcterms:modified xsi:type="dcterms:W3CDTF">2022-05-25T21:56:00Z</dcterms:modified>
</cp:coreProperties>
</file>