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AE574" w14:textId="77777777" w:rsidR="004E6093" w:rsidRPr="00850508" w:rsidRDefault="00850508">
      <w:pPr>
        <w:widowControl w:val="0"/>
        <w:spacing w:after="0" w:line="360" w:lineRule="auto"/>
        <w:jc w:val="both"/>
        <w:rPr>
          <w:rFonts w:ascii="Arial Regular" w:hAnsi="Arial Regular" w:cs="Arial Regular"/>
          <w:color w:val="000000"/>
          <w:sz w:val="20"/>
          <w:szCs w:val="20"/>
        </w:rPr>
      </w:pPr>
      <w:r w:rsidRPr="00850508">
        <w:rPr>
          <w:rFonts w:ascii="Arial Regular" w:hAnsi="Arial Regular" w:cs="Arial Regular"/>
          <w:color w:val="000000"/>
          <w:sz w:val="20"/>
          <w:szCs w:val="20"/>
          <w:lang w:eastAsia="zh-CN" w:bidi="ar"/>
        </w:rPr>
        <w:t xml:space="preserve">Supplement figure 1: Trends of relative abundance of different gut microbiome in UC mice in different periods. (A and B) The difference genera of intestinal flora in mice at phylum (A) and genus (B) levels at different time points was analyzed. The graphs </w:t>
      </w:r>
      <w:r w:rsidRPr="00850508">
        <w:rPr>
          <w:rFonts w:ascii="Arial Regular" w:hAnsi="Arial Regular" w:cs="Arial Regular"/>
          <w:color w:val="000000"/>
          <w:sz w:val="20"/>
          <w:szCs w:val="20"/>
          <w:lang w:eastAsia="zh-CN" w:bidi="ar"/>
        </w:rPr>
        <w:t xml:space="preserve">are represented as mean±SD. </w:t>
      </w:r>
      <w:bookmarkStart w:id="0" w:name="OLE_LINK361"/>
      <w:bookmarkStart w:id="1" w:name="OLE_LINK362"/>
      <w:r w:rsidRPr="00850508">
        <w:rPr>
          <w:rFonts w:ascii="Arial Regular" w:hAnsi="Arial Regular" w:cs="Arial Regular"/>
          <w:color w:val="000000"/>
          <w:sz w:val="20"/>
          <w:szCs w:val="20"/>
          <w:vertAlign w:val="superscript"/>
          <w:lang w:eastAsia="zh-CN" w:bidi="ar"/>
        </w:rPr>
        <w:t xml:space="preserve">*,# </w:t>
      </w:r>
      <w:r w:rsidRPr="00850508">
        <w:rPr>
          <w:rFonts w:ascii="Arial Regular" w:hAnsi="Arial Regular" w:cs="Arial Regular"/>
          <w:color w:val="000000"/>
          <w:sz w:val="20"/>
          <w:szCs w:val="20"/>
          <w:lang w:eastAsia="zh-CN" w:bidi="ar"/>
        </w:rPr>
        <w:t xml:space="preserve">p&lt;0.05, </w:t>
      </w:r>
      <w:r w:rsidRPr="00850508">
        <w:rPr>
          <w:rFonts w:ascii="Arial Regular" w:hAnsi="Arial Regular" w:cs="Arial Regular"/>
          <w:color w:val="000000"/>
          <w:sz w:val="20"/>
          <w:szCs w:val="20"/>
          <w:vertAlign w:val="superscript"/>
          <w:lang w:eastAsia="zh-CN" w:bidi="ar"/>
        </w:rPr>
        <w:t xml:space="preserve">**,## </w:t>
      </w:r>
      <w:r w:rsidRPr="00850508">
        <w:rPr>
          <w:rFonts w:ascii="Arial Regular" w:hAnsi="Arial Regular" w:cs="Arial Regular"/>
          <w:color w:val="000000"/>
          <w:sz w:val="20"/>
          <w:szCs w:val="20"/>
          <w:lang w:eastAsia="zh-CN" w:bidi="ar"/>
        </w:rPr>
        <w:t>p&lt;0.01.</w:t>
      </w:r>
      <w:bookmarkEnd w:id="0"/>
      <w:bookmarkEnd w:id="1"/>
      <w:r w:rsidRPr="00850508">
        <w:rPr>
          <w:rFonts w:ascii="Arial Regular" w:hAnsi="Arial Regular" w:cs="Arial Regular"/>
          <w:color w:val="000000"/>
          <w:sz w:val="20"/>
          <w:szCs w:val="20"/>
          <w:lang w:eastAsia="zh-CN" w:bidi="ar"/>
        </w:rPr>
        <w:t xml:space="preserve"> </w:t>
      </w:r>
      <w:r w:rsidRPr="00850508">
        <w:rPr>
          <w:rFonts w:ascii="Arial Regular" w:hAnsi="Arial Regular" w:cs="Arial Regular"/>
          <w:color w:val="000000"/>
          <w:sz w:val="20"/>
          <w:szCs w:val="20"/>
          <w:vertAlign w:val="superscript"/>
          <w:lang w:eastAsia="zh-CN" w:bidi="ar"/>
        </w:rPr>
        <w:t>*</w:t>
      </w:r>
      <w:r w:rsidRPr="00850508">
        <w:rPr>
          <w:rFonts w:ascii="Arial Regular" w:hAnsi="Arial Regular" w:cs="Arial Regular"/>
          <w:color w:val="000000"/>
          <w:sz w:val="20"/>
          <w:szCs w:val="20"/>
          <w:lang w:eastAsia="zh-CN" w:bidi="ar"/>
        </w:rPr>
        <w:t xml:space="preserve">control and model 2.5. </w:t>
      </w:r>
      <w:r w:rsidRPr="00850508">
        <w:rPr>
          <w:rFonts w:ascii="Arial Regular" w:hAnsi="Arial Regular" w:cs="Arial Regular"/>
          <w:color w:val="000000"/>
          <w:sz w:val="20"/>
          <w:szCs w:val="20"/>
          <w:vertAlign w:val="superscript"/>
          <w:lang w:eastAsia="zh-CN" w:bidi="ar"/>
        </w:rPr>
        <w:t>#</w:t>
      </w:r>
      <w:r w:rsidRPr="00850508">
        <w:rPr>
          <w:rFonts w:ascii="Arial Regular" w:hAnsi="Arial Regular" w:cs="Arial Regular"/>
          <w:color w:val="000000"/>
          <w:sz w:val="20"/>
          <w:szCs w:val="20"/>
          <w:lang w:eastAsia="zh-CN" w:bidi="ar"/>
        </w:rPr>
        <w:t>control and model 3.0.</w:t>
      </w:r>
    </w:p>
    <w:p w14:paraId="7891784A" w14:textId="77777777" w:rsidR="004E6093" w:rsidRPr="00850508" w:rsidRDefault="00850508">
      <w:pPr>
        <w:widowControl w:val="0"/>
        <w:spacing w:after="0" w:line="360" w:lineRule="auto"/>
        <w:jc w:val="both"/>
        <w:rPr>
          <w:rFonts w:ascii="Arial Regular" w:hAnsi="Arial Regular" w:cs="Arial Regular"/>
          <w:color w:val="000000"/>
          <w:sz w:val="20"/>
          <w:szCs w:val="20"/>
        </w:rPr>
      </w:pPr>
      <w:r w:rsidRPr="00850508">
        <w:rPr>
          <w:rFonts w:ascii="Arial Regular" w:hAnsi="Arial Regular" w:cs="Arial Regular"/>
          <w:color w:val="000000"/>
          <w:sz w:val="20"/>
          <w:szCs w:val="20"/>
          <w:lang w:eastAsia="zh-CN" w:bidi="ar"/>
        </w:rPr>
        <w:t xml:space="preserve">Supplement Table 1: Results of correlation analysis between gut microbiome and inflammatory cytokines in UC mice. </w:t>
      </w:r>
      <w:r w:rsidRPr="00850508">
        <w:rPr>
          <w:rFonts w:ascii="Arial Regular" w:hAnsi="Arial Regular" w:cs="Arial Regular"/>
          <w:color w:val="000000"/>
          <w:sz w:val="20"/>
          <w:szCs w:val="20"/>
          <w:vertAlign w:val="superscript"/>
          <w:lang w:eastAsia="zh-CN" w:bidi="ar"/>
        </w:rPr>
        <w:t xml:space="preserve">* </w:t>
      </w:r>
      <w:r w:rsidRPr="00850508">
        <w:rPr>
          <w:rFonts w:ascii="Arial Regular" w:hAnsi="Arial Regular" w:cs="Arial Regular"/>
          <w:color w:val="000000"/>
          <w:sz w:val="20"/>
          <w:szCs w:val="20"/>
          <w:lang w:eastAsia="zh-CN" w:bidi="ar"/>
        </w:rPr>
        <w:t xml:space="preserve">p&lt;0.05, </w:t>
      </w:r>
      <w:r w:rsidRPr="00850508">
        <w:rPr>
          <w:rFonts w:ascii="Arial Regular" w:hAnsi="Arial Regular" w:cs="Arial Regular"/>
          <w:color w:val="000000"/>
          <w:sz w:val="20"/>
          <w:szCs w:val="20"/>
          <w:vertAlign w:val="superscript"/>
          <w:lang w:eastAsia="zh-CN" w:bidi="ar"/>
        </w:rPr>
        <w:t>**</w:t>
      </w:r>
      <w:r w:rsidRPr="00850508">
        <w:rPr>
          <w:rFonts w:ascii="Arial Regular" w:hAnsi="Arial Regular" w:cs="Arial Regular"/>
          <w:color w:val="000000"/>
          <w:sz w:val="20"/>
          <w:szCs w:val="20"/>
          <w:lang w:eastAsia="zh-CN" w:bidi="ar"/>
        </w:rPr>
        <w:t xml:space="preserve"> p&lt;0.01.</w:t>
      </w:r>
    </w:p>
    <w:p w14:paraId="7FC0B779" w14:textId="77777777" w:rsidR="004E6093" w:rsidRPr="00850508" w:rsidRDefault="004E6093">
      <w:pPr>
        <w:rPr>
          <w:color w:val="000000"/>
        </w:rPr>
      </w:pPr>
    </w:p>
    <w:sectPr w:rsidR="004E6093" w:rsidRPr="008505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Regular">
    <w:altName w:val="Arial"/>
    <w:charset w:val="00"/>
    <w:family w:val="auto"/>
    <w:pitch w:val="default"/>
    <w:sig w:usb0="E0000AFF" w:usb1="00007843" w:usb2="00000001" w:usb3="00000000" w:csb0="400001BF" w:csb1="DFF7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Formattin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E51F23E6"/>
    <w:rsid w:val="E51F23E6"/>
    <w:rsid w:val="004E6093"/>
    <w:rsid w:val="00850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9C76D9"/>
  <w15:docId w15:val="{EED560E9-77F5-44B6-BAB4-B26AB8774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480" w:lineRule="auto"/>
    </w:pPr>
    <w:rPr>
      <w:rFonts w:ascii="Arial" w:eastAsia="Times New Roman" w:hAnsi="Arial"/>
      <w:sz w:val="21"/>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73</Words>
  <Characters>421</Characters>
  <Application>Microsoft Office Word</Application>
  <DocSecurity>0</DocSecurity>
  <Lines>3</Lines>
  <Paragraphs>1</Paragraphs>
  <ScaleCrop>false</ScaleCrop>
  <Company/>
  <LinksUpToDate>false</LinksUpToDate>
  <CharactersWithSpaces>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guwenchao</dc:creator>
  <cp:lastModifiedBy>Thadani, Lavina</cp:lastModifiedBy>
  <cp:revision>2</cp:revision>
  <dcterms:created xsi:type="dcterms:W3CDTF">2022-03-23T21:22:00Z</dcterms:created>
  <dcterms:modified xsi:type="dcterms:W3CDTF">2022-03-23T21:22:00Z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2052-3.7.0.5929</vt:lpwstr>
  </property>
</Properties>
</file>