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6440" w14:textId="77777777" w:rsidR="00662023" w:rsidRPr="00FD75B3" w:rsidRDefault="00662023" w:rsidP="00662023">
      <w:pPr>
        <w:rPr>
          <w:color w:val="000000"/>
        </w:rPr>
      </w:pPr>
      <w:r w:rsidRPr="00FD75B3">
        <w:rPr>
          <w:b/>
          <w:bCs/>
          <w:color w:val="000000"/>
        </w:rPr>
        <w:t>APPENDIX</w:t>
      </w:r>
      <w:r w:rsidRPr="00FD75B3">
        <w:rPr>
          <w:color w:val="000000"/>
        </w:rPr>
        <w:t>. Variable Identification &amp; Description</w:t>
      </w:r>
    </w:p>
    <w:p w14:paraId="7536E874" w14:textId="77777777" w:rsidR="00662023" w:rsidRPr="00FD75B3" w:rsidRDefault="00662023" w:rsidP="00662023">
      <w:pPr>
        <w:rPr>
          <w:color w:val="000000"/>
        </w:rPr>
      </w:pPr>
    </w:p>
    <w:tbl>
      <w:tblPr>
        <w:tblStyle w:val="TableGrid"/>
        <w:tblW w:w="13251" w:type="dxa"/>
        <w:tblLook w:val="04A0" w:firstRow="1" w:lastRow="0" w:firstColumn="1" w:lastColumn="0" w:noHBand="0" w:noVBand="1"/>
      </w:tblPr>
      <w:tblGrid>
        <w:gridCol w:w="1130"/>
        <w:gridCol w:w="1937"/>
        <w:gridCol w:w="2958"/>
        <w:gridCol w:w="3613"/>
        <w:gridCol w:w="3613"/>
      </w:tblGrid>
      <w:tr w:rsidR="00662023" w:rsidRPr="00FD75B3" w14:paraId="148E3A8B" w14:textId="77777777" w:rsidTr="00871C26">
        <w:trPr>
          <w:trHeight w:val="323"/>
        </w:trPr>
        <w:tc>
          <w:tcPr>
            <w:tcW w:w="1130" w:type="dxa"/>
          </w:tcPr>
          <w:p w14:paraId="5680980F" w14:textId="77777777" w:rsidR="00662023" w:rsidRPr="00FD75B3" w:rsidRDefault="00662023" w:rsidP="00871C26">
            <w:pPr>
              <w:jc w:val="center"/>
              <w:rPr>
                <w:b/>
                <w:color w:val="000000"/>
              </w:rPr>
            </w:pPr>
            <w:r w:rsidRPr="00FD75B3">
              <w:rPr>
                <w:b/>
                <w:color w:val="000000"/>
              </w:rPr>
              <w:t>Type</w:t>
            </w:r>
          </w:p>
        </w:tc>
        <w:tc>
          <w:tcPr>
            <w:tcW w:w="1937" w:type="dxa"/>
          </w:tcPr>
          <w:p w14:paraId="1E566346" w14:textId="77777777" w:rsidR="00662023" w:rsidRPr="00FD75B3" w:rsidRDefault="00662023" w:rsidP="00871C26">
            <w:pPr>
              <w:jc w:val="center"/>
              <w:rPr>
                <w:b/>
                <w:color w:val="000000"/>
              </w:rPr>
            </w:pPr>
            <w:r w:rsidRPr="00FD75B3">
              <w:rPr>
                <w:b/>
                <w:color w:val="000000"/>
              </w:rPr>
              <w:t>Variable</w:t>
            </w:r>
          </w:p>
        </w:tc>
        <w:tc>
          <w:tcPr>
            <w:tcW w:w="2958" w:type="dxa"/>
          </w:tcPr>
          <w:p w14:paraId="732B3683" w14:textId="77777777" w:rsidR="00662023" w:rsidRPr="00FD75B3" w:rsidRDefault="00662023" w:rsidP="00871C26">
            <w:pPr>
              <w:jc w:val="center"/>
              <w:rPr>
                <w:b/>
                <w:color w:val="000000"/>
              </w:rPr>
            </w:pPr>
            <w:r w:rsidRPr="00FD75B3">
              <w:rPr>
                <w:b/>
                <w:color w:val="000000"/>
              </w:rPr>
              <w:t>Description</w:t>
            </w:r>
          </w:p>
        </w:tc>
        <w:tc>
          <w:tcPr>
            <w:tcW w:w="3613" w:type="dxa"/>
          </w:tcPr>
          <w:p w14:paraId="5BD747BC" w14:textId="77777777" w:rsidR="00662023" w:rsidRPr="00FD75B3" w:rsidRDefault="00662023" w:rsidP="00871C26">
            <w:pPr>
              <w:jc w:val="center"/>
              <w:rPr>
                <w:b/>
                <w:color w:val="000000"/>
              </w:rPr>
            </w:pPr>
            <w:r w:rsidRPr="00FD75B3">
              <w:rPr>
                <w:b/>
                <w:color w:val="000000"/>
              </w:rPr>
              <w:t>Variable Inclusion Rationale</w:t>
            </w:r>
          </w:p>
        </w:tc>
        <w:tc>
          <w:tcPr>
            <w:tcW w:w="3613" w:type="dxa"/>
          </w:tcPr>
          <w:p w14:paraId="6CE7D2C8" w14:textId="77777777" w:rsidR="00662023" w:rsidRPr="00FD75B3" w:rsidRDefault="00662023" w:rsidP="00871C26">
            <w:pPr>
              <w:jc w:val="center"/>
              <w:rPr>
                <w:b/>
                <w:color w:val="000000"/>
              </w:rPr>
            </w:pPr>
            <w:r w:rsidRPr="00FD75B3">
              <w:rPr>
                <w:b/>
                <w:color w:val="000000"/>
              </w:rPr>
              <w:t>Primary Data Sources &amp; Prior Author / Study Utilization</w:t>
            </w:r>
          </w:p>
        </w:tc>
      </w:tr>
      <w:tr w:rsidR="00662023" w:rsidRPr="00FD75B3" w14:paraId="3620CD4D" w14:textId="77777777" w:rsidTr="00871C26">
        <w:trPr>
          <w:trHeight w:val="359"/>
        </w:trPr>
        <w:tc>
          <w:tcPr>
            <w:tcW w:w="1130" w:type="dxa"/>
            <w:vMerge w:val="restart"/>
          </w:tcPr>
          <w:p w14:paraId="2F68B1F3" w14:textId="77777777" w:rsidR="00662023" w:rsidRPr="00FD75B3" w:rsidRDefault="00662023" w:rsidP="00871C26">
            <w:pPr>
              <w:rPr>
                <w:color w:val="000000"/>
                <w:sz w:val="20"/>
                <w:szCs w:val="20"/>
              </w:rPr>
            </w:pPr>
          </w:p>
        </w:tc>
        <w:tc>
          <w:tcPr>
            <w:tcW w:w="1937" w:type="dxa"/>
          </w:tcPr>
          <w:p w14:paraId="5E7F8DBE" w14:textId="77777777" w:rsidR="00662023" w:rsidRPr="00FD75B3" w:rsidRDefault="00662023" w:rsidP="00871C26">
            <w:pPr>
              <w:jc w:val="center"/>
              <w:rPr>
                <w:color w:val="000000"/>
                <w:sz w:val="20"/>
                <w:szCs w:val="20"/>
              </w:rPr>
            </w:pPr>
            <w:r w:rsidRPr="00FD75B3">
              <w:rPr>
                <w:color w:val="000000"/>
                <w:sz w:val="20"/>
                <w:szCs w:val="20"/>
              </w:rPr>
              <w:t>All Cause Hospital-Wide Readmission Rate</w:t>
            </w:r>
          </w:p>
        </w:tc>
        <w:tc>
          <w:tcPr>
            <w:tcW w:w="2958" w:type="dxa"/>
          </w:tcPr>
          <w:p w14:paraId="5E6DA363" w14:textId="77777777" w:rsidR="00662023" w:rsidRPr="00FD75B3" w:rsidRDefault="00662023" w:rsidP="00871C26">
            <w:pPr>
              <w:rPr>
                <w:color w:val="000000"/>
                <w:sz w:val="20"/>
                <w:szCs w:val="20"/>
              </w:rPr>
            </w:pPr>
            <w:r w:rsidRPr="00FD75B3">
              <w:rPr>
                <w:color w:val="000000"/>
                <w:sz w:val="20"/>
                <w:szCs w:val="20"/>
              </w:rPr>
              <w:t>The proportion of patients that were readmitted within 30 days to a hospital for any reason compared to the total number of patients that were discharged.</w:t>
            </w:r>
          </w:p>
        </w:tc>
        <w:tc>
          <w:tcPr>
            <w:tcW w:w="3613" w:type="dxa"/>
          </w:tcPr>
          <w:p w14:paraId="2F22065A" w14:textId="77777777" w:rsidR="00662023" w:rsidRPr="00FD75B3" w:rsidRDefault="00662023" w:rsidP="00871C26">
            <w:pPr>
              <w:rPr>
                <w:color w:val="000000"/>
                <w:sz w:val="20"/>
                <w:szCs w:val="20"/>
              </w:rPr>
            </w:pPr>
          </w:p>
          <w:p w14:paraId="475A6810" w14:textId="77777777" w:rsidR="00662023" w:rsidRPr="00FD75B3" w:rsidRDefault="00662023" w:rsidP="00871C26">
            <w:pPr>
              <w:rPr>
                <w:color w:val="000000"/>
                <w:sz w:val="20"/>
                <w:szCs w:val="20"/>
              </w:rPr>
            </w:pPr>
          </w:p>
          <w:p w14:paraId="7256FE95" w14:textId="77777777" w:rsidR="00662023" w:rsidRPr="00FD75B3" w:rsidRDefault="00662023" w:rsidP="00871C26">
            <w:pPr>
              <w:jc w:val="center"/>
              <w:rPr>
                <w:color w:val="000000"/>
                <w:sz w:val="20"/>
                <w:szCs w:val="20"/>
              </w:rPr>
            </w:pPr>
            <w:r w:rsidRPr="00FD75B3">
              <w:rPr>
                <w:color w:val="000000"/>
                <w:sz w:val="20"/>
                <w:szCs w:val="20"/>
              </w:rPr>
              <w:t>Study dependent variable</w:t>
            </w:r>
          </w:p>
        </w:tc>
        <w:tc>
          <w:tcPr>
            <w:tcW w:w="3613" w:type="dxa"/>
            <w:shd w:val="clear" w:color="auto" w:fill="auto"/>
          </w:tcPr>
          <w:p w14:paraId="0E7192FE" w14:textId="77777777" w:rsidR="00662023" w:rsidRPr="00FD75B3" w:rsidRDefault="00662023" w:rsidP="00871C26">
            <w:pPr>
              <w:rPr>
                <w:color w:val="000000"/>
                <w:sz w:val="20"/>
                <w:szCs w:val="20"/>
              </w:rPr>
            </w:pPr>
            <w:r w:rsidRPr="00FD75B3">
              <w:rPr>
                <w:color w:val="000000"/>
                <w:sz w:val="20"/>
                <w:szCs w:val="20"/>
              </w:rPr>
              <w:t>Hospital Compare; Benbassat &amp; Taragin, 2000; Chee, Ryan, Wasfy, &amp; Borden, 2016; Das, et. al, 2016; Krumholz, et. al, 2017</w:t>
            </w:r>
          </w:p>
        </w:tc>
      </w:tr>
      <w:tr w:rsidR="00662023" w:rsidRPr="00FD75B3" w14:paraId="5BDBA742" w14:textId="77777777" w:rsidTr="00871C26">
        <w:tc>
          <w:tcPr>
            <w:tcW w:w="1130" w:type="dxa"/>
            <w:vMerge/>
          </w:tcPr>
          <w:p w14:paraId="2370D133" w14:textId="77777777" w:rsidR="00662023" w:rsidRPr="00FD75B3" w:rsidRDefault="00662023" w:rsidP="00871C26">
            <w:pPr>
              <w:rPr>
                <w:color w:val="000000"/>
                <w:sz w:val="20"/>
                <w:szCs w:val="20"/>
              </w:rPr>
            </w:pPr>
          </w:p>
        </w:tc>
        <w:tc>
          <w:tcPr>
            <w:tcW w:w="1937" w:type="dxa"/>
          </w:tcPr>
          <w:p w14:paraId="3A165D48" w14:textId="77777777" w:rsidR="00662023" w:rsidRPr="00FD75B3" w:rsidRDefault="00662023" w:rsidP="00871C26">
            <w:pPr>
              <w:jc w:val="center"/>
              <w:rPr>
                <w:color w:val="000000"/>
                <w:sz w:val="20"/>
                <w:szCs w:val="20"/>
              </w:rPr>
            </w:pPr>
            <w:r w:rsidRPr="00FD75B3">
              <w:rPr>
                <w:color w:val="000000"/>
                <w:sz w:val="20"/>
                <w:szCs w:val="20"/>
              </w:rPr>
              <w:t>Hip/Knee Replacement Readmission Rate</w:t>
            </w:r>
          </w:p>
        </w:tc>
        <w:tc>
          <w:tcPr>
            <w:tcW w:w="2958" w:type="dxa"/>
          </w:tcPr>
          <w:p w14:paraId="07055F23" w14:textId="77777777" w:rsidR="00662023" w:rsidRPr="00FD75B3" w:rsidRDefault="00662023" w:rsidP="00871C26">
            <w:pPr>
              <w:rPr>
                <w:color w:val="000000"/>
                <w:sz w:val="20"/>
                <w:szCs w:val="20"/>
              </w:rPr>
            </w:pPr>
            <w:r w:rsidRPr="00FD75B3">
              <w:rPr>
                <w:color w:val="000000"/>
                <w:sz w:val="20"/>
                <w:szCs w:val="20"/>
              </w:rPr>
              <w:t>The proportion of patients that were readmitted to a hospital within 30 days for hip / knee replacement compared to the total number of patients that were discharged.</w:t>
            </w:r>
          </w:p>
        </w:tc>
        <w:tc>
          <w:tcPr>
            <w:tcW w:w="3613" w:type="dxa"/>
          </w:tcPr>
          <w:p w14:paraId="741F7C3B" w14:textId="77777777" w:rsidR="00662023" w:rsidRPr="00FD75B3" w:rsidRDefault="00662023" w:rsidP="00871C26">
            <w:pPr>
              <w:jc w:val="center"/>
              <w:rPr>
                <w:color w:val="000000"/>
                <w:sz w:val="20"/>
                <w:szCs w:val="20"/>
              </w:rPr>
            </w:pPr>
          </w:p>
          <w:p w14:paraId="76EDDE50" w14:textId="77777777" w:rsidR="00662023" w:rsidRPr="00FD75B3" w:rsidRDefault="00662023" w:rsidP="00871C26">
            <w:pPr>
              <w:jc w:val="center"/>
              <w:rPr>
                <w:color w:val="000000"/>
                <w:sz w:val="20"/>
                <w:szCs w:val="20"/>
              </w:rPr>
            </w:pPr>
          </w:p>
          <w:p w14:paraId="1E769F12" w14:textId="77777777" w:rsidR="00662023" w:rsidRPr="00FD75B3" w:rsidRDefault="00662023" w:rsidP="00871C26">
            <w:pPr>
              <w:jc w:val="center"/>
              <w:rPr>
                <w:color w:val="000000"/>
                <w:sz w:val="20"/>
                <w:szCs w:val="20"/>
              </w:rPr>
            </w:pPr>
            <w:r w:rsidRPr="00FD75B3">
              <w:rPr>
                <w:color w:val="000000"/>
                <w:sz w:val="20"/>
                <w:szCs w:val="20"/>
              </w:rPr>
              <w:t>Study dependent variable</w:t>
            </w:r>
          </w:p>
        </w:tc>
        <w:tc>
          <w:tcPr>
            <w:tcW w:w="3613" w:type="dxa"/>
            <w:shd w:val="clear" w:color="auto" w:fill="auto"/>
          </w:tcPr>
          <w:p w14:paraId="47C140B1" w14:textId="77777777" w:rsidR="00662023" w:rsidRPr="00FD75B3" w:rsidRDefault="00662023" w:rsidP="00871C26">
            <w:pPr>
              <w:rPr>
                <w:color w:val="000000"/>
                <w:sz w:val="20"/>
                <w:szCs w:val="20"/>
              </w:rPr>
            </w:pPr>
            <w:r w:rsidRPr="00FD75B3">
              <w:rPr>
                <w:color w:val="000000"/>
                <w:sz w:val="20"/>
                <w:szCs w:val="20"/>
              </w:rPr>
              <w:t xml:space="preserve">Hospital Compare; Saucedo, Marecek, Wanke, Lee, Stulberg  &amp; Puri, 2014; Roger, et al., 2019; Schairer, Vail, &amp; Bozic, 2014 </w:t>
            </w:r>
          </w:p>
        </w:tc>
      </w:tr>
      <w:tr w:rsidR="00662023" w:rsidRPr="00FD75B3" w14:paraId="154621DD" w14:textId="77777777" w:rsidTr="00871C26">
        <w:tc>
          <w:tcPr>
            <w:tcW w:w="1130" w:type="dxa"/>
            <w:vMerge/>
          </w:tcPr>
          <w:p w14:paraId="14AC6A78" w14:textId="77777777" w:rsidR="00662023" w:rsidRPr="00FD75B3" w:rsidRDefault="00662023" w:rsidP="00871C26">
            <w:pPr>
              <w:rPr>
                <w:color w:val="000000"/>
                <w:sz w:val="20"/>
                <w:szCs w:val="20"/>
              </w:rPr>
            </w:pPr>
          </w:p>
        </w:tc>
        <w:tc>
          <w:tcPr>
            <w:tcW w:w="1937" w:type="dxa"/>
          </w:tcPr>
          <w:p w14:paraId="357D28C1" w14:textId="77777777" w:rsidR="00662023" w:rsidRPr="00FD75B3" w:rsidRDefault="00662023" w:rsidP="00871C26">
            <w:pPr>
              <w:jc w:val="center"/>
              <w:rPr>
                <w:color w:val="000000"/>
                <w:sz w:val="20"/>
                <w:szCs w:val="20"/>
              </w:rPr>
            </w:pPr>
            <w:r w:rsidRPr="00FD75B3">
              <w:rPr>
                <w:color w:val="000000"/>
                <w:sz w:val="20"/>
                <w:szCs w:val="20"/>
              </w:rPr>
              <w:t xml:space="preserve">Chronic Obstructive Pulmonary Disease (COPD) Readmission Rate </w:t>
            </w:r>
          </w:p>
        </w:tc>
        <w:tc>
          <w:tcPr>
            <w:tcW w:w="2958" w:type="dxa"/>
          </w:tcPr>
          <w:p w14:paraId="1D913F92" w14:textId="77777777" w:rsidR="00662023" w:rsidRPr="00FD75B3" w:rsidDel="00667717" w:rsidRDefault="00662023" w:rsidP="00871C26">
            <w:pPr>
              <w:rPr>
                <w:color w:val="000000"/>
                <w:sz w:val="20"/>
                <w:szCs w:val="20"/>
              </w:rPr>
            </w:pPr>
            <w:r w:rsidRPr="00FD75B3">
              <w:rPr>
                <w:color w:val="000000"/>
                <w:sz w:val="20"/>
                <w:szCs w:val="20"/>
              </w:rPr>
              <w:t>The proportion of patients that were readmitted to a hospital within 30 days for COPD compared to the total number of patients that were discharged.</w:t>
            </w:r>
          </w:p>
        </w:tc>
        <w:tc>
          <w:tcPr>
            <w:tcW w:w="3613" w:type="dxa"/>
          </w:tcPr>
          <w:p w14:paraId="68407424" w14:textId="77777777" w:rsidR="00662023" w:rsidRPr="00FD75B3" w:rsidRDefault="00662023" w:rsidP="00871C26">
            <w:pPr>
              <w:jc w:val="center"/>
              <w:rPr>
                <w:color w:val="000000"/>
                <w:sz w:val="20"/>
                <w:szCs w:val="20"/>
              </w:rPr>
            </w:pPr>
          </w:p>
          <w:p w14:paraId="0BB47A73" w14:textId="77777777" w:rsidR="00662023" w:rsidRPr="00FD75B3" w:rsidRDefault="00662023" w:rsidP="00871C26">
            <w:pPr>
              <w:jc w:val="center"/>
              <w:rPr>
                <w:color w:val="000000"/>
                <w:sz w:val="20"/>
                <w:szCs w:val="20"/>
              </w:rPr>
            </w:pPr>
          </w:p>
          <w:p w14:paraId="25CA3A70" w14:textId="77777777" w:rsidR="00662023" w:rsidRPr="00FD75B3" w:rsidRDefault="00662023" w:rsidP="00871C26">
            <w:pPr>
              <w:jc w:val="center"/>
              <w:rPr>
                <w:color w:val="000000"/>
                <w:sz w:val="20"/>
                <w:szCs w:val="20"/>
              </w:rPr>
            </w:pPr>
            <w:r w:rsidRPr="00FD75B3">
              <w:rPr>
                <w:color w:val="000000"/>
                <w:sz w:val="20"/>
                <w:szCs w:val="20"/>
              </w:rPr>
              <w:t>Study dependent variable</w:t>
            </w:r>
          </w:p>
        </w:tc>
        <w:tc>
          <w:tcPr>
            <w:tcW w:w="3613" w:type="dxa"/>
            <w:shd w:val="clear" w:color="auto" w:fill="auto"/>
          </w:tcPr>
          <w:p w14:paraId="5A30980D" w14:textId="77777777" w:rsidR="00662023" w:rsidRPr="00FD75B3" w:rsidDel="00667717" w:rsidRDefault="00662023" w:rsidP="00871C26">
            <w:pPr>
              <w:rPr>
                <w:color w:val="000000"/>
                <w:sz w:val="20"/>
                <w:szCs w:val="20"/>
              </w:rPr>
            </w:pPr>
            <w:r w:rsidRPr="00FD75B3">
              <w:rPr>
                <w:color w:val="000000"/>
                <w:sz w:val="20"/>
                <w:szCs w:val="20"/>
              </w:rPr>
              <w:t xml:space="preserve">Hospital Compare; Alshabanat, et al., 2017. </w:t>
            </w:r>
          </w:p>
        </w:tc>
      </w:tr>
      <w:tr w:rsidR="00662023" w:rsidRPr="00FD75B3" w14:paraId="0A3E5227" w14:textId="77777777" w:rsidTr="00871C26">
        <w:tc>
          <w:tcPr>
            <w:tcW w:w="1130" w:type="dxa"/>
            <w:vMerge/>
          </w:tcPr>
          <w:p w14:paraId="3E8DC76B" w14:textId="77777777" w:rsidR="00662023" w:rsidRPr="00FD75B3" w:rsidRDefault="00662023" w:rsidP="00871C26">
            <w:pPr>
              <w:rPr>
                <w:color w:val="000000"/>
                <w:sz w:val="20"/>
                <w:szCs w:val="20"/>
              </w:rPr>
            </w:pPr>
          </w:p>
        </w:tc>
        <w:tc>
          <w:tcPr>
            <w:tcW w:w="1937" w:type="dxa"/>
          </w:tcPr>
          <w:p w14:paraId="60282D2F" w14:textId="77777777" w:rsidR="00662023" w:rsidRPr="00FD75B3" w:rsidRDefault="00662023" w:rsidP="00871C26">
            <w:pPr>
              <w:jc w:val="center"/>
              <w:rPr>
                <w:color w:val="000000"/>
                <w:sz w:val="20"/>
                <w:szCs w:val="20"/>
              </w:rPr>
            </w:pPr>
            <w:r w:rsidRPr="00FD75B3">
              <w:rPr>
                <w:color w:val="000000"/>
                <w:sz w:val="20"/>
                <w:szCs w:val="20"/>
              </w:rPr>
              <w:t xml:space="preserve">Heart Attack Readmission Rate  </w:t>
            </w:r>
          </w:p>
        </w:tc>
        <w:tc>
          <w:tcPr>
            <w:tcW w:w="2958" w:type="dxa"/>
          </w:tcPr>
          <w:p w14:paraId="005A51B3" w14:textId="77777777" w:rsidR="00662023" w:rsidRPr="00FD75B3" w:rsidDel="00667717" w:rsidRDefault="00662023" w:rsidP="00871C26">
            <w:pPr>
              <w:rPr>
                <w:color w:val="000000"/>
                <w:sz w:val="20"/>
                <w:szCs w:val="20"/>
              </w:rPr>
            </w:pPr>
            <w:r w:rsidRPr="00FD75B3">
              <w:rPr>
                <w:color w:val="000000"/>
                <w:sz w:val="20"/>
                <w:szCs w:val="20"/>
              </w:rPr>
              <w:t>The proportion of patients that were readmitted to a hospital within 30 days for heart attack compared to the total number of patients that were discharged.</w:t>
            </w:r>
          </w:p>
        </w:tc>
        <w:tc>
          <w:tcPr>
            <w:tcW w:w="3613" w:type="dxa"/>
          </w:tcPr>
          <w:p w14:paraId="23FCE98A" w14:textId="77777777" w:rsidR="00662023" w:rsidRPr="00FD75B3" w:rsidRDefault="00662023" w:rsidP="00871C26">
            <w:pPr>
              <w:jc w:val="center"/>
              <w:rPr>
                <w:color w:val="000000"/>
                <w:sz w:val="20"/>
                <w:szCs w:val="20"/>
              </w:rPr>
            </w:pPr>
          </w:p>
          <w:p w14:paraId="38981EBD" w14:textId="77777777" w:rsidR="00662023" w:rsidRPr="00FD75B3" w:rsidRDefault="00662023" w:rsidP="00871C26">
            <w:pPr>
              <w:jc w:val="center"/>
              <w:rPr>
                <w:color w:val="000000"/>
                <w:sz w:val="20"/>
                <w:szCs w:val="20"/>
              </w:rPr>
            </w:pPr>
          </w:p>
          <w:p w14:paraId="3EE00516" w14:textId="77777777" w:rsidR="00662023" w:rsidRPr="00FD75B3" w:rsidRDefault="00662023" w:rsidP="00871C26">
            <w:pPr>
              <w:jc w:val="center"/>
              <w:rPr>
                <w:color w:val="000000"/>
                <w:sz w:val="20"/>
                <w:szCs w:val="20"/>
              </w:rPr>
            </w:pPr>
            <w:r w:rsidRPr="00FD75B3">
              <w:rPr>
                <w:color w:val="000000"/>
                <w:sz w:val="20"/>
                <w:szCs w:val="20"/>
              </w:rPr>
              <w:t>Study dependent variable</w:t>
            </w:r>
          </w:p>
        </w:tc>
        <w:tc>
          <w:tcPr>
            <w:tcW w:w="3613" w:type="dxa"/>
            <w:shd w:val="clear" w:color="auto" w:fill="auto"/>
          </w:tcPr>
          <w:p w14:paraId="33300153" w14:textId="77777777" w:rsidR="00662023" w:rsidRPr="00FD75B3" w:rsidRDefault="00662023" w:rsidP="00871C26">
            <w:pPr>
              <w:rPr>
                <w:color w:val="000000"/>
              </w:rPr>
            </w:pPr>
            <w:r w:rsidRPr="00FD75B3">
              <w:rPr>
                <w:color w:val="000000"/>
                <w:sz w:val="20"/>
                <w:szCs w:val="20"/>
              </w:rPr>
              <w:t xml:space="preserve">Hospital Compare; Desai, et al., 2016; Ibrahim, et al., 2018; </w:t>
            </w:r>
          </w:p>
          <w:p w14:paraId="53AF88F2" w14:textId="77777777" w:rsidR="00662023" w:rsidRPr="00FD75B3" w:rsidRDefault="00662023" w:rsidP="00871C26">
            <w:pPr>
              <w:rPr>
                <w:color w:val="000000"/>
                <w:sz w:val="20"/>
                <w:szCs w:val="20"/>
              </w:rPr>
            </w:pPr>
            <w:r w:rsidRPr="00FD75B3">
              <w:rPr>
                <w:color w:val="000000"/>
                <w:sz w:val="20"/>
                <w:szCs w:val="20"/>
              </w:rPr>
              <w:t xml:space="preserve">Wadhera, et al., 2018; Wasfy, et al., 2017. </w:t>
            </w:r>
          </w:p>
          <w:p w14:paraId="102583CF" w14:textId="77777777" w:rsidR="00662023" w:rsidRPr="00FD75B3" w:rsidDel="00667717" w:rsidRDefault="00662023" w:rsidP="00871C26">
            <w:pPr>
              <w:rPr>
                <w:color w:val="000000"/>
                <w:sz w:val="20"/>
                <w:szCs w:val="20"/>
              </w:rPr>
            </w:pPr>
          </w:p>
        </w:tc>
      </w:tr>
      <w:tr w:rsidR="00662023" w:rsidRPr="00FD75B3" w14:paraId="52B1BA50" w14:textId="77777777" w:rsidTr="00871C26">
        <w:tc>
          <w:tcPr>
            <w:tcW w:w="1130" w:type="dxa"/>
            <w:vMerge w:val="restart"/>
          </w:tcPr>
          <w:p w14:paraId="13E24D41" w14:textId="77777777" w:rsidR="00662023" w:rsidRPr="00FD75B3" w:rsidRDefault="00662023" w:rsidP="00871C26">
            <w:pPr>
              <w:rPr>
                <w:color w:val="000000"/>
                <w:sz w:val="20"/>
                <w:szCs w:val="20"/>
              </w:rPr>
            </w:pPr>
            <w:r w:rsidRPr="00FD75B3">
              <w:rPr>
                <w:color w:val="000000"/>
              </w:rPr>
              <w:br w:type="page"/>
            </w:r>
          </w:p>
        </w:tc>
        <w:tc>
          <w:tcPr>
            <w:tcW w:w="1937" w:type="dxa"/>
          </w:tcPr>
          <w:p w14:paraId="6BBA7B18" w14:textId="77777777" w:rsidR="00662023" w:rsidRPr="00FD75B3" w:rsidRDefault="00662023" w:rsidP="00871C26">
            <w:pPr>
              <w:jc w:val="center"/>
              <w:rPr>
                <w:color w:val="000000"/>
                <w:sz w:val="20"/>
                <w:szCs w:val="20"/>
              </w:rPr>
            </w:pPr>
            <w:r w:rsidRPr="00FD75B3">
              <w:rPr>
                <w:color w:val="000000"/>
                <w:sz w:val="20"/>
                <w:szCs w:val="20"/>
              </w:rPr>
              <w:t>Heart Failure Readmission Rate</w:t>
            </w:r>
          </w:p>
        </w:tc>
        <w:tc>
          <w:tcPr>
            <w:tcW w:w="2958" w:type="dxa"/>
          </w:tcPr>
          <w:p w14:paraId="6C1148AB" w14:textId="77777777" w:rsidR="00662023" w:rsidRPr="00FD75B3" w:rsidDel="00667717" w:rsidRDefault="00662023" w:rsidP="00871C26">
            <w:pPr>
              <w:rPr>
                <w:color w:val="000000"/>
                <w:sz w:val="20"/>
                <w:szCs w:val="20"/>
              </w:rPr>
            </w:pPr>
            <w:r w:rsidRPr="00FD75B3">
              <w:rPr>
                <w:color w:val="000000"/>
                <w:sz w:val="20"/>
                <w:szCs w:val="20"/>
              </w:rPr>
              <w:t>The proportion of patients that were readmitted to a hospital within 30 days for heart failure compared to the total number of patients that were discharged.</w:t>
            </w:r>
          </w:p>
        </w:tc>
        <w:tc>
          <w:tcPr>
            <w:tcW w:w="3613" w:type="dxa"/>
          </w:tcPr>
          <w:p w14:paraId="6E1DB92F" w14:textId="77777777" w:rsidR="00662023" w:rsidRPr="00FD75B3" w:rsidRDefault="00662023" w:rsidP="00871C26">
            <w:pPr>
              <w:jc w:val="center"/>
              <w:rPr>
                <w:color w:val="000000"/>
                <w:sz w:val="20"/>
                <w:szCs w:val="20"/>
              </w:rPr>
            </w:pPr>
          </w:p>
          <w:p w14:paraId="05564407" w14:textId="77777777" w:rsidR="00662023" w:rsidRPr="00FD75B3" w:rsidRDefault="00662023" w:rsidP="00871C26">
            <w:pPr>
              <w:jc w:val="center"/>
              <w:rPr>
                <w:color w:val="000000"/>
                <w:sz w:val="20"/>
                <w:szCs w:val="20"/>
              </w:rPr>
            </w:pPr>
          </w:p>
          <w:p w14:paraId="597C6F12" w14:textId="77777777" w:rsidR="00662023" w:rsidRPr="00FD75B3" w:rsidRDefault="00662023" w:rsidP="00871C26">
            <w:pPr>
              <w:jc w:val="center"/>
              <w:rPr>
                <w:color w:val="000000"/>
                <w:sz w:val="20"/>
                <w:szCs w:val="20"/>
              </w:rPr>
            </w:pPr>
            <w:r w:rsidRPr="00FD75B3">
              <w:rPr>
                <w:color w:val="000000"/>
                <w:sz w:val="20"/>
                <w:szCs w:val="20"/>
              </w:rPr>
              <w:t>Study dependent variable</w:t>
            </w:r>
          </w:p>
        </w:tc>
        <w:tc>
          <w:tcPr>
            <w:tcW w:w="3613" w:type="dxa"/>
            <w:shd w:val="clear" w:color="auto" w:fill="auto"/>
          </w:tcPr>
          <w:p w14:paraId="15BDFE07" w14:textId="77777777" w:rsidR="00662023" w:rsidRPr="00FD75B3" w:rsidRDefault="00662023" w:rsidP="00871C26">
            <w:pPr>
              <w:rPr>
                <w:color w:val="000000"/>
              </w:rPr>
            </w:pPr>
            <w:r w:rsidRPr="00FD75B3">
              <w:rPr>
                <w:color w:val="000000"/>
                <w:sz w:val="20"/>
                <w:szCs w:val="20"/>
              </w:rPr>
              <w:t xml:space="preserve">Hospital Compare; Desai, et al., 2016; Ibrahim, et al., 2018; Wadhera, et al., 2018; Gupta, et al., 2018; </w:t>
            </w:r>
          </w:p>
          <w:p w14:paraId="34C70904" w14:textId="77777777" w:rsidR="00662023" w:rsidRPr="00FD75B3" w:rsidDel="00667717" w:rsidRDefault="00662023" w:rsidP="00871C26">
            <w:pPr>
              <w:rPr>
                <w:color w:val="000000"/>
                <w:sz w:val="20"/>
                <w:szCs w:val="20"/>
              </w:rPr>
            </w:pPr>
            <w:r w:rsidRPr="00FD75B3">
              <w:rPr>
                <w:color w:val="000000"/>
                <w:sz w:val="20"/>
                <w:szCs w:val="20"/>
              </w:rPr>
              <w:t xml:space="preserve">Wasfy, et al., 2017. </w:t>
            </w:r>
          </w:p>
        </w:tc>
      </w:tr>
      <w:tr w:rsidR="00662023" w:rsidRPr="00FD75B3" w14:paraId="32F96A22" w14:textId="77777777" w:rsidTr="00871C26">
        <w:tc>
          <w:tcPr>
            <w:tcW w:w="1130" w:type="dxa"/>
            <w:vMerge/>
          </w:tcPr>
          <w:p w14:paraId="0745836E" w14:textId="77777777" w:rsidR="00662023" w:rsidRPr="00FD75B3" w:rsidRDefault="00662023" w:rsidP="00871C26">
            <w:pPr>
              <w:rPr>
                <w:color w:val="000000"/>
                <w:sz w:val="20"/>
                <w:szCs w:val="20"/>
              </w:rPr>
            </w:pPr>
          </w:p>
        </w:tc>
        <w:tc>
          <w:tcPr>
            <w:tcW w:w="1937" w:type="dxa"/>
            <w:tcBorders>
              <w:bottom w:val="single" w:sz="4" w:space="0" w:color="auto"/>
            </w:tcBorders>
          </w:tcPr>
          <w:p w14:paraId="10CFC9D0" w14:textId="77777777" w:rsidR="00662023" w:rsidRPr="00FD75B3" w:rsidRDefault="00662023" w:rsidP="00871C26">
            <w:pPr>
              <w:jc w:val="center"/>
              <w:rPr>
                <w:color w:val="000000"/>
                <w:sz w:val="20"/>
                <w:szCs w:val="20"/>
              </w:rPr>
            </w:pPr>
            <w:r w:rsidRPr="00FD75B3">
              <w:rPr>
                <w:color w:val="000000"/>
                <w:sz w:val="20"/>
                <w:szCs w:val="20"/>
              </w:rPr>
              <w:t xml:space="preserve">Pneumonia Readmission Rate </w:t>
            </w:r>
          </w:p>
        </w:tc>
        <w:tc>
          <w:tcPr>
            <w:tcW w:w="2958" w:type="dxa"/>
            <w:tcBorders>
              <w:bottom w:val="single" w:sz="4" w:space="0" w:color="auto"/>
            </w:tcBorders>
          </w:tcPr>
          <w:p w14:paraId="0E7DE28B" w14:textId="77777777" w:rsidR="00662023" w:rsidRPr="00FD75B3" w:rsidDel="00667717" w:rsidRDefault="00662023" w:rsidP="00871C26">
            <w:pPr>
              <w:rPr>
                <w:color w:val="000000"/>
                <w:sz w:val="20"/>
                <w:szCs w:val="20"/>
              </w:rPr>
            </w:pPr>
            <w:r w:rsidRPr="00FD75B3">
              <w:rPr>
                <w:color w:val="000000"/>
                <w:sz w:val="20"/>
                <w:szCs w:val="20"/>
              </w:rPr>
              <w:t>The proportion of patients that were readmitted to a hospital within 30 days for pneumonia compared to the total number of patients that were discharged from the hospital.</w:t>
            </w:r>
          </w:p>
        </w:tc>
        <w:tc>
          <w:tcPr>
            <w:tcW w:w="3613" w:type="dxa"/>
            <w:tcBorders>
              <w:bottom w:val="single" w:sz="4" w:space="0" w:color="auto"/>
            </w:tcBorders>
          </w:tcPr>
          <w:p w14:paraId="0E68A7E5" w14:textId="77777777" w:rsidR="00662023" w:rsidRPr="00FD75B3" w:rsidRDefault="00662023" w:rsidP="00871C26">
            <w:pPr>
              <w:jc w:val="center"/>
              <w:rPr>
                <w:color w:val="000000"/>
                <w:sz w:val="20"/>
                <w:szCs w:val="20"/>
              </w:rPr>
            </w:pPr>
          </w:p>
          <w:p w14:paraId="5FFDB4E9" w14:textId="77777777" w:rsidR="00662023" w:rsidRPr="00FD75B3" w:rsidRDefault="00662023" w:rsidP="00871C26">
            <w:pPr>
              <w:jc w:val="center"/>
              <w:rPr>
                <w:color w:val="000000"/>
                <w:sz w:val="20"/>
                <w:szCs w:val="20"/>
              </w:rPr>
            </w:pPr>
          </w:p>
          <w:p w14:paraId="23123BBE" w14:textId="77777777" w:rsidR="00662023" w:rsidRPr="00FD75B3" w:rsidRDefault="00662023" w:rsidP="00871C26">
            <w:pPr>
              <w:jc w:val="center"/>
              <w:rPr>
                <w:color w:val="000000"/>
                <w:sz w:val="20"/>
                <w:szCs w:val="20"/>
              </w:rPr>
            </w:pPr>
            <w:r w:rsidRPr="00FD75B3">
              <w:rPr>
                <w:color w:val="000000"/>
                <w:sz w:val="20"/>
                <w:szCs w:val="20"/>
              </w:rPr>
              <w:t>Study dependent variable</w:t>
            </w:r>
          </w:p>
        </w:tc>
        <w:tc>
          <w:tcPr>
            <w:tcW w:w="3613" w:type="dxa"/>
            <w:tcBorders>
              <w:bottom w:val="single" w:sz="4" w:space="0" w:color="auto"/>
            </w:tcBorders>
            <w:shd w:val="clear" w:color="auto" w:fill="auto"/>
          </w:tcPr>
          <w:p w14:paraId="0D8AAD7C" w14:textId="77777777" w:rsidR="00662023" w:rsidRPr="00FD75B3" w:rsidRDefault="00662023" w:rsidP="00871C26">
            <w:pPr>
              <w:rPr>
                <w:color w:val="000000"/>
                <w:sz w:val="20"/>
                <w:szCs w:val="20"/>
              </w:rPr>
            </w:pPr>
            <w:r w:rsidRPr="00FD75B3">
              <w:rPr>
                <w:color w:val="000000"/>
                <w:sz w:val="20"/>
                <w:szCs w:val="20"/>
              </w:rPr>
              <w:t xml:space="preserve">Hospital Compare; Desai, et al., 2016; Ibrahim, et al., 2018; Wadhera, et al., 2018; Wasfy, et al., 2017. </w:t>
            </w:r>
          </w:p>
          <w:p w14:paraId="1C2E3023" w14:textId="77777777" w:rsidR="00662023" w:rsidRPr="00FD75B3" w:rsidDel="00667717" w:rsidRDefault="00662023" w:rsidP="00871C26">
            <w:pPr>
              <w:rPr>
                <w:color w:val="000000"/>
                <w:sz w:val="20"/>
                <w:szCs w:val="20"/>
              </w:rPr>
            </w:pPr>
          </w:p>
        </w:tc>
      </w:tr>
      <w:tr w:rsidR="00662023" w:rsidRPr="00FD75B3" w14:paraId="430E08FF" w14:textId="77777777" w:rsidTr="00871C26">
        <w:trPr>
          <w:trHeight w:val="1007"/>
        </w:trPr>
        <w:tc>
          <w:tcPr>
            <w:tcW w:w="1130" w:type="dxa"/>
            <w:vMerge w:val="restart"/>
            <w:tcBorders>
              <w:top w:val="single" w:sz="12" w:space="0" w:color="auto"/>
            </w:tcBorders>
          </w:tcPr>
          <w:p w14:paraId="256975C4" w14:textId="77777777" w:rsidR="00662023" w:rsidRPr="00FD75B3" w:rsidRDefault="00662023" w:rsidP="00871C26">
            <w:pPr>
              <w:rPr>
                <w:color w:val="000000"/>
                <w:sz w:val="20"/>
                <w:szCs w:val="20"/>
              </w:rPr>
            </w:pPr>
          </w:p>
          <w:p w14:paraId="59D7AAC1" w14:textId="77777777" w:rsidR="00662023" w:rsidRPr="00FD75B3" w:rsidRDefault="00662023" w:rsidP="00871C26">
            <w:pPr>
              <w:rPr>
                <w:i/>
                <w:color w:val="000000"/>
                <w:sz w:val="20"/>
                <w:szCs w:val="20"/>
              </w:rPr>
            </w:pPr>
          </w:p>
          <w:p w14:paraId="41BEA40D" w14:textId="77777777" w:rsidR="00662023" w:rsidRPr="00FD75B3" w:rsidRDefault="00662023" w:rsidP="00871C26">
            <w:pPr>
              <w:jc w:val="center"/>
              <w:rPr>
                <w:i/>
                <w:color w:val="000000"/>
                <w:sz w:val="20"/>
                <w:szCs w:val="20"/>
              </w:rPr>
            </w:pPr>
            <w:r w:rsidRPr="00FD75B3">
              <w:rPr>
                <w:i/>
                <w:color w:val="000000"/>
                <w:sz w:val="20"/>
                <w:szCs w:val="20"/>
              </w:rPr>
              <w:t>Control</w:t>
            </w:r>
          </w:p>
          <w:p w14:paraId="49A85CD1" w14:textId="77777777" w:rsidR="00662023" w:rsidRPr="00FD75B3" w:rsidRDefault="00662023" w:rsidP="00871C26">
            <w:pPr>
              <w:jc w:val="center"/>
              <w:rPr>
                <w:i/>
                <w:color w:val="000000"/>
                <w:sz w:val="20"/>
                <w:szCs w:val="20"/>
              </w:rPr>
            </w:pPr>
            <w:r w:rsidRPr="00FD75B3">
              <w:rPr>
                <w:i/>
                <w:color w:val="000000"/>
                <w:sz w:val="20"/>
                <w:szCs w:val="20"/>
              </w:rPr>
              <w:t>Variables</w:t>
            </w:r>
          </w:p>
        </w:tc>
        <w:tc>
          <w:tcPr>
            <w:tcW w:w="1937" w:type="dxa"/>
            <w:tcBorders>
              <w:top w:val="single" w:sz="12" w:space="0" w:color="auto"/>
            </w:tcBorders>
          </w:tcPr>
          <w:p w14:paraId="5AFD8C73" w14:textId="77777777" w:rsidR="00662023" w:rsidRPr="00FD75B3" w:rsidRDefault="00662023" w:rsidP="00871C26">
            <w:pPr>
              <w:jc w:val="center"/>
              <w:rPr>
                <w:color w:val="000000"/>
                <w:sz w:val="20"/>
                <w:szCs w:val="20"/>
              </w:rPr>
            </w:pPr>
            <w:r w:rsidRPr="00FD75B3">
              <w:rPr>
                <w:color w:val="000000"/>
                <w:sz w:val="20"/>
                <w:szCs w:val="20"/>
              </w:rPr>
              <w:t>For- Profit Ownership Status</w:t>
            </w:r>
          </w:p>
        </w:tc>
        <w:tc>
          <w:tcPr>
            <w:tcW w:w="2958" w:type="dxa"/>
            <w:tcBorders>
              <w:top w:val="single" w:sz="12" w:space="0" w:color="auto"/>
            </w:tcBorders>
          </w:tcPr>
          <w:p w14:paraId="4C01FF67" w14:textId="77777777" w:rsidR="00662023" w:rsidRPr="00FD75B3" w:rsidRDefault="00662023" w:rsidP="00871C26">
            <w:pPr>
              <w:rPr>
                <w:color w:val="000000"/>
                <w:sz w:val="20"/>
                <w:szCs w:val="20"/>
              </w:rPr>
            </w:pPr>
            <w:r w:rsidRPr="00FD75B3">
              <w:rPr>
                <w:color w:val="000000"/>
                <w:sz w:val="20"/>
                <w:szCs w:val="20"/>
              </w:rPr>
              <w:t xml:space="preserve">For-profit vs not-for-profit hospital ownership and operation </w:t>
            </w:r>
          </w:p>
        </w:tc>
        <w:tc>
          <w:tcPr>
            <w:tcW w:w="3613" w:type="dxa"/>
            <w:tcBorders>
              <w:top w:val="single" w:sz="12" w:space="0" w:color="auto"/>
            </w:tcBorders>
          </w:tcPr>
          <w:p w14:paraId="03AFF447" w14:textId="77777777" w:rsidR="00662023" w:rsidRPr="00FD75B3" w:rsidRDefault="00662023" w:rsidP="00871C26">
            <w:pPr>
              <w:rPr>
                <w:color w:val="000000"/>
                <w:sz w:val="20"/>
                <w:szCs w:val="20"/>
              </w:rPr>
            </w:pPr>
            <w:r w:rsidRPr="00FD75B3">
              <w:rPr>
                <w:color w:val="000000"/>
                <w:sz w:val="20"/>
                <w:szCs w:val="20"/>
              </w:rPr>
              <w:t xml:space="preserve">Some studies have shown for-profit hospitals are associated with higher readmission rates. However, for profit hospitals may have greater access to resources to positively influence patient safety, but may have more incentive to ‘cut corners’ to meet profitability targets. </w:t>
            </w:r>
          </w:p>
        </w:tc>
        <w:tc>
          <w:tcPr>
            <w:tcW w:w="3613" w:type="dxa"/>
            <w:tcBorders>
              <w:top w:val="single" w:sz="12" w:space="0" w:color="auto"/>
            </w:tcBorders>
          </w:tcPr>
          <w:p w14:paraId="103B03D0" w14:textId="77777777" w:rsidR="00662023" w:rsidRPr="00FD75B3" w:rsidRDefault="00662023" w:rsidP="00871C26">
            <w:pPr>
              <w:rPr>
                <w:color w:val="000000"/>
                <w:sz w:val="20"/>
                <w:szCs w:val="20"/>
              </w:rPr>
            </w:pPr>
            <w:r w:rsidRPr="00FD75B3">
              <w:rPr>
                <w:color w:val="000000"/>
                <w:sz w:val="20"/>
                <w:szCs w:val="20"/>
              </w:rPr>
              <w:t>Medicare Cost Report; Borah, et. al, 2012; Das, et. al, 2016; DesHarnais, McMahon, Wroblewski, &amp; Hogan, 1990; Lasater, Germack, Small, &amp; McHugh, 2016; Sloan, Picone, Taylor, &amp; Chou, 2001</w:t>
            </w:r>
            <w:r w:rsidRPr="00FD75B3">
              <w:rPr>
                <w:bCs/>
                <w:color w:val="000000"/>
                <w:sz w:val="20"/>
                <w:szCs w:val="20"/>
              </w:rPr>
              <w:t>; Mittal, Wang, Goben &amp; Boyd, 2018; Birmingham &amp; Oglesby, 2018.</w:t>
            </w:r>
          </w:p>
        </w:tc>
      </w:tr>
      <w:tr w:rsidR="00662023" w:rsidRPr="00FD75B3" w14:paraId="7ECC164C" w14:textId="77777777" w:rsidTr="00871C26">
        <w:trPr>
          <w:trHeight w:val="386"/>
        </w:trPr>
        <w:tc>
          <w:tcPr>
            <w:tcW w:w="1130" w:type="dxa"/>
            <w:vMerge/>
          </w:tcPr>
          <w:p w14:paraId="0C7BEE97" w14:textId="77777777" w:rsidR="00662023" w:rsidRPr="00FD75B3" w:rsidRDefault="00662023" w:rsidP="00871C26">
            <w:pPr>
              <w:rPr>
                <w:color w:val="000000"/>
                <w:sz w:val="20"/>
                <w:szCs w:val="20"/>
              </w:rPr>
            </w:pPr>
          </w:p>
        </w:tc>
        <w:tc>
          <w:tcPr>
            <w:tcW w:w="1937" w:type="dxa"/>
          </w:tcPr>
          <w:p w14:paraId="097CC311" w14:textId="77777777" w:rsidR="00662023" w:rsidRPr="00FD75B3" w:rsidRDefault="00662023" w:rsidP="00871C26">
            <w:pPr>
              <w:jc w:val="center"/>
              <w:rPr>
                <w:color w:val="000000"/>
                <w:sz w:val="20"/>
                <w:szCs w:val="20"/>
              </w:rPr>
            </w:pPr>
            <w:r w:rsidRPr="00FD75B3">
              <w:rPr>
                <w:color w:val="000000"/>
                <w:sz w:val="20"/>
                <w:szCs w:val="20"/>
              </w:rPr>
              <w:t>Staffed Bed Size</w:t>
            </w:r>
          </w:p>
        </w:tc>
        <w:tc>
          <w:tcPr>
            <w:tcW w:w="2958" w:type="dxa"/>
          </w:tcPr>
          <w:p w14:paraId="12541D19" w14:textId="77777777" w:rsidR="00662023" w:rsidRPr="00FD75B3" w:rsidRDefault="00662023" w:rsidP="00871C26">
            <w:pPr>
              <w:rPr>
                <w:color w:val="000000"/>
                <w:sz w:val="20"/>
                <w:szCs w:val="20"/>
              </w:rPr>
            </w:pPr>
            <w:r w:rsidRPr="00FD75B3">
              <w:rPr>
                <w:color w:val="000000"/>
                <w:sz w:val="20"/>
                <w:szCs w:val="20"/>
              </w:rPr>
              <w:t>The number of beds that are licensed and physically available for which staff is on hand to attend the patient who occupies the bed (Emergency support Function &amp; Health and Medical Response)</w:t>
            </w:r>
          </w:p>
        </w:tc>
        <w:tc>
          <w:tcPr>
            <w:tcW w:w="3613" w:type="dxa"/>
          </w:tcPr>
          <w:p w14:paraId="3FED0B38" w14:textId="77777777" w:rsidR="00662023" w:rsidRPr="00FD75B3" w:rsidRDefault="00662023" w:rsidP="00871C26">
            <w:pPr>
              <w:rPr>
                <w:color w:val="000000"/>
                <w:sz w:val="20"/>
                <w:szCs w:val="20"/>
              </w:rPr>
            </w:pPr>
            <w:r w:rsidRPr="00FD75B3">
              <w:rPr>
                <w:color w:val="000000"/>
                <w:sz w:val="20"/>
                <w:szCs w:val="20"/>
              </w:rPr>
              <w:t xml:space="preserve">The number of staffed beds is included as a proxy variable to assess the size of the hospital </w:t>
            </w:r>
          </w:p>
        </w:tc>
        <w:tc>
          <w:tcPr>
            <w:tcW w:w="3613" w:type="dxa"/>
          </w:tcPr>
          <w:p w14:paraId="03D43399" w14:textId="77777777" w:rsidR="00662023" w:rsidRPr="00FD75B3" w:rsidRDefault="00662023" w:rsidP="00871C26">
            <w:pPr>
              <w:rPr>
                <w:color w:val="000000"/>
                <w:sz w:val="20"/>
                <w:szCs w:val="20"/>
              </w:rPr>
            </w:pPr>
            <w:r w:rsidRPr="00FD75B3">
              <w:rPr>
                <w:color w:val="000000"/>
                <w:sz w:val="20"/>
                <w:szCs w:val="20"/>
              </w:rPr>
              <w:t>Medicare Cost Report; Chee, Ryan, Wasfy, &amp; Borden, 2016; Das, et. al, 2016; Haas, Gomez, Hemmila, &amp; Nathens, 2011; Ryan, Krinsky, Maurer, &amp; Dimick, 2017; Shojania &amp; Forster, 2008</w:t>
            </w:r>
          </w:p>
        </w:tc>
      </w:tr>
      <w:tr w:rsidR="00662023" w:rsidRPr="00FD75B3" w14:paraId="49D164AD" w14:textId="77777777" w:rsidTr="00871C26">
        <w:trPr>
          <w:trHeight w:val="440"/>
        </w:trPr>
        <w:tc>
          <w:tcPr>
            <w:tcW w:w="1130" w:type="dxa"/>
            <w:vMerge/>
          </w:tcPr>
          <w:p w14:paraId="768057C5" w14:textId="77777777" w:rsidR="00662023" w:rsidRPr="00FD75B3" w:rsidRDefault="00662023" w:rsidP="00871C26">
            <w:pPr>
              <w:rPr>
                <w:color w:val="000000"/>
                <w:sz w:val="20"/>
                <w:szCs w:val="20"/>
              </w:rPr>
            </w:pPr>
          </w:p>
        </w:tc>
        <w:tc>
          <w:tcPr>
            <w:tcW w:w="1937" w:type="dxa"/>
          </w:tcPr>
          <w:p w14:paraId="34B40BA4" w14:textId="77777777" w:rsidR="00662023" w:rsidRPr="00FD75B3" w:rsidRDefault="00662023" w:rsidP="00871C26">
            <w:pPr>
              <w:jc w:val="center"/>
              <w:rPr>
                <w:color w:val="000000"/>
                <w:sz w:val="20"/>
                <w:szCs w:val="20"/>
              </w:rPr>
            </w:pPr>
            <w:r w:rsidRPr="00FD75B3">
              <w:rPr>
                <w:color w:val="000000"/>
                <w:sz w:val="20"/>
                <w:szCs w:val="20"/>
              </w:rPr>
              <w:t>Teaching Status</w:t>
            </w:r>
          </w:p>
        </w:tc>
        <w:tc>
          <w:tcPr>
            <w:tcW w:w="2958" w:type="dxa"/>
          </w:tcPr>
          <w:p w14:paraId="7A2F5BC8" w14:textId="77777777" w:rsidR="00662023" w:rsidRPr="00FD75B3" w:rsidRDefault="00662023" w:rsidP="00871C26">
            <w:pPr>
              <w:rPr>
                <w:color w:val="000000"/>
                <w:sz w:val="20"/>
                <w:szCs w:val="20"/>
              </w:rPr>
            </w:pPr>
            <w:r w:rsidRPr="00FD75B3">
              <w:rPr>
                <w:color w:val="000000"/>
                <w:sz w:val="20"/>
                <w:szCs w:val="20"/>
              </w:rPr>
              <w:t>A hospital is considered a teaching hospital if it has one or more ACGME (Accreditation Council for Graduate Medical Education) approved residency programs (Health care Cost and Utilization Project)</w:t>
            </w:r>
          </w:p>
        </w:tc>
        <w:tc>
          <w:tcPr>
            <w:tcW w:w="3613" w:type="dxa"/>
          </w:tcPr>
          <w:p w14:paraId="05E0F342" w14:textId="77777777" w:rsidR="00662023" w:rsidRPr="00FD75B3" w:rsidRDefault="00662023" w:rsidP="00871C26">
            <w:pPr>
              <w:rPr>
                <w:color w:val="000000"/>
                <w:sz w:val="20"/>
                <w:szCs w:val="20"/>
              </w:rPr>
            </w:pPr>
            <w:r w:rsidRPr="00FD75B3">
              <w:rPr>
                <w:color w:val="000000"/>
                <w:sz w:val="20"/>
                <w:szCs w:val="20"/>
              </w:rPr>
              <w:t>Teaching hospitals bring together medical education, research, and patient care in a unique environment where the next generation of doctors, nurses, and other health professionals are trained. They foster an environment of discovery and the latest advances in medicine. In many areas, teaching hospitals serve underserved and distressed socioeconomic groups as their primary patient population.</w:t>
            </w:r>
          </w:p>
        </w:tc>
        <w:tc>
          <w:tcPr>
            <w:tcW w:w="3613" w:type="dxa"/>
          </w:tcPr>
          <w:p w14:paraId="21E0D829" w14:textId="77777777" w:rsidR="00662023" w:rsidRPr="00FD75B3" w:rsidRDefault="00662023" w:rsidP="00871C26">
            <w:pPr>
              <w:rPr>
                <w:color w:val="000000"/>
                <w:sz w:val="20"/>
                <w:szCs w:val="20"/>
              </w:rPr>
            </w:pPr>
            <w:r w:rsidRPr="00FD75B3">
              <w:rPr>
                <w:color w:val="000000"/>
                <w:sz w:val="20"/>
                <w:szCs w:val="20"/>
              </w:rPr>
              <w:t>Medicare Cost Report; Ayanian &amp; Weissman, 2002</w:t>
            </w:r>
            <w:r w:rsidRPr="00FD75B3">
              <w:rPr>
                <w:b/>
                <w:bCs/>
                <w:color w:val="000000"/>
                <w:sz w:val="20"/>
                <w:szCs w:val="20"/>
              </w:rPr>
              <w:t xml:space="preserve">; </w:t>
            </w:r>
            <w:r w:rsidRPr="00FD75B3">
              <w:rPr>
                <w:color w:val="000000"/>
                <w:sz w:val="20"/>
                <w:szCs w:val="20"/>
              </w:rPr>
              <w:t xml:space="preserve">Chirikos &amp; Sear, 2000; Das, et. al, 2016; DesHarnais, McMahon, Wroblewski, &amp; Hogan, 1990; Lasater, Germack, Small, &amp; McHugh, 2016; Ryan, Krinsky, Maurer, &amp; Dimick, 2017 </w:t>
            </w:r>
          </w:p>
        </w:tc>
      </w:tr>
      <w:tr w:rsidR="00662023" w:rsidRPr="00FD75B3" w14:paraId="1AFBA487" w14:textId="77777777" w:rsidTr="00871C26">
        <w:trPr>
          <w:trHeight w:val="323"/>
        </w:trPr>
        <w:tc>
          <w:tcPr>
            <w:tcW w:w="1130" w:type="dxa"/>
            <w:vMerge/>
          </w:tcPr>
          <w:p w14:paraId="01101B24" w14:textId="77777777" w:rsidR="00662023" w:rsidRPr="00FD75B3" w:rsidRDefault="00662023" w:rsidP="00871C26">
            <w:pPr>
              <w:rPr>
                <w:color w:val="000000"/>
                <w:sz w:val="20"/>
                <w:szCs w:val="20"/>
              </w:rPr>
            </w:pPr>
          </w:p>
        </w:tc>
        <w:tc>
          <w:tcPr>
            <w:tcW w:w="1937" w:type="dxa"/>
          </w:tcPr>
          <w:p w14:paraId="61EDE2D5" w14:textId="77777777" w:rsidR="00662023" w:rsidRPr="00FD75B3" w:rsidRDefault="00662023" w:rsidP="00871C26">
            <w:pPr>
              <w:jc w:val="center"/>
              <w:rPr>
                <w:color w:val="000000"/>
                <w:sz w:val="20"/>
                <w:szCs w:val="20"/>
              </w:rPr>
            </w:pPr>
            <w:r w:rsidRPr="00FD75B3">
              <w:rPr>
                <w:color w:val="000000"/>
                <w:sz w:val="20"/>
                <w:szCs w:val="20"/>
              </w:rPr>
              <w:t>CMI (Case Mix Index)</w:t>
            </w:r>
          </w:p>
        </w:tc>
        <w:tc>
          <w:tcPr>
            <w:tcW w:w="2958" w:type="dxa"/>
          </w:tcPr>
          <w:p w14:paraId="7E23EC67" w14:textId="77777777" w:rsidR="00662023" w:rsidRPr="00FD75B3" w:rsidRDefault="00662023" w:rsidP="00871C26">
            <w:pPr>
              <w:rPr>
                <w:color w:val="000000"/>
                <w:sz w:val="20"/>
                <w:szCs w:val="20"/>
              </w:rPr>
            </w:pPr>
            <w:r w:rsidRPr="00FD75B3">
              <w:rPr>
                <w:color w:val="000000"/>
                <w:sz w:val="20"/>
                <w:szCs w:val="20"/>
              </w:rPr>
              <w:t xml:space="preserve">The average relative DRG weight of a hospital’s inpatient discharges, calculated by summing the Medicare Severity Diagnosis Related Group (MS-DRG) weight for each discharge and dividing the total by the number of discharges </w:t>
            </w:r>
          </w:p>
        </w:tc>
        <w:tc>
          <w:tcPr>
            <w:tcW w:w="3613" w:type="dxa"/>
          </w:tcPr>
          <w:p w14:paraId="43312DB8" w14:textId="77777777" w:rsidR="00662023" w:rsidRPr="00FD75B3" w:rsidRDefault="00662023" w:rsidP="00871C26">
            <w:pPr>
              <w:rPr>
                <w:color w:val="000000"/>
                <w:sz w:val="20"/>
                <w:szCs w:val="20"/>
              </w:rPr>
            </w:pPr>
            <w:r w:rsidRPr="00FD75B3">
              <w:rPr>
                <w:color w:val="000000"/>
                <w:sz w:val="20"/>
                <w:szCs w:val="20"/>
              </w:rPr>
              <w:t xml:space="preserve">The case mix index is included as a variable to provide insight into the association that case complexity has with hospital readmissions. Hospitals with higher case mix indexes will logically have higher readmission rates given the levels of complexity of the cases they treat. </w:t>
            </w:r>
          </w:p>
        </w:tc>
        <w:tc>
          <w:tcPr>
            <w:tcW w:w="3613" w:type="dxa"/>
          </w:tcPr>
          <w:p w14:paraId="50B3C0E3" w14:textId="77777777" w:rsidR="00662023" w:rsidRPr="00FD75B3" w:rsidRDefault="00662023" w:rsidP="00871C26">
            <w:pPr>
              <w:rPr>
                <w:color w:val="000000"/>
                <w:sz w:val="20"/>
                <w:szCs w:val="20"/>
              </w:rPr>
            </w:pPr>
            <w:r w:rsidRPr="00FD75B3">
              <w:rPr>
                <w:color w:val="000000"/>
                <w:sz w:val="20"/>
                <w:szCs w:val="20"/>
              </w:rPr>
              <w:t>Medicare Cost Report; Aboelela, Stone, &amp; Larson, 2007; Lasater, Germack, Small, &amp; McHugh, 2016</w:t>
            </w:r>
          </w:p>
        </w:tc>
      </w:tr>
      <w:tr w:rsidR="00662023" w:rsidRPr="00FD75B3" w14:paraId="31834C6D" w14:textId="77777777" w:rsidTr="00871C26">
        <w:tc>
          <w:tcPr>
            <w:tcW w:w="1130" w:type="dxa"/>
            <w:vMerge/>
          </w:tcPr>
          <w:p w14:paraId="42E37D46" w14:textId="77777777" w:rsidR="00662023" w:rsidRPr="00FD75B3" w:rsidRDefault="00662023" w:rsidP="00871C26">
            <w:pPr>
              <w:rPr>
                <w:color w:val="000000"/>
                <w:sz w:val="20"/>
                <w:szCs w:val="20"/>
              </w:rPr>
            </w:pPr>
          </w:p>
        </w:tc>
        <w:tc>
          <w:tcPr>
            <w:tcW w:w="1937" w:type="dxa"/>
          </w:tcPr>
          <w:p w14:paraId="2C49C30B" w14:textId="77777777" w:rsidR="00662023" w:rsidRPr="00FD75B3" w:rsidRDefault="00662023" w:rsidP="00871C26">
            <w:pPr>
              <w:jc w:val="center"/>
              <w:rPr>
                <w:color w:val="000000"/>
                <w:sz w:val="20"/>
                <w:szCs w:val="20"/>
              </w:rPr>
            </w:pPr>
            <w:r w:rsidRPr="00FD75B3">
              <w:rPr>
                <w:color w:val="000000"/>
                <w:sz w:val="20"/>
                <w:szCs w:val="20"/>
              </w:rPr>
              <w:t>Average Length of Stay</w:t>
            </w:r>
          </w:p>
        </w:tc>
        <w:tc>
          <w:tcPr>
            <w:tcW w:w="2958" w:type="dxa"/>
          </w:tcPr>
          <w:p w14:paraId="24CC43F5" w14:textId="77777777" w:rsidR="00662023" w:rsidRPr="00FD75B3" w:rsidRDefault="00662023" w:rsidP="00871C26">
            <w:pPr>
              <w:rPr>
                <w:color w:val="000000"/>
                <w:sz w:val="20"/>
                <w:szCs w:val="20"/>
              </w:rPr>
            </w:pPr>
            <w:r w:rsidRPr="00FD75B3">
              <w:rPr>
                <w:color w:val="000000"/>
                <w:sz w:val="20"/>
                <w:szCs w:val="20"/>
              </w:rPr>
              <w:t>The average amount of time, in days, that a patient remains in the hospital before they are discharged</w:t>
            </w:r>
          </w:p>
        </w:tc>
        <w:tc>
          <w:tcPr>
            <w:tcW w:w="3613" w:type="dxa"/>
          </w:tcPr>
          <w:p w14:paraId="4B57C201" w14:textId="77777777" w:rsidR="00662023" w:rsidRPr="00FD75B3" w:rsidRDefault="00662023" w:rsidP="00871C26">
            <w:pPr>
              <w:rPr>
                <w:color w:val="000000"/>
                <w:sz w:val="20"/>
                <w:szCs w:val="20"/>
              </w:rPr>
            </w:pPr>
            <w:r w:rsidRPr="00FD75B3">
              <w:rPr>
                <w:color w:val="000000"/>
                <w:sz w:val="20"/>
                <w:szCs w:val="20"/>
              </w:rPr>
              <w:t xml:space="preserve">Length of stay has been shown to be associated with readmission rates in prior research. </w:t>
            </w:r>
          </w:p>
        </w:tc>
        <w:tc>
          <w:tcPr>
            <w:tcW w:w="3613" w:type="dxa"/>
          </w:tcPr>
          <w:p w14:paraId="00BA7C74" w14:textId="77777777" w:rsidR="00662023" w:rsidRPr="00FD75B3" w:rsidRDefault="00662023" w:rsidP="00871C26">
            <w:pPr>
              <w:rPr>
                <w:color w:val="000000"/>
                <w:sz w:val="20"/>
                <w:szCs w:val="20"/>
              </w:rPr>
            </w:pPr>
            <w:r w:rsidRPr="00FD75B3">
              <w:rPr>
                <w:color w:val="000000"/>
                <w:sz w:val="20"/>
                <w:szCs w:val="20"/>
              </w:rPr>
              <w:t>Medicare Cost Report; Aboelela, Stone, &amp; Larson, 2007; Chirikos &amp; Sear, 2000; Hofmarcher, Paterson, &amp; Riedel, 2002; Williams, et al., 2017; Reynolds, et al., 2015; Rachoin, Aplin, Gandhi, Kupersmith &amp; Cerceo, 2020</w:t>
            </w:r>
          </w:p>
          <w:p w14:paraId="0D452AB0" w14:textId="77777777" w:rsidR="00662023" w:rsidRPr="00FD75B3" w:rsidRDefault="00662023" w:rsidP="00871C26">
            <w:pPr>
              <w:rPr>
                <w:color w:val="000000"/>
                <w:sz w:val="20"/>
                <w:szCs w:val="20"/>
              </w:rPr>
            </w:pPr>
          </w:p>
        </w:tc>
      </w:tr>
      <w:tr w:rsidR="00662023" w:rsidRPr="00FD75B3" w14:paraId="7C03E5EF" w14:textId="77777777" w:rsidTr="00871C26">
        <w:trPr>
          <w:trHeight w:val="323"/>
        </w:trPr>
        <w:tc>
          <w:tcPr>
            <w:tcW w:w="1130" w:type="dxa"/>
            <w:vMerge/>
          </w:tcPr>
          <w:p w14:paraId="1517B034" w14:textId="77777777" w:rsidR="00662023" w:rsidRPr="00FD75B3" w:rsidRDefault="00662023" w:rsidP="00871C26">
            <w:pPr>
              <w:rPr>
                <w:color w:val="000000"/>
                <w:sz w:val="20"/>
                <w:szCs w:val="20"/>
              </w:rPr>
            </w:pPr>
          </w:p>
        </w:tc>
        <w:tc>
          <w:tcPr>
            <w:tcW w:w="1937" w:type="dxa"/>
          </w:tcPr>
          <w:p w14:paraId="48CF785E" w14:textId="77777777" w:rsidR="00662023" w:rsidRPr="00FD75B3" w:rsidRDefault="00662023" w:rsidP="00871C26">
            <w:pPr>
              <w:jc w:val="center"/>
              <w:rPr>
                <w:color w:val="000000"/>
                <w:sz w:val="20"/>
                <w:szCs w:val="20"/>
              </w:rPr>
            </w:pPr>
            <w:r w:rsidRPr="00FD75B3">
              <w:rPr>
                <w:color w:val="000000"/>
                <w:sz w:val="20"/>
                <w:szCs w:val="20"/>
              </w:rPr>
              <w:t>Outpatient Service Mix</w:t>
            </w:r>
          </w:p>
        </w:tc>
        <w:tc>
          <w:tcPr>
            <w:tcW w:w="2958" w:type="dxa"/>
          </w:tcPr>
          <w:p w14:paraId="5A499C8E" w14:textId="77777777" w:rsidR="00662023" w:rsidRPr="00FD75B3" w:rsidRDefault="00662023" w:rsidP="00871C26">
            <w:pPr>
              <w:rPr>
                <w:color w:val="000000"/>
                <w:sz w:val="20"/>
                <w:szCs w:val="20"/>
              </w:rPr>
            </w:pPr>
            <w:r w:rsidRPr="00FD75B3">
              <w:rPr>
                <w:color w:val="000000"/>
                <w:sz w:val="20"/>
                <w:szCs w:val="20"/>
              </w:rPr>
              <w:t xml:space="preserve">The average relative weight of the procedures billed for outpatient service </w:t>
            </w:r>
          </w:p>
        </w:tc>
        <w:tc>
          <w:tcPr>
            <w:tcW w:w="3613" w:type="dxa"/>
          </w:tcPr>
          <w:p w14:paraId="5507D30B" w14:textId="77777777" w:rsidR="00662023" w:rsidRPr="00FD75B3" w:rsidRDefault="00662023" w:rsidP="00871C26">
            <w:pPr>
              <w:autoSpaceDE w:val="0"/>
              <w:autoSpaceDN w:val="0"/>
              <w:adjustRightInd w:val="0"/>
              <w:rPr>
                <w:rFonts w:eastAsia="OpenSans-Light,Italic"/>
                <w:color w:val="000000"/>
                <w:sz w:val="20"/>
                <w:szCs w:val="20"/>
              </w:rPr>
            </w:pPr>
            <w:r w:rsidRPr="00FD75B3">
              <w:rPr>
                <w:rFonts w:eastAsia="OpenSans-Light,Italic"/>
                <w:color w:val="000000"/>
                <w:sz w:val="20"/>
                <w:szCs w:val="20"/>
              </w:rPr>
              <w:t xml:space="preserve">Availability of outpatient services has been shown to be associated with readmission reduction for some specialties. Those organizations with a high level of outpatient services may have more robust service offerings available to help limit readmissions. </w:t>
            </w:r>
          </w:p>
          <w:p w14:paraId="28383692" w14:textId="77777777" w:rsidR="00662023" w:rsidRPr="00FD75B3" w:rsidRDefault="00662023" w:rsidP="00871C26">
            <w:pPr>
              <w:rPr>
                <w:color w:val="000000"/>
                <w:sz w:val="20"/>
                <w:szCs w:val="20"/>
              </w:rPr>
            </w:pPr>
          </w:p>
        </w:tc>
        <w:tc>
          <w:tcPr>
            <w:tcW w:w="3613" w:type="dxa"/>
          </w:tcPr>
          <w:p w14:paraId="0F925642" w14:textId="77777777" w:rsidR="00662023" w:rsidRPr="00FD75B3" w:rsidRDefault="00662023" w:rsidP="00871C26">
            <w:pPr>
              <w:rPr>
                <w:color w:val="000000"/>
                <w:sz w:val="20"/>
                <w:szCs w:val="20"/>
              </w:rPr>
            </w:pPr>
            <w:r w:rsidRPr="00FD75B3">
              <w:rPr>
                <w:color w:val="000000"/>
                <w:sz w:val="20"/>
                <w:szCs w:val="20"/>
              </w:rPr>
              <w:t>Medicare Cost Report; Chirikos &amp; Sear, 2000; Cheng, Chan, Gula &amp; Parker, 2017; Budlong, Brummel Rhodes &amp; Nici, 2018</w:t>
            </w:r>
          </w:p>
        </w:tc>
      </w:tr>
      <w:tr w:rsidR="00662023" w:rsidRPr="00FD75B3" w14:paraId="532D2E69" w14:textId="77777777" w:rsidTr="00871C26">
        <w:tc>
          <w:tcPr>
            <w:tcW w:w="1130" w:type="dxa"/>
            <w:vMerge/>
          </w:tcPr>
          <w:p w14:paraId="3C98F85C" w14:textId="77777777" w:rsidR="00662023" w:rsidRPr="00FD75B3" w:rsidRDefault="00662023" w:rsidP="00871C26">
            <w:pPr>
              <w:rPr>
                <w:color w:val="000000"/>
                <w:sz w:val="20"/>
                <w:szCs w:val="20"/>
              </w:rPr>
            </w:pPr>
          </w:p>
        </w:tc>
        <w:tc>
          <w:tcPr>
            <w:tcW w:w="1937" w:type="dxa"/>
          </w:tcPr>
          <w:p w14:paraId="537CC90C" w14:textId="77777777" w:rsidR="00662023" w:rsidRPr="00FD75B3" w:rsidRDefault="00662023" w:rsidP="00871C26">
            <w:pPr>
              <w:jc w:val="center"/>
              <w:rPr>
                <w:color w:val="000000"/>
                <w:sz w:val="20"/>
                <w:szCs w:val="20"/>
              </w:rPr>
            </w:pPr>
            <w:r w:rsidRPr="00FD75B3">
              <w:rPr>
                <w:color w:val="000000"/>
                <w:sz w:val="20"/>
                <w:szCs w:val="20"/>
              </w:rPr>
              <w:t>Urban or Rural</w:t>
            </w:r>
          </w:p>
        </w:tc>
        <w:tc>
          <w:tcPr>
            <w:tcW w:w="2958" w:type="dxa"/>
          </w:tcPr>
          <w:p w14:paraId="7539B336" w14:textId="77777777" w:rsidR="00662023" w:rsidRPr="00FD75B3" w:rsidRDefault="00662023" w:rsidP="00871C26">
            <w:pPr>
              <w:rPr>
                <w:color w:val="000000"/>
                <w:sz w:val="20"/>
                <w:szCs w:val="20"/>
              </w:rPr>
            </w:pPr>
            <w:r w:rsidRPr="00FD75B3">
              <w:rPr>
                <w:color w:val="000000"/>
                <w:sz w:val="20"/>
                <w:szCs w:val="20"/>
              </w:rPr>
              <w:t xml:space="preserve">Location of the hospital based on the United States Census Bureau's classification system. Urban / urbanized areas are identified as locations &gt; 2,500 people. </w:t>
            </w:r>
          </w:p>
        </w:tc>
        <w:tc>
          <w:tcPr>
            <w:tcW w:w="3613" w:type="dxa"/>
          </w:tcPr>
          <w:p w14:paraId="419D275D" w14:textId="77777777" w:rsidR="00662023" w:rsidRPr="00FD75B3" w:rsidRDefault="00662023" w:rsidP="00871C26">
            <w:pPr>
              <w:rPr>
                <w:color w:val="000000"/>
                <w:sz w:val="20"/>
                <w:szCs w:val="20"/>
              </w:rPr>
            </w:pPr>
            <w:r w:rsidRPr="00FD75B3">
              <w:rPr>
                <w:color w:val="000000"/>
                <w:sz w:val="20"/>
                <w:szCs w:val="20"/>
              </w:rPr>
              <w:t xml:space="preserve">Rural hospitals, on average, serve an older patient population and have been shown to have a utilization rate (as measured by Medicare discharges per hospital), about one-third that for urban hospitals and an average length of stay two days shorter per Medicare discharge. </w:t>
            </w:r>
          </w:p>
        </w:tc>
        <w:tc>
          <w:tcPr>
            <w:tcW w:w="3613" w:type="dxa"/>
          </w:tcPr>
          <w:p w14:paraId="44FBE14B" w14:textId="77777777" w:rsidR="00662023" w:rsidRPr="00FD75B3" w:rsidRDefault="00662023" w:rsidP="00871C26">
            <w:pPr>
              <w:rPr>
                <w:color w:val="000000"/>
                <w:sz w:val="20"/>
                <w:szCs w:val="20"/>
              </w:rPr>
            </w:pPr>
            <w:r w:rsidRPr="00FD75B3">
              <w:rPr>
                <w:color w:val="000000"/>
                <w:sz w:val="20"/>
                <w:szCs w:val="20"/>
              </w:rPr>
              <w:t>US Census Bureau; Das, et. al, 2016; Lasater, Germack, Small, &amp; McHugh, 2016</w:t>
            </w:r>
          </w:p>
          <w:p w14:paraId="0DFED12B" w14:textId="77777777" w:rsidR="00662023" w:rsidRPr="00FD75B3" w:rsidRDefault="00662023" w:rsidP="00871C26">
            <w:pPr>
              <w:rPr>
                <w:color w:val="000000"/>
                <w:sz w:val="20"/>
                <w:szCs w:val="20"/>
              </w:rPr>
            </w:pPr>
          </w:p>
          <w:p w14:paraId="03AB06B6" w14:textId="77777777" w:rsidR="00662023" w:rsidRPr="00FD75B3" w:rsidRDefault="00662023" w:rsidP="00871C26">
            <w:pPr>
              <w:rPr>
                <w:color w:val="000000"/>
                <w:sz w:val="20"/>
                <w:szCs w:val="20"/>
              </w:rPr>
            </w:pPr>
          </w:p>
        </w:tc>
      </w:tr>
      <w:tr w:rsidR="00662023" w:rsidRPr="00FD75B3" w14:paraId="6DBFB424" w14:textId="77777777" w:rsidTr="00871C26">
        <w:tc>
          <w:tcPr>
            <w:tcW w:w="1130" w:type="dxa"/>
            <w:vMerge/>
          </w:tcPr>
          <w:p w14:paraId="075A5820" w14:textId="77777777" w:rsidR="00662023" w:rsidRPr="00FD75B3" w:rsidRDefault="00662023" w:rsidP="00871C26">
            <w:pPr>
              <w:rPr>
                <w:color w:val="000000"/>
                <w:sz w:val="20"/>
                <w:szCs w:val="20"/>
              </w:rPr>
            </w:pPr>
          </w:p>
        </w:tc>
        <w:tc>
          <w:tcPr>
            <w:tcW w:w="1937" w:type="dxa"/>
          </w:tcPr>
          <w:p w14:paraId="2FF37F45" w14:textId="77777777" w:rsidR="00662023" w:rsidRPr="00FD75B3" w:rsidRDefault="00662023" w:rsidP="00871C26">
            <w:pPr>
              <w:jc w:val="center"/>
              <w:rPr>
                <w:color w:val="000000"/>
                <w:sz w:val="20"/>
                <w:szCs w:val="20"/>
              </w:rPr>
            </w:pPr>
            <w:r w:rsidRPr="00FD75B3">
              <w:rPr>
                <w:color w:val="000000"/>
                <w:sz w:val="20"/>
                <w:szCs w:val="20"/>
              </w:rPr>
              <w:t>Government Operated</w:t>
            </w:r>
          </w:p>
        </w:tc>
        <w:tc>
          <w:tcPr>
            <w:tcW w:w="2958" w:type="dxa"/>
          </w:tcPr>
          <w:p w14:paraId="2B664406" w14:textId="77777777" w:rsidR="00662023" w:rsidRPr="00FD75B3" w:rsidRDefault="00662023" w:rsidP="00871C26">
            <w:pPr>
              <w:rPr>
                <w:color w:val="000000"/>
                <w:sz w:val="20"/>
                <w:szCs w:val="20"/>
              </w:rPr>
            </w:pPr>
            <w:r w:rsidRPr="00FD75B3">
              <w:rPr>
                <w:color w:val="000000"/>
                <w:sz w:val="20"/>
                <w:szCs w:val="20"/>
              </w:rPr>
              <w:t>Whether the hospital is operated by a government entity or not</w:t>
            </w:r>
          </w:p>
        </w:tc>
        <w:tc>
          <w:tcPr>
            <w:tcW w:w="3613" w:type="dxa"/>
          </w:tcPr>
          <w:p w14:paraId="0D4C5860" w14:textId="77777777" w:rsidR="00662023" w:rsidRPr="00FD75B3" w:rsidRDefault="00662023" w:rsidP="00871C26">
            <w:pPr>
              <w:autoSpaceDE w:val="0"/>
              <w:autoSpaceDN w:val="0"/>
              <w:adjustRightInd w:val="0"/>
              <w:rPr>
                <w:color w:val="000000"/>
                <w:sz w:val="20"/>
                <w:szCs w:val="20"/>
              </w:rPr>
            </w:pPr>
            <w:r w:rsidRPr="00FD75B3">
              <w:rPr>
                <w:color w:val="000000"/>
                <w:sz w:val="20"/>
                <w:szCs w:val="20"/>
              </w:rPr>
              <w:t xml:space="preserve">A dichotomous variable representing whether the hospital was owned/operated by a government entity (or not) was included in the study </w:t>
            </w:r>
            <w:r w:rsidRPr="00FD75B3">
              <w:rPr>
                <w:rFonts w:eastAsia="OpenSans-Light,Italic"/>
                <w:color w:val="000000"/>
                <w:sz w:val="20"/>
                <w:szCs w:val="20"/>
              </w:rPr>
              <w:t>given their differences in patient populations served, financing sources, and governance.</w:t>
            </w:r>
            <w:r w:rsidRPr="00FD75B3">
              <w:rPr>
                <w:rFonts w:eastAsia="OpenSans-Light,Italic"/>
                <w:b/>
                <w:bCs/>
                <w:color w:val="000000"/>
                <w:sz w:val="20"/>
                <w:szCs w:val="20"/>
              </w:rPr>
              <w:t xml:space="preserve">  </w:t>
            </w:r>
          </w:p>
        </w:tc>
        <w:tc>
          <w:tcPr>
            <w:tcW w:w="3613" w:type="dxa"/>
          </w:tcPr>
          <w:p w14:paraId="44E70536" w14:textId="77777777" w:rsidR="00662023" w:rsidRPr="00FD75B3" w:rsidRDefault="00662023" w:rsidP="00871C26">
            <w:pPr>
              <w:rPr>
                <w:color w:val="000000"/>
                <w:sz w:val="20"/>
                <w:szCs w:val="20"/>
              </w:rPr>
            </w:pPr>
            <w:r w:rsidRPr="00FD75B3">
              <w:rPr>
                <w:color w:val="000000"/>
                <w:sz w:val="20"/>
                <w:szCs w:val="20"/>
              </w:rPr>
              <w:t>Medicare Cost Report; Das, et. al, 2016; DesHarnais, McMahon, Wroblewski, &amp; Hogan, 1990; Chirikos &amp; Sear, 2000</w:t>
            </w:r>
          </w:p>
        </w:tc>
      </w:tr>
      <w:tr w:rsidR="00662023" w:rsidRPr="00FD75B3" w14:paraId="29C6DFBE" w14:textId="77777777" w:rsidTr="00871C26">
        <w:tc>
          <w:tcPr>
            <w:tcW w:w="1130" w:type="dxa"/>
            <w:vMerge/>
          </w:tcPr>
          <w:p w14:paraId="6E6ECCE0" w14:textId="77777777" w:rsidR="00662023" w:rsidRPr="00FD75B3" w:rsidRDefault="00662023" w:rsidP="00871C26">
            <w:pPr>
              <w:rPr>
                <w:color w:val="000000"/>
                <w:sz w:val="20"/>
                <w:szCs w:val="20"/>
              </w:rPr>
            </w:pPr>
          </w:p>
        </w:tc>
        <w:tc>
          <w:tcPr>
            <w:tcW w:w="1937" w:type="dxa"/>
          </w:tcPr>
          <w:p w14:paraId="2BB69AB2" w14:textId="77777777" w:rsidR="00662023" w:rsidRPr="00FD75B3" w:rsidRDefault="00662023" w:rsidP="00871C26">
            <w:pPr>
              <w:jc w:val="center"/>
              <w:rPr>
                <w:color w:val="000000"/>
                <w:sz w:val="20"/>
                <w:szCs w:val="20"/>
              </w:rPr>
            </w:pPr>
            <w:r w:rsidRPr="00FD75B3">
              <w:rPr>
                <w:color w:val="000000"/>
                <w:sz w:val="20"/>
                <w:szCs w:val="20"/>
              </w:rPr>
              <w:t>Number of Discharges</w:t>
            </w:r>
          </w:p>
        </w:tc>
        <w:tc>
          <w:tcPr>
            <w:tcW w:w="2958" w:type="dxa"/>
          </w:tcPr>
          <w:p w14:paraId="1759791B" w14:textId="77777777" w:rsidR="00662023" w:rsidRPr="00FD75B3" w:rsidRDefault="00662023" w:rsidP="00871C26">
            <w:pPr>
              <w:rPr>
                <w:color w:val="000000"/>
                <w:sz w:val="20"/>
                <w:szCs w:val="20"/>
              </w:rPr>
            </w:pPr>
            <w:r w:rsidRPr="00FD75B3">
              <w:rPr>
                <w:color w:val="000000"/>
                <w:sz w:val="20"/>
                <w:szCs w:val="20"/>
              </w:rPr>
              <w:t>The amount of individuals that are determined to be healthy enough to be discharged from the care of the hospital.</w:t>
            </w:r>
          </w:p>
        </w:tc>
        <w:tc>
          <w:tcPr>
            <w:tcW w:w="3613" w:type="dxa"/>
          </w:tcPr>
          <w:p w14:paraId="5E87BD80" w14:textId="77777777" w:rsidR="00662023" w:rsidRPr="00FD75B3" w:rsidRDefault="00662023" w:rsidP="00871C26">
            <w:pPr>
              <w:rPr>
                <w:bCs/>
                <w:color w:val="000000"/>
                <w:sz w:val="20"/>
                <w:szCs w:val="20"/>
              </w:rPr>
            </w:pPr>
            <w:r w:rsidRPr="00FD75B3">
              <w:rPr>
                <w:bCs/>
                <w:color w:val="000000"/>
                <w:sz w:val="20"/>
                <w:szCs w:val="20"/>
              </w:rPr>
              <w:t xml:space="preserve">The volume of hospital discharges has been shown in prior literature to be associated with readmission rates. </w:t>
            </w:r>
          </w:p>
        </w:tc>
        <w:tc>
          <w:tcPr>
            <w:tcW w:w="3613" w:type="dxa"/>
          </w:tcPr>
          <w:p w14:paraId="187DB649" w14:textId="77777777" w:rsidR="00662023" w:rsidRPr="00FD75B3" w:rsidRDefault="00662023" w:rsidP="00871C26">
            <w:pPr>
              <w:rPr>
                <w:bCs/>
                <w:color w:val="000000"/>
                <w:sz w:val="20"/>
                <w:szCs w:val="20"/>
              </w:rPr>
            </w:pPr>
            <w:r w:rsidRPr="00FD75B3">
              <w:rPr>
                <w:color w:val="000000"/>
                <w:sz w:val="20"/>
                <w:szCs w:val="20"/>
              </w:rPr>
              <w:t xml:space="preserve">Medicare Cost Report; </w:t>
            </w:r>
            <w:r w:rsidRPr="00FD75B3">
              <w:rPr>
                <w:bCs/>
                <w:color w:val="000000"/>
                <w:sz w:val="20"/>
                <w:szCs w:val="20"/>
              </w:rPr>
              <w:t>Ayanian &amp; Weissman, 2002</w:t>
            </w:r>
            <w:r w:rsidRPr="00FD75B3">
              <w:rPr>
                <w:b/>
                <w:color w:val="000000"/>
                <w:sz w:val="20"/>
                <w:szCs w:val="20"/>
              </w:rPr>
              <w:t>;</w:t>
            </w:r>
            <w:r w:rsidRPr="00FD75B3">
              <w:rPr>
                <w:color w:val="000000"/>
                <w:sz w:val="20"/>
                <w:szCs w:val="20"/>
              </w:rPr>
              <w:t xml:space="preserve"> Hofmarcher, Paterson, &amp; Riedel, 2002; Horwitz, et al., 2015.</w:t>
            </w:r>
          </w:p>
        </w:tc>
      </w:tr>
      <w:tr w:rsidR="00662023" w:rsidRPr="00FD75B3" w14:paraId="1A842778" w14:textId="77777777" w:rsidTr="00871C26">
        <w:tc>
          <w:tcPr>
            <w:tcW w:w="1130" w:type="dxa"/>
            <w:vMerge/>
          </w:tcPr>
          <w:p w14:paraId="4D8251F7" w14:textId="77777777" w:rsidR="00662023" w:rsidRPr="00FD75B3" w:rsidRDefault="00662023" w:rsidP="00871C26">
            <w:pPr>
              <w:rPr>
                <w:color w:val="000000"/>
                <w:sz w:val="20"/>
                <w:szCs w:val="20"/>
              </w:rPr>
            </w:pPr>
          </w:p>
        </w:tc>
        <w:tc>
          <w:tcPr>
            <w:tcW w:w="1937" w:type="dxa"/>
          </w:tcPr>
          <w:p w14:paraId="1B8F57AF" w14:textId="77777777" w:rsidR="00662023" w:rsidRPr="00FD75B3" w:rsidRDefault="00662023" w:rsidP="00871C26">
            <w:pPr>
              <w:jc w:val="center"/>
              <w:rPr>
                <w:color w:val="000000"/>
                <w:sz w:val="20"/>
                <w:szCs w:val="20"/>
              </w:rPr>
            </w:pPr>
            <w:r w:rsidRPr="00FD75B3">
              <w:rPr>
                <w:color w:val="000000"/>
                <w:sz w:val="20"/>
                <w:szCs w:val="20"/>
              </w:rPr>
              <w:t>System Member</w:t>
            </w:r>
          </w:p>
        </w:tc>
        <w:tc>
          <w:tcPr>
            <w:tcW w:w="2958" w:type="dxa"/>
          </w:tcPr>
          <w:p w14:paraId="65239E14" w14:textId="77777777" w:rsidR="00662023" w:rsidRPr="00FD75B3" w:rsidRDefault="00662023" w:rsidP="00871C26">
            <w:pPr>
              <w:rPr>
                <w:color w:val="000000"/>
                <w:sz w:val="20"/>
                <w:szCs w:val="20"/>
              </w:rPr>
            </w:pPr>
            <w:r w:rsidRPr="00FD75B3">
              <w:rPr>
                <w:color w:val="000000"/>
                <w:sz w:val="20"/>
                <w:szCs w:val="20"/>
              </w:rPr>
              <w:t>Whether the hospital is part of a hospital system</w:t>
            </w:r>
          </w:p>
        </w:tc>
        <w:tc>
          <w:tcPr>
            <w:tcW w:w="3613" w:type="dxa"/>
          </w:tcPr>
          <w:p w14:paraId="22744660" w14:textId="77777777" w:rsidR="00662023" w:rsidRPr="00FD75B3" w:rsidRDefault="00662023" w:rsidP="00871C26">
            <w:pPr>
              <w:rPr>
                <w:color w:val="000000"/>
                <w:sz w:val="20"/>
                <w:szCs w:val="20"/>
              </w:rPr>
            </w:pPr>
            <w:r w:rsidRPr="00FD75B3">
              <w:rPr>
                <w:color w:val="000000"/>
                <w:sz w:val="20"/>
                <w:szCs w:val="20"/>
              </w:rPr>
              <w:t>Prior studies have shown that hospitals that are affiliated with integrated systems are more capable of reducing hospital readmissions. System members may be more adept at sharing resources and leading practice methods to positively influence readmission rates.</w:t>
            </w:r>
          </w:p>
        </w:tc>
        <w:tc>
          <w:tcPr>
            <w:tcW w:w="3613" w:type="dxa"/>
          </w:tcPr>
          <w:p w14:paraId="61BC93EF" w14:textId="77777777" w:rsidR="00662023" w:rsidRPr="00FD75B3" w:rsidRDefault="00662023" w:rsidP="00871C26">
            <w:pPr>
              <w:rPr>
                <w:b/>
                <w:color w:val="000000"/>
                <w:sz w:val="20"/>
                <w:szCs w:val="20"/>
              </w:rPr>
            </w:pPr>
            <w:r w:rsidRPr="00FD75B3">
              <w:rPr>
                <w:color w:val="000000"/>
                <w:sz w:val="20"/>
                <w:szCs w:val="20"/>
              </w:rPr>
              <w:t>Medicare Cost Report; Gray, 1986</w:t>
            </w:r>
            <w:r w:rsidRPr="00FD75B3">
              <w:rPr>
                <w:b/>
                <w:color w:val="000000"/>
                <w:sz w:val="20"/>
                <w:szCs w:val="20"/>
              </w:rPr>
              <w:t xml:space="preserve">; </w:t>
            </w:r>
            <w:r w:rsidRPr="00FD75B3">
              <w:rPr>
                <w:bCs/>
                <w:color w:val="000000"/>
                <w:sz w:val="20"/>
                <w:szCs w:val="20"/>
              </w:rPr>
              <w:t>Silow-Carroll, Edwards &amp; Lashbrook (2011)</w:t>
            </w:r>
          </w:p>
        </w:tc>
      </w:tr>
      <w:tr w:rsidR="00662023" w:rsidRPr="00FD75B3" w14:paraId="6A38B5C1" w14:textId="77777777" w:rsidTr="00871C26">
        <w:tc>
          <w:tcPr>
            <w:tcW w:w="1130" w:type="dxa"/>
            <w:vMerge/>
          </w:tcPr>
          <w:p w14:paraId="5AEAF2CB" w14:textId="77777777" w:rsidR="00662023" w:rsidRPr="00FD75B3" w:rsidRDefault="00662023" w:rsidP="00871C26">
            <w:pPr>
              <w:rPr>
                <w:color w:val="000000"/>
                <w:sz w:val="20"/>
                <w:szCs w:val="20"/>
              </w:rPr>
            </w:pPr>
          </w:p>
        </w:tc>
        <w:tc>
          <w:tcPr>
            <w:tcW w:w="1937" w:type="dxa"/>
          </w:tcPr>
          <w:p w14:paraId="02714B8A" w14:textId="77777777" w:rsidR="00662023" w:rsidRPr="00FD75B3" w:rsidRDefault="00662023" w:rsidP="00871C26">
            <w:pPr>
              <w:jc w:val="center"/>
              <w:rPr>
                <w:color w:val="000000"/>
                <w:sz w:val="20"/>
                <w:szCs w:val="20"/>
              </w:rPr>
            </w:pPr>
            <w:r w:rsidRPr="00FD75B3">
              <w:rPr>
                <w:color w:val="000000"/>
                <w:sz w:val="20"/>
                <w:szCs w:val="20"/>
              </w:rPr>
              <w:t>Hospital Compare Rating</w:t>
            </w:r>
          </w:p>
        </w:tc>
        <w:tc>
          <w:tcPr>
            <w:tcW w:w="2958" w:type="dxa"/>
          </w:tcPr>
          <w:p w14:paraId="4F6B8EED" w14:textId="77777777" w:rsidR="00662023" w:rsidRPr="00FD75B3" w:rsidRDefault="00662023" w:rsidP="00871C26">
            <w:pPr>
              <w:rPr>
                <w:color w:val="000000"/>
                <w:sz w:val="20"/>
                <w:szCs w:val="20"/>
              </w:rPr>
            </w:pPr>
            <w:r w:rsidRPr="00FD75B3">
              <w:rPr>
                <w:color w:val="000000"/>
                <w:sz w:val="20"/>
                <w:szCs w:val="20"/>
              </w:rPr>
              <w:t>A consumer-oriented website that provides information on how well hospitals provide recommended care to their patients</w:t>
            </w:r>
          </w:p>
          <w:p w14:paraId="6C56F0DD" w14:textId="77777777" w:rsidR="00662023" w:rsidRPr="00FD75B3" w:rsidRDefault="00662023" w:rsidP="00871C26">
            <w:pPr>
              <w:rPr>
                <w:color w:val="000000"/>
                <w:sz w:val="20"/>
                <w:szCs w:val="20"/>
              </w:rPr>
            </w:pPr>
            <w:r w:rsidRPr="00FD75B3">
              <w:rPr>
                <w:color w:val="000000"/>
                <w:sz w:val="20"/>
                <w:szCs w:val="20"/>
              </w:rPr>
              <w:t>(CMS.gov)</w:t>
            </w:r>
          </w:p>
          <w:p w14:paraId="5E634C2A" w14:textId="77777777" w:rsidR="00662023" w:rsidRPr="00FD75B3" w:rsidRDefault="00662023" w:rsidP="00871C26">
            <w:pPr>
              <w:rPr>
                <w:color w:val="000000"/>
                <w:sz w:val="20"/>
                <w:szCs w:val="20"/>
              </w:rPr>
            </w:pPr>
          </w:p>
        </w:tc>
        <w:tc>
          <w:tcPr>
            <w:tcW w:w="3613" w:type="dxa"/>
          </w:tcPr>
          <w:p w14:paraId="226DC718" w14:textId="77777777" w:rsidR="00662023" w:rsidRPr="00FD75B3" w:rsidRDefault="00662023" w:rsidP="00871C26">
            <w:pPr>
              <w:rPr>
                <w:bCs/>
                <w:color w:val="000000"/>
                <w:sz w:val="20"/>
                <w:szCs w:val="20"/>
              </w:rPr>
            </w:pPr>
            <w:r w:rsidRPr="00FD75B3">
              <w:rPr>
                <w:bCs/>
                <w:color w:val="000000"/>
                <w:sz w:val="20"/>
                <w:szCs w:val="20"/>
              </w:rPr>
              <w:t xml:space="preserve">Hospital Compare scores are partially based on hospital readmission rates. In addition, we included consumer perceptions of quality of care in our study as patients and payers may alter their choices regarding hospital care venue based on publicly facing quality </w:t>
            </w:r>
            <w:r w:rsidRPr="00FD75B3">
              <w:rPr>
                <w:bCs/>
                <w:color w:val="000000"/>
                <w:sz w:val="20"/>
                <w:szCs w:val="20"/>
              </w:rPr>
              <w:lastRenderedPageBreak/>
              <w:t xml:space="preserve">information. This may have an associated effect on readmission rates. </w:t>
            </w:r>
          </w:p>
        </w:tc>
        <w:tc>
          <w:tcPr>
            <w:tcW w:w="3613" w:type="dxa"/>
          </w:tcPr>
          <w:p w14:paraId="687BA368" w14:textId="77777777" w:rsidR="00662023" w:rsidRPr="00FD75B3" w:rsidRDefault="00662023" w:rsidP="00871C26">
            <w:pPr>
              <w:rPr>
                <w:color w:val="000000"/>
                <w:sz w:val="20"/>
                <w:szCs w:val="20"/>
              </w:rPr>
            </w:pPr>
            <w:r w:rsidRPr="00FD75B3">
              <w:rPr>
                <w:bCs/>
                <w:color w:val="000000"/>
                <w:sz w:val="20"/>
                <w:szCs w:val="20"/>
              </w:rPr>
              <w:lastRenderedPageBreak/>
              <w:t>Hospital Compare: Goldman &amp; Dudley, 2008; Halasyamani &amp; Davis, 2007; Silber, Rosenbaum, Brachet, Ross, Bressler, et. al, 2010; Werner &amp; Bradlow, 2006</w:t>
            </w:r>
          </w:p>
        </w:tc>
      </w:tr>
      <w:tr w:rsidR="00662023" w:rsidRPr="00FD75B3" w14:paraId="1377FC53" w14:textId="77777777" w:rsidTr="00871C26">
        <w:tc>
          <w:tcPr>
            <w:tcW w:w="1130" w:type="dxa"/>
            <w:vMerge/>
          </w:tcPr>
          <w:p w14:paraId="1CA19950" w14:textId="77777777" w:rsidR="00662023" w:rsidRPr="00FD75B3" w:rsidRDefault="00662023" w:rsidP="00871C26">
            <w:pPr>
              <w:rPr>
                <w:color w:val="000000"/>
                <w:sz w:val="20"/>
                <w:szCs w:val="20"/>
              </w:rPr>
            </w:pPr>
          </w:p>
        </w:tc>
        <w:tc>
          <w:tcPr>
            <w:tcW w:w="1937" w:type="dxa"/>
          </w:tcPr>
          <w:p w14:paraId="7E8350A0" w14:textId="77777777" w:rsidR="00662023" w:rsidRPr="00FD75B3" w:rsidRDefault="00662023" w:rsidP="00871C26">
            <w:pPr>
              <w:jc w:val="center"/>
              <w:rPr>
                <w:color w:val="000000"/>
                <w:sz w:val="20"/>
                <w:szCs w:val="20"/>
              </w:rPr>
            </w:pPr>
            <w:r w:rsidRPr="00FD75B3">
              <w:rPr>
                <w:color w:val="000000"/>
                <w:sz w:val="20"/>
                <w:szCs w:val="20"/>
              </w:rPr>
              <w:t xml:space="preserve">Market Concentration Index </w:t>
            </w:r>
          </w:p>
        </w:tc>
        <w:tc>
          <w:tcPr>
            <w:tcW w:w="2958" w:type="dxa"/>
          </w:tcPr>
          <w:p w14:paraId="0EB8FDAB" w14:textId="77777777" w:rsidR="00662023" w:rsidRPr="00FD75B3" w:rsidRDefault="00662023" w:rsidP="00871C26">
            <w:pPr>
              <w:rPr>
                <w:color w:val="000000"/>
                <w:sz w:val="20"/>
                <w:szCs w:val="20"/>
              </w:rPr>
            </w:pPr>
            <w:r w:rsidRPr="00FD75B3">
              <w:rPr>
                <w:color w:val="000000"/>
                <w:sz w:val="20"/>
                <w:szCs w:val="20"/>
              </w:rPr>
              <w:t xml:space="preserve">The </w:t>
            </w:r>
            <w:r w:rsidRPr="00FD75B3">
              <w:rPr>
                <w:rStyle w:val="Emphasis"/>
                <w:color w:val="000000"/>
              </w:rPr>
              <w:t>Herfindahl</w:t>
            </w:r>
            <w:r w:rsidRPr="00FD75B3">
              <w:rPr>
                <w:color w:val="000000"/>
                <w:sz w:val="20"/>
                <w:szCs w:val="20"/>
              </w:rPr>
              <w:t>–Hirschman Index is a commonly accepted measure of </w:t>
            </w:r>
            <w:r w:rsidRPr="00FD75B3">
              <w:rPr>
                <w:rStyle w:val="Emphasis"/>
                <w:color w:val="000000"/>
              </w:rPr>
              <w:t>market concentration</w:t>
            </w:r>
            <w:r w:rsidRPr="00FD75B3">
              <w:rPr>
                <w:color w:val="000000"/>
                <w:sz w:val="20"/>
                <w:szCs w:val="20"/>
              </w:rPr>
              <w:t>. The </w:t>
            </w:r>
            <w:r w:rsidRPr="00FD75B3">
              <w:rPr>
                <w:rStyle w:val="Emphasis"/>
                <w:color w:val="000000"/>
              </w:rPr>
              <w:t>HHI</w:t>
            </w:r>
            <w:r w:rsidRPr="00FD75B3">
              <w:rPr>
                <w:color w:val="000000"/>
                <w:sz w:val="20"/>
                <w:szCs w:val="20"/>
              </w:rPr>
              <w:t> is calculated by squaring the </w:t>
            </w:r>
            <w:r w:rsidRPr="00FD75B3">
              <w:rPr>
                <w:rStyle w:val="Emphasis"/>
                <w:color w:val="000000"/>
              </w:rPr>
              <w:t>market</w:t>
            </w:r>
            <w:r w:rsidRPr="00FD75B3">
              <w:rPr>
                <w:color w:val="000000"/>
                <w:sz w:val="20"/>
                <w:szCs w:val="20"/>
              </w:rPr>
              <w:t> share of each firm competing in the </w:t>
            </w:r>
            <w:r w:rsidRPr="00FD75B3">
              <w:rPr>
                <w:rStyle w:val="Emphasis"/>
                <w:color w:val="000000"/>
              </w:rPr>
              <w:t>market</w:t>
            </w:r>
            <w:r w:rsidRPr="00FD75B3">
              <w:rPr>
                <w:color w:val="000000"/>
                <w:sz w:val="20"/>
                <w:szCs w:val="20"/>
              </w:rPr>
              <w:t> and then summing the resulting numbers.</w:t>
            </w:r>
          </w:p>
        </w:tc>
        <w:tc>
          <w:tcPr>
            <w:tcW w:w="3613" w:type="dxa"/>
          </w:tcPr>
          <w:p w14:paraId="69E84031" w14:textId="77777777" w:rsidR="00662023" w:rsidRPr="00FD75B3" w:rsidRDefault="00662023" w:rsidP="00871C26">
            <w:pPr>
              <w:rPr>
                <w:color w:val="000000"/>
                <w:sz w:val="20"/>
                <w:szCs w:val="20"/>
              </w:rPr>
            </w:pPr>
            <w:r w:rsidRPr="00FD75B3">
              <w:rPr>
                <w:color w:val="000000"/>
                <w:sz w:val="20"/>
                <w:szCs w:val="20"/>
              </w:rPr>
              <w:t>The market concentration index has been shown to be associated with readmission rates in some studies.</w:t>
            </w:r>
          </w:p>
        </w:tc>
        <w:tc>
          <w:tcPr>
            <w:tcW w:w="3613" w:type="dxa"/>
          </w:tcPr>
          <w:p w14:paraId="0DF3850D" w14:textId="77777777" w:rsidR="00662023" w:rsidRPr="00FD75B3" w:rsidRDefault="00662023" w:rsidP="00871C26">
            <w:pPr>
              <w:rPr>
                <w:color w:val="000000"/>
                <w:sz w:val="20"/>
                <w:szCs w:val="20"/>
              </w:rPr>
            </w:pPr>
            <w:r w:rsidRPr="00FD75B3">
              <w:rPr>
                <w:color w:val="000000"/>
                <w:sz w:val="20"/>
                <w:szCs w:val="20"/>
              </w:rPr>
              <w:t>Medicare Cost Report; Lasater, Germack, Small, &amp; McHugh, 2016; Ho &amp; Hamilton, 2000; Short &amp; Ho, 2020</w:t>
            </w:r>
          </w:p>
          <w:p w14:paraId="5243F0C1" w14:textId="77777777" w:rsidR="00662023" w:rsidRPr="00FD75B3" w:rsidRDefault="00662023" w:rsidP="00871C26">
            <w:pPr>
              <w:rPr>
                <w:color w:val="000000"/>
                <w:sz w:val="20"/>
                <w:szCs w:val="20"/>
              </w:rPr>
            </w:pPr>
          </w:p>
        </w:tc>
      </w:tr>
      <w:tr w:rsidR="00662023" w:rsidRPr="00FD75B3" w14:paraId="197B3C83" w14:textId="77777777" w:rsidTr="00871C26">
        <w:tc>
          <w:tcPr>
            <w:tcW w:w="1130" w:type="dxa"/>
            <w:vMerge/>
          </w:tcPr>
          <w:p w14:paraId="7D17B851" w14:textId="77777777" w:rsidR="00662023" w:rsidRPr="00FD75B3" w:rsidRDefault="00662023" w:rsidP="00871C26">
            <w:pPr>
              <w:rPr>
                <w:color w:val="000000"/>
                <w:sz w:val="20"/>
                <w:szCs w:val="20"/>
              </w:rPr>
            </w:pPr>
          </w:p>
        </w:tc>
        <w:tc>
          <w:tcPr>
            <w:tcW w:w="1937" w:type="dxa"/>
          </w:tcPr>
          <w:p w14:paraId="1206F629" w14:textId="77777777" w:rsidR="00662023" w:rsidRPr="00FD75B3" w:rsidRDefault="00662023" w:rsidP="00871C26">
            <w:pPr>
              <w:jc w:val="center"/>
              <w:rPr>
                <w:color w:val="000000"/>
                <w:sz w:val="20"/>
                <w:szCs w:val="20"/>
              </w:rPr>
            </w:pPr>
            <w:r w:rsidRPr="00FD75B3">
              <w:rPr>
                <w:color w:val="000000"/>
                <w:sz w:val="20"/>
                <w:szCs w:val="20"/>
              </w:rPr>
              <w:t>Occupancy Rate</w:t>
            </w:r>
          </w:p>
        </w:tc>
        <w:tc>
          <w:tcPr>
            <w:tcW w:w="2958" w:type="dxa"/>
          </w:tcPr>
          <w:p w14:paraId="301E4AC1" w14:textId="77777777" w:rsidR="00662023" w:rsidRPr="00FD75B3" w:rsidRDefault="00662023" w:rsidP="00871C26">
            <w:pPr>
              <w:rPr>
                <w:color w:val="000000"/>
                <w:sz w:val="20"/>
                <w:szCs w:val="20"/>
              </w:rPr>
            </w:pPr>
            <w:r w:rsidRPr="00FD75B3">
              <w:rPr>
                <w:color w:val="000000"/>
                <w:sz w:val="20"/>
                <w:szCs w:val="20"/>
              </w:rPr>
              <w:t>The proportion of a hospital’s inpatient capacity being utilized for inpatient care</w:t>
            </w:r>
          </w:p>
          <w:p w14:paraId="15268903" w14:textId="77777777" w:rsidR="00662023" w:rsidRPr="00FD75B3" w:rsidRDefault="00662023" w:rsidP="00871C26">
            <w:pPr>
              <w:rPr>
                <w:color w:val="000000"/>
                <w:sz w:val="20"/>
                <w:szCs w:val="20"/>
              </w:rPr>
            </w:pPr>
            <w:r w:rsidRPr="00FD75B3">
              <w:rPr>
                <w:color w:val="000000"/>
                <w:sz w:val="20"/>
                <w:szCs w:val="20"/>
              </w:rPr>
              <w:t>(Health care Financial Management)</w:t>
            </w:r>
          </w:p>
        </w:tc>
        <w:tc>
          <w:tcPr>
            <w:tcW w:w="3613" w:type="dxa"/>
          </w:tcPr>
          <w:p w14:paraId="0262E2BA" w14:textId="77777777" w:rsidR="00662023" w:rsidRPr="00FD75B3" w:rsidRDefault="00662023" w:rsidP="00871C26">
            <w:pPr>
              <w:rPr>
                <w:color w:val="000000"/>
                <w:sz w:val="20"/>
                <w:szCs w:val="20"/>
              </w:rPr>
            </w:pPr>
            <w:r w:rsidRPr="00FD75B3">
              <w:rPr>
                <w:color w:val="000000"/>
                <w:sz w:val="20"/>
                <w:szCs w:val="20"/>
              </w:rPr>
              <w:t>The hospital occupancy rate has been shown to be associated with readmission rates in some studies.</w:t>
            </w:r>
          </w:p>
        </w:tc>
        <w:tc>
          <w:tcPr>
            <w:tcW w:w="3613" w:type="dxa"/>
          </w:tcPr>
          <w:p w14:paraId="26A0BA9C" w14:textId="77777777" w:rsidR="00662023" w:rsidRPr="00FD75B3" w:rsidRDefault="00662023" w:rsidP="00871C26">
            <w:pPr>
              <w:rPr>
                <w:color w:val="000000"/>
                <w:sz w:val="20"/>
                <w:szCs w:val="20"/>
              </w:rPr>
            </w:pPr>
            <w:r w:rsidRPr="00FD75B3">
              <w:rPr>
                <w:color w:val="000000"/>
                <w:sz w:val="20"/>
                <w:szCs w:val="20"/>
              </w:rPr>
              <w:t>Medicare Cost Report; Chirikos &amp; Sear, 2000; Das, et. al, 2016; Friebel, et al., 2019</w:t>
            </w:r>
          </w:p>
          <w:p w14:paraId="7F23BF9F" w14:textId="77777777" w:rsidR="00662023" w:rsidRPr="00FD75B3" w:rsidRDefault="00662023" w:rsidP="00871C26">
            <w:pPr>
              <w:rPr>
                <w:color w:val="000000"/>
                <w:sz w:val="20"/>
                <w:szCs w:val="20"/>
              </w:rPr>
            </w:pPr>
          </w:p>
        </w:tc>
      </w:tr>
      <w:tr w:rsidR="00662023" w:rsidRPr="00FD75B3" w14:paraId="043CE4C8" w14:textId="77777777" w:rsidTr="00871C26">
        <w:tc>
          <w:tcPr>
            <w:tcW w:w="1130" w:type="dxa"/>
            <w:vMerge/>
          </w:tcPr>
          <w:p w14:paraId="27CD29E9" w14:textId="77777777" w:rsidR="00662023" w:rsidRPr="00FD75B3" w:rsidRDefault="00662023" w:rsidP="00871C26">
            <w:pPr>
              <w:rPr>
                <w:color w:val="000000"/>
                <w:sz w:val="20"/>
                <w:szCs w:val="20"/>
              </w:rPr>
            </w:pPr>
          </w:p>
        </w:tc>
        <w:tc>
          <w:tcPr>
            <w:tcW w:w="1937" w:type="dxa"/>
          </w:tcPr>
          <w:p w14:paraId="04CD8B97" w14:textId="77777777" w:rsidR="00662023" w:rsidRPr="00FD75B3" w:rsidRDefault="00662023" w:rsidP="00871C26">
            <w:pPr>
              <w:jc w:val="center"/>
              <w:rPr>
                <w:color w:val="000000"/>
                <w:sz w:val="20"/>
                <w:szCs w:val="20"/>
              </w:rPr>
            </w:pPr>
            <w:r w:rsidRPr="00FD75B3">
              <w:rPr>
                <w:color w:val="000000"/>
                <w:sz w:val="20"/>
                <w:szCs w:val="20"/>
              </w:rPr>
              <w:t>Region</w:t>
            </w:r>
          </w:p>
        </w:tc>
        <w:tc>
          <w:tcPr>
            <w:tcW w:w="2958" w:type="dxa"/>
          </w:tcPr>
          <w:p w14:paraId="5C70DF51" w14:textId="77777777" w:rsidR="00662023" w:rsidRPr="00FD75B3" w:rsidRDefault="00662023" w:rsidP="00871C26">
            <w:pPr>
              <w:rPr>
                <w:color w:val="000000"/>
                <w:sz w:val="20"/>
                <w:szCs w:val="20"/>
              </w:rPr>
            </w:pPr>
            <w:r w:rsidRPr="00FD75B3">
              <w:rPr>
                <w:color w:val="000000"/>
                <w:sz w:val="20"/>
                <w:szCs w:val="20"/>
              </w:rPr>
              <w:t>The area in the part of the country they are located as defined by the American Hospital Association.</w:t>
            </w:r>
          </w:p>
        </w:tc>
        <w:tc>
          <w:tcPr>
            <w:tcW w:w="3613" w:type="dxa"/>
          </w:tcPr>
          <w:p w14:paraId="713420DB" w14:textId="77777777" w:rsidR="00662023" w:rsidRPr="00FD75B3" w:rsidRDefault="00662023" w:rsidP="00871C26">
            <w:pPr>
              <w:rPr>
                <w:color w:val="000000"/>
                <w:sz w:val="20"/>
                <w:szCs w:val="20"/>
              </w:rPr>
            </w:pPr>
            <w:r w:rsidRPr="00FD75B3">
              <w:rPr>
                <w:color w:val="000000"/>
                <w:sz w:val="20"/>
                <w:szCs w:val="20"/>
              </w:rPr>
              <w:t>Prior studies have shown significant variation in readmission rates by US region. Readmission rates have been shown to be affected by differences in demographic characteristics and disease profiles among beneficiaries in different areas of the country.</w:t>
            </w:r>
          </w:p>
        </w:tc>
        <w:tc>
          <w:tcPr>
            <w:tcW w:w="3613" w:type="dxa"/>
          </w:tcPr>
          <w:p w14:paraId="77DD6A1D" w14:textId="77777777" w:rsidR="00662023" w:rsidRPr="00FD75B3" w:rsidRDefault="00662023" w:rsidP="00871C26">
            <w:pPr>
              <w:rPr>
                <w:color w:val="000000"/>
                <w:sz w:val="20"/>
                <w:szCs w:val="20"/>
              </w:rPr>
            </w:pPr>
            <w:r w:rsidRPr="00FD75B3">
              <w:rPr>
                <w:color w:val="000000"/>
                <w:sz w:val="20"/>
                <w:szCs w:val="20"/>
              </w:rPr>
              <w:t>American Hospital Association; Borah, et. al, 2012; Das, et. al, 2016; DesHarnais, McMahon, Wroblewski, &amp; Hogan, 1990; Gray, 1986; Robert Wood Johnson Foundation, 2013; Daras, Ingber, Deutsch, Hefele, Perloff, 2018</w:t>
            </w:r>
          </w:p>
        </w:tc>
      </w:tr>
    </w:tbl>
    <w:p w14:paraId="79230747" w14:textId="77777777" w:rsidR="00536948" w:rsidRPr="00FD75B3" w:rsidRDefault="00536948">
      <w:pPr>
        <w:rPr>
          <w:color w:val="000000"/>
        </w:rPr>
      </w:pPr>
    </w:p>
    <w:sectPr w:rsidR="00536948" w:rsidRPr="00FD75B3" w:rsidSect="0066202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ans-Light,Italic">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23"/>
    <w:rsid w:val="00536948"/>
    <w:rsid w:val="00662023"/>
    <w:rsid w:val="00FD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5F136"/>
  <w15:chartTrackingRefBased/>
  <w15:docId w15:val="{E95855F2-C6D3-4F79-84B5-E53BC235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0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202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62023"/>
    <w:rPr>
      <w:i/>
      <w:iCs/>
    </w:rPr>
  </w:style>
  <w:style w:type="character" w:styleId="CommentReference">
    <w:name w:val="annotation reference"/>
    <w:basedOn w:val="DefaultParagraphFont"/>
    <w:uiPriority w:val="99"/>
    <w:semiHidden/>
    <w:unhideWhenUsed/>
    <w:rsid w:val="00662023"/>
    <w:rPr>
      <w:sz w:val="16"/>
      <w:szCs w:val="16"/>
    </w:rPr>
  </w:style>
  <w:style w:type="paragraph" w:styleId="CommentText">
    <w:name w:val="annotation text"/>
    <w:basedOn w:val="Normal"/>
    <w:link w:val="CommentTextChar"/>
    <w:uiPriority w:val="99"/>
    <w:unhideWhenUsed/>
    <w:rsid w:val="00662023"/>
    <w:rPr>
      <w:sz w:val="20"/>
      <w:szCs w:val="20"/>
    </w:rPr>
  </w:style>
  <w:style w:type="character" w:customStyle="1" w:styleId="CommentTextChar">
    <w:name w:val="Comment Text Char"/>
    <w:basedOn w:val="DefaultParagraphFont"/>
    <w:link w:val="CommentText"/>
    <w:uiPriority w:val="99"/>
    <w:rsid w:val="006620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2023"/>
    <w:rPr>
      <w:b/>
      <w:bCs/>
    </w:rPr>
  </w:style>
  <w:style w:type="character" w:customStyle="1" w:styleId="CommentSubjectChar">
    <w:name w:val="Comment Subject Char"/>
    <w:basedOn w:val="CommentTextChar"/>
    <w:link w:val="CommentSubject"/>
    <w:uiPriority w:val="99"/>
    <w:semiHidden/>
    <w:rsid w:val="0066202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1396</Words>
  <Characters>7958</Characters>
  <Application>Microsoft Office Word</Application>
  <DocSecurity>0</DocSecurity>
  <Lines>66</Lines>
  <Paragraphs>18</Paragraphs>
  <ScaleCrop>false</ScaleCrop>
  <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Beauvais, Bradley M</dc:creator>
  <cp:keywords/>
  <dc:description/>
  <cp:lastModifiedBy>Ralph, Marina</cp:lastModifiedBy>
  <cp:revision>2</cp:revision>
  <dcterms:created xsi:type="dcterms:W3CDTF">2022-04-18T22:53:00Z</dcterms:created>
  <dcterms:modified xsi:type="dcterms:W3CDTF">2022-04-18T22:53:00Z</dcterms:modified>
</cp:coreProperties>
</file>