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EB65A" w14:textId="77777777" w:rsidR="004C2DFA" w:rsidRDefault="004C2DFA" w:rsidP="004C2DF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94C">
        <w:rPr>
          <w:rFonts w:ascii="Times New Roman" w:hAnsi="Times New Roman" w:cs="Times New Roman"/>
          <w:b/>
          <w:bCs/>
          <w:sz w:val="28"/>
          <w:szCs w:val="28"/>
        </w:rPr>
        <w:t>Hydrophilic realgar nanocrystals prolong the survival of refractory acute myeloid leukemia mice through inducing multi-lineage differentiation and apoptosis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068FE2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 w:hint="eastAsia"/>
          <w:sz w:val="24"/>
          <w:szCs w:val="28"/>
        </w:rPr>
        <w:t>Tao W</w:t>
      </w:r>
      <w:r w:rsidRPr="00DF1A8D">
        <w:rPr>
          <w:rFonts w:ascii="Times New Roman" w:hAnsi="Times New Roman" w:cs="Times New Roman" w:hint="eastAsia"/>
          <w:sz w:val="24"/>
          <w:szCs w:val="28"/>
        </w:rPr>
        <w:t>ang</w:t>
      </w:r>
      <w:r w:rsidRPr="00DF1A8D">
        <w:rPr>
          <w:rFonts w:ascii="Times New Roman" w:hAnsi="Times New Roman" w:cs="Times New Roman" w:hint="eastAsia"/>
          <w:sz w:val="24"/>
          <w:szCs w:val="28"/>
          <w:vertAlign w:val="superscript"/>
        </w:rPr>
        <w:t>#</w:t>
      </w:r>
      <w:r w:rsidRPr="00DF1A8D">
        <w:rPr>
          <w:rFonts w:ascii="Times New Roman" w:hAnsi="Times New Roman" w:cs="Times New Roman" w:hint="eastAsia"/>
          <w:sz w:val="24"/>
          <w:szCs w:val="28"/>
        </w:rPr>
        <w:t xml:space="preserve">, </w:t>
      </w:r>
      <w:proofErr w:type="spellStart"/>
      <w:r w:rsidRPr="00DF1A8D">
        <w:rPr>
          <w:rFonts w:ascii="Times New Roman" w:hAnsi="Times New Roman" w:cs="Times New Roman"/>
          <w:sz w:val="24"/>
          <w:szCs w:val="28"/>
        </w:rPr>
        <w:t>Xue</w:t>
      </w:r>
      <w:proofErr w:type="spellEnd"/>
      <w:r w:rsidRPr="00DF1A8D">
        <w:rPr>
          <w:rFonts w:ascii="Times New Roman" w:hAnsi="Times New Roman" w:cs="Times New Roman"/>
          <w:sz w:val="24"/>
          <w:szCs w:val="28"/>
        </w:rPr>
        <w:t xml:space="preserve"> Zhang</w:t>
      </w:r>
      <w:r w:rsidRPr="00DF1A8D">
        <w:rPr>
          <w:rFonts w:ascii="Times New Roman" w:hAnsi="Times New Roman" w:cs="Times New Roman" w:hint="eastAsia"/>
          <w:sz w:val="24"/>
          <w:szCs w:val="28"/>
          <w:vertAlign w:val="superscript"/>
        </w:rPr>
        <w:t>#</w:t>
      </w:r>
      <w:r w:rsidRPr="00DF1A8D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Mengfan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Jia,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8"/>
        </w:rPr>
        <w:t>Aiyun</w:t>
      </w:r>
      <w:proofErr w:type="spellEnd"/>
      <w:r>
        <w:rPr>
          <w:rFonts w:ascii="Times New Roman" w:hAnsi="Times New Roman" w:cs="Times New Roman" w:hint="eastAsia"/>
          <w:sz w:val="24"/>
          <w:szCs w:val="28"/>
        </w:rPr>
        <w:t xml:space="preserve"> Yang</w:t>
      </w:r>
      <w:r>
        <w:rPr>
          <w:rFonts w:ascii="Times New Roman" w:hAnsi="Times New Roman" w:cs="Times New Roman"/>
          <w:sz w:val="24"/>
          <w:szCs w:val="28"/>
        </w:rPr>
        <w:t xml:space="preserve">, Jian Liu, Tao Wen, </w:t>
      </w:r>
      <w:proofErr w:type="spellStart"/>
      <w:r>
        <w:rPr>
          <w:rFonts w:ascii="Times New Roman" w:hAnsi="Times New Roman" w:cs="Times New Roman"/>
          <w:sz w:val="24"/>
          <w:szCs w:val="28"/>
        </w:rPr>
        <w:t>Jie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Meng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8"/>
        </w:rPr>
        <w:t>, Haiyan Xu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*</w:t>
      </w:r>
    </w:p>
    <w:p w14:paraId="6ACAAE3C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4C2DFA">
        <w:rPr>
          <w:rFonts w:ascii="Times New Roman" w:hAnsi="Times New Roman" w:cs="Times New Roman"/>
          <w:sz w:val="24"/>
          <w:szCs w:val="28"/>
        </w:rPr>
        <w:t>Department of Biomedical Engineering,</w:t>
      </w:r>
      <w:r>
        <w:rPr>
          <w:rFonts w:ascii="Times New Roman" w:hAnsi="Times New Roman" w:cs="Times New Roman"/>
          <w:sz w:val="24"/>
          <w:szCs w:val="28"/>
        </w:rPr>
        <w:t xml:space="preserve"> Institute of Basic Medical Sciences, Chinese Academy of Medical Sciences &amp; Peking Union Medical College</w:t>
      </w:r>
      <w:r>
        <w:rPr>
          <w:rFonts w:ascii="Times New Roman" w:hAnsi="Times New Roman" w:cs="Times New Roman" w:hint="eastAsia"/>
          <w:sz w:val="24"/>
          <w:szCs w:val="28"/>
        </w:rPr>
        <w:t>, Beijing 100005, China</w:t>
      </w:r>
    </w:p>
    <w:p w14:paraId="7C8B2B87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113ADF">
        <w:rPr>
          <w:rFonts w:ascii="Times New Roman" w:hAnsi="Times New Roman" w:cs="Times New Roman"/>
          <w:sz w:val="24"/>
          <w:szCs w:val="28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8"/>
        </w:rPr>
        <w:t xml:space="preserve"> These authors contributed equally to this work.</w:t>
      </w:r>
    </w:p>
    <w:p w14:paraId="0211E471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0375630D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8"/>
        </w:rPr>
        <w:t xml:space="preserve">Correspondence: </w:t>
      </w:r>
    </w:p>
    <w:p w14:paraId="49658C57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Haiyan Xu</w:t>
      </w:r>
    </w:p>
    <w:p w14:paraId="57C5D34A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Address: 5 Dong Dan San </w:t>
      </w:r>
      <w:proofErr w:type="spellStart"/>
      <w:r>
        <w:rPr>
          <w:rFonts w:ascii="Times New Roman" w:hAnsi="Times New Roman" w:cs="Times New Roman"/>
          <w:sz w:val="24"/>
          <w:szCs w:val="28"/>
        </w:rPr>
        <w:t>Tiao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Beijing 100005, China; </w:t>
      </w:r>
    </w:p>
    <w:p w14:paraId="5B47ABCD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E-mail: xuhy@pumc.edu.cn </w:t>
      </w:r>
    </w:p>
    <w:p w14:paraId="6796C338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Tel: (+86)10 69156437</w:t>
      </w:r>
    </w:p>
    <w:p w14:paraId="1DCC1CD4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3A7AB08E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Jie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Meng</w:t>
      </w:r>
    </w:p>
    <w:p w14:paraId="0FD412A1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Address: 5 Dong Dan San </w:t>
      </w:r>
      <w:proofErr w:type="spellStart"/>
      <w:r>
        <w:rPr>
          <w:rFonts w:ascii="Times New Roman" w:hAnsi="Times New Roman" w:cs="Times New Roman"/>
          <w:sz w:val="24"/>
          <w:szCs w:val="28"/>
        </w:rPr>
        <w:t>Tiao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Beijing 100005, China; </w:t>
      </w:r>
    </w:p>
    <w:p w14:paraId="55DB5233" w14:textId="77777777" w:rsidR="004C2DFA" w:rsidRDefault="004C2DFA" w:rsidP="004C2DFA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E-mail: mengjie@ibms.pumc.edu.cn </w:t>
      </w:r>
    </w:p>
    <w:p w14:paraId="3A53A9FB" w14:textId="59ED52B5" w:rsidR="00CA4CFF" w:rsidRDefault="004C2DFA" w:rsidP="004C2DFA">
      <w:r>
        <w:rPr>
          <w:rFonts w:ascii="Times New Roman" w:hAnsi="Times New Roman" w:cs="Times New Roman"/>
          <w:sz w:val="24"/>
          <w:szCs w:val="28"/>
        </w:rPr>
        <w:t>Tel: (+86)10 65135502</w:t>
      </w:r>
    </w:p>
    <w:p w14:paraId="5D295B74" w14:textId="4709D695" w:rsidR="004C2DFA" w:rsidRDefault="004C2DFA">
      <w:pPr>
        <w:widowControl/>
        <w:jc w:val="left"/>
      </w:pPr>
      <w:r>
        <w:br w:type="page"/>
      </w:r>
    </w:p>
    <w:p w14:paraId="5F79FF3A" w14:textId="392CF306" w:rsidR="004C2DFA" w:rsidRDefault="004C2DFA">
      <w:r>
        <w:rPr>
          <w:rFonts w:hint="eastAsia"/>
          <w:noProof/>
        </w:rPr>
        <w:lastRenderedPageBreak/>
        <w:drawing>
          <wp:inline distT="0" distB="0" distL="0" distR="0" wp14:anchorId="23BB329B" wp14:editId="50752583">
            <wp:extent cx="5274310" cy="1240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1_MF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3FE41" w14:textId="101C2800" w:rsidR="004C2DFA" w:rsidRDefault="004C2DFA" w:rsidP="004C2DFA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C2DFA">
        <w:rPr>
          <w:rFonts w:ascii="Times New Roman" w:hAnsi="Times New Roman" w:cs="Times New Roman" w:hint="eastAsia"/>
          <w:sz w:val="24"/>
          <w:szCs w:val="28"/>
        </w:rPr>
        <w:t>F</w:t>
      </w:r>
      <w:r w:rsidRPr="004C2DFA">
        <w:rPr>
          <w:rFonts w:ascii="Times New Roman" w:hAnsi="Times New Roman" w:cs="Times New Roman"/>
          <w:sz w:val="24"/>
          <w:szCs w:val="28"/>
        </w:rPr>
        <w:t>igure S1. Mean fluorescence intensity (MFI) of the cells stained with CD11b(A), CD235a (B), and CD41a (C).</w:t>
      </w:r>
    </w:p>
    <w:p w14:paraId="233752DB" w14:textId="1C7260A5" w:rsidR="004C2DFA" w:rsidRDefault="004C2DFA" w:rsidP="004C2DF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6F48743E" w14:textId="77777777" w:rsid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323232"/>
          <w:kern w:val="0"/>
          <w:sz w:val="22"/>
          <w:szCs w:val="18"/>
        </w:rPr>
      </w:pPr>
      <w:r>
        <w:rPr>
          <w:rFonts w:ascii="Times New Roman" w:hAnsi="Times New Roman" w:cs="Times New Roman"/>
          <w:iCs/>
          <w:noProof/>
          <w:color w:val="323232"/>
          <w:kern w:val="0"/>
          <w:sz w:val="22"/>
          <w:szCs w:val="18"/>
        </w:rPr>
        <w:drawing>
          <wp:inline distT="0" distB="0" distL="0" distR="0" wp14:anchorId="2AB927D6" wp14:editId="1C3A0739">
            <wp:extent cx="3148584" cy="231648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e S1_画板 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584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6E6D" w14:textId="77777777" w:rsidR="004C2DFA" w:rsidRPr="004C2DFA" w:rsidRDefault="004C2DFA" w:rsidP="004C2DFA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4C2DFA">
        <w:rPr>
          <w:rFonts w:ascii="Times New Roman" w:hAnsi="Times New Roman" w:cs="Times New Roman" w:hint="eastAsia"/>
          <w:sz w:val="24"/>
          <w:szCs w:val="28"/>
        </w:rPr>
        <w:t>F</w:t>
      </w:r>
      <w:r w:rsidRPr="004C2DFA">
        <w:rPr>
          <w:rFonts w:ascii="Times New Roman" w:hAnsi="Times New Roman" w:cs="Times New Roman"/>
          <w:sz w:val="24"/>
          <w:szCs w:val="28"/>
        </w:rPr>
        <w:t xml:space="preserve">igure S2. Morphological changes in Kasumi-1 cells with or without </w:t>
      </w:r>
      <w:r w:rsidRPr="004C2DFA">
        <w:rPr>
          <w:rFonts w:ascii="Times New Roman" w:hAnsi="Times New Roman" w:cs="Times New Roman" w:hint="eastAsia"/>
          <w:sz w:val="24"/>
          <w:szCs w:val="28"/>
        </w:rPr>
        <w:t xml:space="preserve">the </w:t>
      </w:r>
      <w:r w:rsidRPr="004C2DFA">
        <w:rPr>
          <w:rFonts w:ascii="Times New Roman" w:hAnsi="Times New Roman" w:cs="Times New Roman"/>
          <w:sz w:val="24"/>
          <w:szCs w:val="28"/>
        </w:rPr>
        <w:t xml:space="preserve">treatment </w:t>
      </w:r>
      <w:r w:rsidRPr="004C2DFA">
        <w:rPr>
          <w:rFonts w:ascii="Times New Roman" w:hAnsi="Times New Roman" w:cs="Times New Roman" w:hint="eastAsia"/>
          <w:sz w:val="24"/>
          <w:szCs w:val="28"/>
        </w:rPr>
        <w:t xml:space="preserve">of </w:t>
      </w:r>
      <w:r w:rsidRPr="004C2DFA">
        <w:rPr>
          <w:rFonts w:ascii="Times New Roman" w:hAnsi="Times New Roman" w:cs="Times New Roman"/>
          <w:sz w:val="24"/>
          <w:szCs w:val="28"/>
        </w:rPr>
        <w:t>ee-As</w:t>
      </w:r>
      <w:r w:rsidRPr="004C2DFA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 w:rsidRPr="004C2DFA">
        <w:rPr>
          <w:rFonts w:ascii="Times New Roman" w:hAnsi="Times New Roman" w:cs="Times New Roman"/>
          <w:sz w:val="24"/>
          <w:szCs w:val="28"/>
        </w:rPr>
        <w:t>S</w:t>
      </w:r>
      <w:r w:rsidRPr="004C2DFA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 w:rsidRPr="004C2DFA">
        <w:rPr>
          <w:rFonts w:ascii="Times New Roman" w:hAnsi="Times New Roman" w:cs="Times New Roman"/>
          <w:sz w:val="24"/>
          <w:szCs w:val="28"/>
        </w:rPr>
        <w:t>. A. Image of Wright-Gamesa staining. (I-IV) presented the overall cellular size (I) and the typical megakaryocyte</w:t>
      </w:r>
      <w:r w:rsidRPr="004C2DFA" w:rsidDel="00B15582">
        <w:rPr>
          <w:rFonts w:ascii="Times New Roman" w:hAnsi="Times New Roman" w:cs="Times New Roman"/>
          <w:sz w:val="24"/>
          <w:szCs w:val="28"/>
        </w:rPr>
        <w:t xml:space="preserve"> </w:t>
      </w:r>
      <w:r w:rsidRPr="004C2DFA">
        <w:rPr>
          <w:rFonts w:ascii="Times New Roman" w:hAnsi="Times New Roman" w:cs="Times New Roman"/>
          <w:sz w:val="24"/>
          <w:szCs w:val="28"/>
        </w:rPr>
        <w:t xml:space="preserve">-like (II), granulocyte-like (III), </w:t>
      </w:r>
      <w:r w:rsidRPr="004C2DFA">
        <w:rPr>
          <w:rFonts w:ascii="Times New Roman" w:hAnsi="Times New Roman" w:cs="Times New Roman" w:hint="eastAsia"/>
          <w:sz w:val="24"/>
          <w:szCs w:val="28"/>
        </w:rPr>
        <w:t xml:space="preserve">and </w:t>
      </w:r>
      <w:r w:rsidRPr="004C2DFA">
        <w:rPr>
          <w:rFonts w:ascii="Times New Roman" w:hAnsi="Times New Roman" w:cs="Times New Roman"/>
          <w:sz w:val="24"/>
          <w:szCs w:val="28"/>
        </w:rPr>
        <w:t xml:space="preserve">erythroid-like (IV) phenotypes after being treated with ee-As4S4. Scale bar=20 </w:t>
      </w:r>
      <w:proofErr w:type="spellStart"/>
      <w:r w:rsidRPr="004C2DFA">
        <w:rPr>
          <w:rFonts w:ascii="Times New Roman" w:hAnsi="Times New Roman" w:cs="Times New Roman"/>
          <w:sz w:val="24"/>
          <w:szCs w:val="28"/>
        </w:rPr>
        <w:t>μ</w:t>
      </w:r>
      <w:r w:rsidRPr="004C2DFA">
        <w:rPr>
          <w:rFonts w:ascii="Times New Roman" w:hAnsi="Times New Roman" w:cs="Times New Roman" w:hint="eastAsia"/>
          <w:sz w:val="24"/>
          <w:szCs w:val="28"/>
        </w:rPr>
        <w:t>m</w:t>
      </w:r>
      <w:proofErr w:type="spellEnd"/>
      <w:r w:rsidRPr="004C2DFA">
        <w:rPr>
          <w:rFonts w:ascii="Times New Roman" w:hAnsi="Times New Roman" w:cs="Times New Roman" w:hint="eastAsia"/>
          <w:sz w:val="24"/>
          <w:szCs w:val="28"/>
        </w:rPr>
        <w:t>.</w:t>
      </w:r>
      <w:r w:rsidRPr="004C2DFA">
        <w:rPr>
          <w:rFonts w:ascii="Times New Roman" w:hAnsi="Times New Roman" w:cs="Times New Roman"/>
          <w:sz w:val="24"/>
          <w:szCs w:val="28"/>
        </w:rPr>
        <w:t xml:space="preserve"> B. Forward scatter (FSC) of Kasumi-1 cells. **P&lt;0.01</w:t>
      </w:r>
    </w:p>
    <w:p w14:paraId="1092F6F7" w14:textId="0BD33998" w:rsidR="004C2DFA" w:rsidRDefault="004C2DFA" w:rsidP="004C2DFA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BD22213" w14:textId="77777777" w:rsid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323232"/>
          <w:kern w:val="0"/>
          <w:sz w:val="22"/>
          <w:szCs w:val="18"/>
        </w:rPr>
      </w:pPr>
      <w:r>
        <w:rPr>
          <w:rFonts w:ascii="Times New Roman" w:hAnsi="Times New Roman" w:cs="Times New Roman" w:hint="eastAsia"/>
          <w:iCs/>
          <w:noProof/>
          <w:color w:val="323232"/>
          <w:kern w:val="0"/>
          <w:sz w:val="22"/>
          <w:szCs w:val="18"/>
        </w:rPr>
        <w:lastRenderedPageBreak/>
        <w:drawing>
          <wp:inline distT="0" distB="0" distL="0" distR="0" wp14:anchorId="5B44F7C6" wp14:editId="7FE2542C">
            <wp:extent cx="2063115" cy="2578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ne-GFP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57" b="3212"/>
                    <a:stretch/>
                  </pic:blipFill>
                  <pic:spPr bwMode="auto">
                    <a:xfrm>
                      <a:off x="0" y="0"/>
                      <a:ext cx="2063500" cy="2578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220C0" w14:textId="77777777" w:rsidR="004C2DFA" w:rsidRP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8"/>
        </w:rPr>
      </w:pPr>
      <w:r w:rsidRPr="004C2DFA">
        <w:rPr>
          <w:rFonts w:ascii="Times New Roman" w:hAnsi="Times New Roman" w:cs="Times New Roman"/>
          <w:sz w:val="24"/>
          <w:szCs w:val="28"/>
        </w:rPr>
        <w:t>Figure S3. The percentage of GFP</w:t>
      </w:r>
      <w:r w:rsidRPr="004C2DFA">
        <w:rPr>
          <w:rFonts w:ascii="Times New Roman" w:hAnsi="Times New Roman" w:cs="Times New Roman"/>
          <w:sz w:val="24"/>
          <w:szCs w:val="28"/>
          <w:vertAlign w:val="superscript"/>
        </w:rPr>
        <w:t>+</w:t>
      </w:r>
      <w:r w:rsidRPr="004C2DFA">
        <w:rPr>
          <w:rFonts w:ascii="Times New Roman" w:hAnsi="Times New Roman" w:cs="Times New Roman"/>
          <w:sz w:val="24"/>
          <w:szCs w:val="28"/>
        </w:rPr>
        <w:t xml:space="preserve"> leukemia cells in the bone marrow determined by flow cytometry.</w:t>
      </w:r>
    </w:p>
    <w:p w14:paraId="005F3B3F" w14:textId="77777777" w:rsid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323232"/>
          <w:kern w:val="0"/>
          <w:sz w:val="22"/>
          <w:szCs w:val="18"/>
        </w:rPr>
      </w:pPr>
      <w:r>
        <w:rPr>
          <w:rFonts w:ascii="Times New Roman" w:hAnsi="Times New Roman" w:cs="Times New Roman"/>
          <w:iCs/>
          <w:noProof/>
          <w:color w:val="323232"/>
          <w:kern w:val="0"/>
          <w:sz w:val="22"/>
          <w:szCs w:val="18"/>
        </w:rPr>
        <w:drawing>
          <wp:inline distT="0" distB="0" distL="0" distR="0" wp14:anchorId="28C415BF" wp14:editId="0582FA4F">
            <wp:extent cx="2880000" cy="199472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rvival+r-A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9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09D07" w14:textId="70B86871" w:rsid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8"/>
        </w:rPr>
      </w:pPr>
      <w:r w:rsidRPr="004C2DFA">
        <w:rPr>
          <w:rFonts w:ascii="Times New Roman" w:hAnsi="Times New Roman" w:cs="Times New Roman"/>
          <w:sz w:val="24"/>
          <w:szCs w:val="28"/>
        </w:rPr>
        <w:t xml:space="preserve">Figure S4. </w:t>
      </w:r>
      <w:r w:rsidRPr="004C2DFA">
        <w:rPr>
          <w:rFonts w:ascii="Times New Roman" w:hAnsi="Times New Roman" w:cs="Times New Roman" w:hint="eastAsia"/>
          <w:sz w:val="24"/>
          <w:szCs w:val="28"/>
        </w:rPr>
        <w:t>S</w:t>
      </w:r>
      <w:r w:rsidRPr="004C2DFA">
        <w:rPr>
          <w:rFonts w:ascii="Times New Roman" w:hAnsi="Times New Roman" w:cs="Times New Roman"/>
          <w:sz w:val="24"/>
          <w:szCs w:val="28"/>
        </w:rPr>
        <w:t>urvival curve</w:t>
      </w:r>
      <w:r w:rsidRPr="004C2DFA">
        <w:rPr>
          <w:rFonts w:ascii="Times New Roman" w:hAnsi="Times New Roman" w:cs="Times New Roman" w:hint="eastAsia"/>
          <w:sz w:val="24"/>
          <w:szCs w:val="28"/>
        </w:rPr>
        <w:t>s</w:t>
      </w:r>
      <w:r w:rsidRPr="004C2DFA">
        <w:rPr>
          <w:rFonts w:ascii="Times New Roman" w:hAnsi="Times New Roman" w:cs="Times New Roman"/>
          <w:sz w:val="24"/>
          <w:szCs w:val="28"/>
        </w:rPr>
        <w:t xml:space="preserve"> of AML m</w:t>
      </w:r>
      <w:bookmarkStart w:id="0" w:name="_GoBack"/>
      <w:bookmarkEnd w:id="0"/>
      <w:r w:rsidRPr="004C2DFA">
        <w:rPr>
          <w:rFonts w:ascii="Times New Roman" w:hAnsi="Times New Roman" w:cs="Times New Roman"/>
          <w:sz w:val="24"/>
          <w:szCs w:val="28"/>
        </w:rPr>
        <w:t xml:space="preserve">ice </w:t>
      </w:r>
      <w:r w:rsidRPr="004C2DFA">
        <w:rPr>
          <w:rFonts w:ascii="Times New Roman" w:hAnsi="Times New Roman" w:cs="Times New Roman" w:hint="eastAsia"/>
          <w:sz w:val="24"/>
          <w:szCs w:val="28"/>
        </w:rPr>
        <w:t xml:space="preserve">orally administrated </w:t>
      </w:r>
      <w:r w:rsidRPr="004C2DFA">
        <w:rPr>
          <w:rFonts w:ascii="Times New Roman" w:hAnsi="Times New Roman" w:cs="Times New Roman"/>
          <w:sz w:val="24"/>
          <w:szCs w:val="28"/>
        </w:rPr>
        <w:t>with ddH</w:t>
      </w:r>
      <w:r w:rsidRPr="004C2DFA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Pr="004C2DFA">
        <w:rPr>
          <w:rFonts w:ascii="Times New Roman" w:hAnsi="Times New Roman" w:cs="Times New Roman"/>
          <w:sz w:val="24"/>
          <w:szCs w:val="28"/>
        </w:rPr>
        <w:t>O, ee-As</w:t>
      </w:r>
      <w:r w:rsidRPr="004C2DFA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 w:rsidRPr="004C2DFA">
        <w:rPr>
          <w:rFonts w:ascii="Times New Roman" w:hAnsi="Times New Roman" w:cs="Times New Roman"/>
          <w:sz w:val="24"/>
          <w:szCs w:val="28"/>
        </w:rPr>
        <w:t>S</w:t>
      </w:r>
      <w:r w:rsidRPr="004C2DFA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 w:rsidRPr="004C2DFA">
        <w:rPr>
          <w:rFonts w:ascii="Times New Roman" w:hAnsi="Times New Roman" w:cs="Times New Roman"/>
          <w:sz w:val="24"/>
          <w:szCs w:val="28"/>
        </w:rPr>
        <w:t>, and r-As</w:t>
      </w:r>
      <w:r w:rsidRPr="004C2DFA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 w:rsidRPr="004C2DFA">
        <w:rPr>
          <w:rFonts w:ascii="Times New Roman" w:hAnsi="Times New Roman" w:cs="Times New Roman"/>
          <w:sz w:val="24"/>
          <w:szCs w:val="28"/>
        </w:rPr>
        <w:t>S</w:t>
      </w:r>
      <w:r w:rsidRPr="004C2DFA">
        <w:rPr>
          <w:rFonts w:ascii="Times New Roman" w:hAnsi="Times New Roman" w:cs="Times New Roman"/>
          <w:sz w:val="24"/>
          <w:szCs w:val="28"/>
          <w:vertAlign w:val="subscript"/>
        </w:rPr>
        <w:t>4</w:t>
      </w:r>
      <w:r w:rsidRPr="004C2DFA">
        <w:rPr>
          <w:rFonts w:ascii="Times New Roman" w:hAnsi="Times New Roman" w:cs="Times New Roman"/>
          <w:sz w:val="24"/>
          <w:szCs w:val="28"/>
        </w:rPr>
        <w:t>.</w:t>
      </w:r>
    </w:p>
    <w:p w14:paraId="6D8BB71A" w14:textId="77777777" w:rsidR="004C2DFA" w:rsidRP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 w:hint="eastAsia"/>
          <w:sz w:val="24"/>
          <w:szCs w:val="28"/>
        </w:rPr>
      </w:pPr>
    </w:p>
    <w:p w14:paraId="2B680C14" w14:textId="77777777" w:rsid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323232"/>
          <w:kern w:val="0"/>
          <w:sz w:val="22"/>
          <w:szCs w:val="18"/>
        </w:rPr>
      </w:pPr>
      <w:r>
        <w:rPr>
          <w:rFonts w:ascii="Times New Roman" w:hAnsi="Times New Roman" w:cs="Times New Roman"/>
          <w:iCs/>
          <w:noProof/>
          <w:color w:val="323232"/>
          <w:kern w:val="0"/>
          <w:sz w:val="22"/>
          <w:szCs w:val="18"/>
        </w:rPr>
        <w:drawing>
          <wp:inline distT="0" distB="0" distL="0" distR="0" wp14:anchorId="2270EBAC" wp14:editId="610DFD39">
            <wp:extent cx="4773168" cy="1716024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BC in AML and healthy mice_画板 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168" cy="171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42D76" w14:textId="3CFF578F" w:rsidR="004C2DFA" w:rsidRPr="004C2DFA" w:rsidRDefault="004C2DFA" w:rsidP="004C2D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8"/>
        </w:rPr>
      </w:pPr>
      <w:r w:rsidRPr="004C2DFA">
        <w:rPr>
          <w:rFonts w:ascii="Times New Roman" w:hAnsi="Times New Roman" w:cs="Times New Roman"/>
          <w:sz w:val="24"/>
          <w:szCs w:val="28"/>
        </w:rPr>
        <w:t>Figure S5. The composition of WBC in AML mice (A) and healthy mice (B).</w:t>
      </w:r>
    </w:p>
    <w:p w14:paraId="41552EB8" w14:textId="77777777" w:rsidR="004C2DFA" w:rsidRPr="004C2DFA" w:rsidRDefault="004C2DFA" w:rsidP="004C2DFA">
      <w:pPr>
        <w:spacing w:line="360" w:lineRule="auto"/>
        <w:rPr>
          <w:rFonts w:ascii="Times New Roman" w:hAnsi="Times New Roman" w:cs="Times New Roman" w:hint="eastAsia"/>
          <w:sz w:val="24"/>
          <w:szCs w:val="28"/>
        </w:rPr>
      </w:pPr>
    </w:p>
    <w:sectPr w:rsidR="004C2DFA" w:rsidRPr="004C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DB816" w14:textId="77777777" w:rsidR="00F928AF" w:rsidRDefault="00F928AF" w:rsidP="004C2DFA">
      <w:r>
        <w:separator/>
      </w:r>
    </w:p>
  </w:endnote>
  <w:endnote w:type="continuationSeparator" w:id="0">
    <w:p w14:paraId="2F73F09A" w14:textId="77777777" w:rsidR="00F928AF" w:rsidRDefault="00F928AF" w:rsidP="004C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5901E" w14:textId="77777777" w:rsidR="00F928AF" w:rsidRDefault="00F928AF" w:rsidP="004C2DFA">
      <w:r>
        <w:separator/>
      </w:r>
    </w:p>
  </w:footnote>
  <w:footnote w:type="continuationSeparator" w:id="0">
    <w:p w14:paraId="3CAD0E29" w14:textId="77777777" w:rsidR="00F928AF" w:rsidRDefault="00F928AF" w:rsidP="004C2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1NjC1MDWwMDAwtzBU0lEKTi0uzszPAykwrAUAX9TkIywAAAA="/>
  </w:docVars>
  <w:rsids>
    <w:rsidRoot w:val="00AC2255"/>
    <w:rsid w:val="001A4A44"/>
    <w:rsid w:val="004C2DFA"/>
    <w:rsid w:val="00AC2255"/>
    <w:rsid w:val="00B21F8F"/>
    <w:rsid w:val="00B32056"/>
    <w:rsid w:val="00F9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AFA7C"/>
  <w15:chartTrackingRefBased/>
  <w15:docId w15:val="{62D8EDAD-ED5E-409B-9EA9-C2792BCE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D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DFA"/>
    <w:rPr>
      <w:sz w:val="18"/>
      <w:szCs w:val="18"/>
    </w:rPr>
  </w:style>
  <w:style w:type="table" w:styleId="a7">
    <w:name w:val="Table Grid"/>
    <w:basedOn w:val="a1"/>
    <w:uiPriority w:val="39"/>
    <w:rsid w:val="004C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Tao_Wang_BME</dc:creator>
  <cp:keywords/>
  <dc:description/>
  <cp:lastModifiedBy>Tao_Wang_BME</cp:lastModifiedBy>
  <cp:revision>2</cp:revision>
  <dcterms:created xsi:type="dcterms:W3CDTF">2022-04-27T13:08:00Z</dcterms:created>
  <dcterms:modified xsi:type="dcterms:W3CDTF">2022-04-27T13:08:00Z</dcterms:modified>
</cp:coreProperties>
</file>