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5708" w14:textId="2DDD21B9" w:rsidR="000B61A0" w:rsidRDefault="00C02B86" w:rsidP="009F18F4">
      <w:pPr>
        <w:spacing w:line="480" w:lineRule="auto"/>
        <w:rPr>
          <w:rFonts w:ascii="Times New Roman" w:hAnsi="Times New Roman" w:cs="Times New Roman"/>
          <w:sz w:val="30"/>
          <w:szCs w:val="30"/>
        </w:rPr>
      </w:pPr>
      <w:r w:rsidRPr="0017793F">
        <w:rPr>
          <w:rFonts w:ascii="Times New Roman" w:hAnsi="Times New Roman" w:cs="Times New Roman"/>
          <w:sz w:val="30"/>
          <w:szCs w:val="30"/>
        </w:rPr>
        <w:t>Supplementary information</w:t>
      </w:r>
      <w:r w:rsidR="0017793F">
        <w:rPr>
          <w:rFonts w:ascii="Times New Roman" w:hAnsi="Times New Roman" w:cs="Times New Roman"/>
          <w:sz w:val="30"/>
          <w:szCs w:val="30"/>
        </w:rPr>
        <w:t>:</w:t>
      </w:r>
    </w:p>
    <w:p w14:paraId="17637320" w14:textId="77777777" w:rsidR="006E7FEE" w:rsidRDefault="006E7FEE" w:rsidP="009F18F4">
      <w:pPr>
        <w:spacing w:line="480" w:lineRule="auto"/>
        <w:rPr>
          <w:rFonts w:ascii="Times New Roman" w:hAnsi="Times New Roman" w:cs="Times New Roman"/>
          <w:sz w:val="30"/>
          <w:szCs w:val="30"/>
        </w:rPr>
      </w:pPr>
    </w:p>
    <w:p w14:paraId="36A332B5" w14:textId="26FD03C5" w:rsidR="006E7FEE" w:rsidRPr="00017C59" w:rsidRDefault="003A5461" w:rsidP="009F18F4">
      <w:pPr>
        <w:spacing w:line="480" w:lineRule="auto"/>
        <w:rPr>
          <w:rFonts w:ascii="Times New Roman" w:hAnsi="Times New Roman" w:cs="Times New Roman"/>
          <w:b/>
          <w:bCs/>
          <w:sz w:val="30"/>
          <w:szCs w:val="30"/>
        </w:rPr>
      </w:pPr>
      <w:r w:rsidRPr="00017C59">
        <w:rPr>
          <w:rFonts w:ascii="Times New Roman" w:hAnsi="Times New Roman" w:cs="Times New Roman"/>
          <w:b/>
          <w:bCs/>
          <w:sz w:val="30"/>
          <w:szCs w:val="30"/>
        </w:rPr>
        <w:t>Local and systemic delivery of BimS gene nano-complex for efficient oral squamous cell carcinoma therapy</w:t>
      </w:r>
    </w:p>
    <w:p w14:paraId="538670A3" w14:textId="77777777" w:rsidR="003A5461" w:rsidRDefault="003A5461" w:rsidP="009F18F4">
      <w:pPr>
        <w:spacing w:line="480" w:lineRule="auto"/>
        <w:rPr>
          <w:rFonts w:ascii="Times New Roman" w:hAnsi="Times New Roman" w:cs="Times New Roman"/>
          <w:sz w:val="30"/>
          <w:szCs w:val="30"/>
        </w:rPr>
      </w:pPr>
    </w:p>
    <w:p w14:paraId="681B8977" w14:textId="372EB070" w:rsidR="009215A0" w:rsidRDefault="00A72E75" w:rsidP="009F18F4">
      <w:pPr>
        <w:spacing w:line="480" w:lineRule="auto"/>
        <w:rPr>
          <w:rFonts w:ascii="Times New Roman" w:hAnsi="Times New Roman" w:cs="Times New Roman"/>
          <w:b/>
          <w:bCs/>
          <w:sz w:val="24"/>
          <w:szCs w:val="24"/>
        </w:rPr>
      </w:pPr>
      <w:r>
        <w:rPr>
          <w:rFonts w:ascii="Times New Roman" w:hAnsi="Times New Roman" w:cs="Times New Roman"/>
          <w:b/>
          <w:bCs/>
          <w:sz w:val="24"/>
          <w:szCs w:val="24"/>
        </w:rPr>
        <w:t>Supplementary materials and methods</w:t>
      </w:r>
    </w:p>
    <w:p w14:paraId="4BC0866B" w14:textId="77777777" w:rsidR="00A72E75" w:rsidRPr="00110D77" w:rsidRDefault="00A72E75" w:rsidP="009F18F4">
      <w:pPr>
        <w:spacing w:line="480" w:lineRule="auto"/>
        <w:rPr>
          <w:rFonts w:ascii="Times New Roman" w:hAnsi="Times New Roman" w:cs="Times New Roman"/>
          <w:b/>
          <w:bCs/>
          <w:sz w:val="24"/>
          <w:szCs w:val="24"/>
        </w:rPr>
      </w:pPr>
      <w:bookmarkStart w:id="0" w:name="_Hlk99875647"/>
      <w:r w:rsidRPr="00110D77">
        <w:rPr>
          <w:rFonts w:ascii="Times New Roman" w:hAnsi="Times New Roman" w:cs="Times New Roman"/>
          <w:b/>
          <w:bCs/>
          <w:sz w:val="24"/>
          <w:szCs w:val="24"/>
        </w:rPr>
        <w:t>Plasmid gel retardation assay</w:t>
      </w:r>
    </w:p>
    <w:bookmarkEnd w:id="0"/>
    <w:p w14:paraId="33F19B80" w14:textId="04E05945" w:rsidR="00A72E75" w:rsidRPr="006704BB" w:rsidRDefault="00A72E75" w:rsidP="00F328D1">
      <w:pPr>
        <w:spacing w:line="480" w:lineRule="auto"/>
        <w:rPr>
          <w:rFonts w:ascii="Times New Roman" w:hAnsi="Times New Roman" w:cs="Times New Roman"/>
          <w:sz w:val="24"/>
          <w:szCs w:val="24"/>
        </w:rPr>
      </w:pPr>
      <w:r w:rsidRPr="00110D77">
        <w:rPr>
          <w:rFonts w:ascii="Times New Roman" w:hAnsi="Times New Roman" w:cs="Times New Roman"/>
          <w:kern w:val="0"/>
          <w:sz w:val="24"/>
          <w:szCs w:val="24"/>
        </w:rPr>
        <w:t xml:space="preserve">For the plasmid gel retardation assay, </w:t>
      </w:r>
      <w:r w:rsidRPr="00110D77">
        <w:rPr>
          <w:rFonts w:ascii="Times New Roman" w:hAnsi="Times New Roman" w:cs="Times New Roman"/>
          <w:sz w:val="24"/>
          <w:szCs w:val="24"/>
        </w:rPr>
        <w:t>1 μg of phBimS was mixed with different molecular ratios of DMP nanoparticles and incubated for 15 minutes to evaluate the binding ability of DMP with plasmid. The DMP/phBimS complex was electrophoresed on a 1% (w/v) agarose gel for 15 min at 100 V. The gel was pre-stained with GoldView II Nuclear Staining Dy</w:t>
      </w:r>
      <w:r w:rsidRPr="001658D2">
        <w:rPr>
          <w:rFonts w:ascii="Times New Roman" w:hAnsi="Times New Roman" w:cs="Times New Roman"/>
          <w:sz w:val="24"/>
          <w:szCs w:val="24"/>
        </w:rPr>
        <w:t>e (Solarbio</w:t>
      </w:r>
      <w:r w:rsidR="00C13FB0" w:rsidRPr="001658D2">
        <w:rPr>
          <w:rFonts w:ascii="Times New Roman" w:eastAsia="SimSun" w:hAnsi="Times New Roman"/>
          <w:vertAlign w:val="superscript"/>
        </w:rPr>
        <w:t>®</w:t>
      </w:r>
      <w:r w:rsidRPr="001658D2">
        <w:rPr>
          <w:rFonts w:ascii="Times New Roman" w:hAnsi="Times New Roman" w:cs="Times New Roman"/>
          <w:sz w:val="24"/>
          <w:szCs w:val="24"/>
        </w:rPr>
        <w:t>) and detected with an E-gel imager (Bio-Rad</w:t>
      </w:r>
      <w:r w:rsidR="00C13FB0" w:rsidRPr="001658D2">
        <w:rPr>
          <w:rFonts w:ascii="Times New Roman" w:eastAsia="SimSun" w:hAnsi="Times New Roman"/>
          <w:vertAlign w:val="superscript"/>
        </w:rPr>
        <w:t>®</w:t>
      </w:r>
      <w:r w:rsidRPr="001658D2">
        <w:rPr>
          <w:rFonts w:ascii="Times New Roman" w:hAnsi="Times New Roman" w:cs="Times New Roman"/>
          <w:sz w:val="24"/>
          <w:szCs w:val="24"/>
        </w:rPr>
        <w:t>, ChemiDox XRS, USA).</w:t>
      </w:r>
      <w:r w:rsidR="003B46F8" w:rsidRPr="001658D2">
        <w:t xml:space="preserve"> </w:t>
      </w:r>
      <w:r w:rsidR="003B46F8" w:rsidRPr="001658D2">
        <w:rPr>
          <w:rFonts w:ascii="Times New Roman" w:hAnsi="Times New Roman" w:cs="Times New Roman"/>
          <w:sz w:val="24"/>
          <w:szCs w:val="24"/>
        </w:rPr>
        <w:t>The</w:t>
      </w:r>
      <w:r w:rsidR="003B46F8" w:rsidRPr="001658D2">
        <w:rPr>
          <w:rFonts w:ascii="Times New Roman" w:hAnsi="Times New Roman" w:cs="Times New Roman" w:hint="eastAsia"/>
          <w:sz w:val="24"/>
          <w:szCs w:val="24"/>
        </w:rPr>
        <w:t xml:space="preserve"> </w:t>
      </w:r>
      <w:r w:rsidR="003B46F8" w:rsidRPr="001658D2">
        <w:rPr>
          <w:rFonts w:ascii="Times New Roman" w:hAnsi="Times New Roman" w:cs="Times New Roman"/>
          <w:sz w:val="24"/>
          <w:szCs w:val="24"/>
        </w:rPr>
        <w:t>loading efficiency of the DMP/phBimS system against mRNA was</w:t>
      </w:r>
      <w:r w:rsidR="003B46F8" w:rsidRPr="001658D2">
        <w:rPr>
          <w:rFonts w:ascii="Times New Roman" w:hAnsi="Times New Roman" w:cs="Times New Roman" w:hint="eastAsia"/>
          <w:sz w:val="24"/>
          <w:szCs w:val="24"/>
        </w:rPr>
        <w:t xml:space="preserve"> </w:t>
      </w:r>
      <w:r w:rsidR="003B46F8" w:rsidRPr="001658D2">
        <w:rPr>
          <w:rFonts w:ascii="Times New Roman" w:hAnsi="Times New Roman" w:cs="Times New Roman"/>
          <w:sz w:val="24"/>
          <w:szCs w:val="24"/>
        </w:rPr>
        <w:t>determined by quantitively analyzing the plasmid</w:t>
      </w:r>
      <w:r w:rsidR="00F328D1" w:rsidRPr="001658D2">
        <w:rPr>
          <w:rFonts w:ascii="Times New Roman" w:hAnsi="Times New Roman" w:cs="Times New Roman"/>
          <w:sz w:val="24"/>
          <w:szCs w:val="24"/>
        </w:rPr>
        <w:t>s</w:t>
      </w:r>
      <w:r w:rsidR="003B46F8" w:rsidRPr="001658D2">
        <w:rPr>
          <w:rFonts w:ascii="Times New Roman" w:hAnsi="Times New Roman" w:cs="Times New Roman"/>
          <w:sz w:val="24"/>
          <w:szCs w:val="24"/>
        </w:rPr>
        <w:t xml:space="preserve"> retarding gel.</w:t>
      </w:r>
      <w:r w:rsidR="00F328D1" w:rsidRPr="001658D2">
        <w:rPr>
          <w:rFonts w:ascii="Times New Roman" w:hAnsi="Times New Roman" w:cs="Times New Roman"/>
          <w:sz w:val="24"/>
          <w:szCs w:val="24"/>
        </w:rPr>
        <w:t xml:space="preserve"> </w:t>
      </w:r>
      <w:r w:rsidR="00F328D1" w:rsidRPr="00F328D1">
        <w:rPr>
          <w:rFonts w:ascii="Times New Roman" w:hAnsi="Times New Roman" w:cs="Times New Roman"/>
          <w:sz w:val="24"/>
          <w:szCs w:val="24"/>
        </w:rPr>
        <w:t>Agarose gels were collected and purified to obtain unloaded</w:t>
      </w:r>
      <w:r w:rsidR="00F328D1">
        <w:rPr>
          <w:rFonts w:ascii="Times New Roman" w:hAnsi="Times New Roman" w:cs="Times New Roman"/>
          <w:sz w:val="24"/>
          <w:szCs w:val="24"/>
        </w:rPr>
        <w:t xml:space="preserve"> plasmid</w:t>
      </w:r>
      <w:r w:rsidR="00F328D1" w:rsidRPr="00F328D1">
        <w:rPr>
          <w:rFonts w:ascii="Times New Roman" w:hAnsi="Times New Roman" w:cs="Times New Roman"/>
          <w:sz w:val="24"/>
          <w:szCs w:val="24"/>
        </w:rPr>
        <w:t>, which was then measured by reading the absorbance</w:t>
      </w:r>
      <w:r w:rsidR="00F328D1">
        <w:rPr>
          <w:rFonts w:ascii="Times New Roman" w:hAnsi="Times New Roman" w:cs="Times New Roman" w:hint="eastAsia"/>
          <w:sz w:val="24"/>
          <w:szCs w:val="24"/>
        </w:rPr>
        <w:t xml:space="preserve"> </w:t>
      </w:r>
      <w:r w:rsidR="00F328D1" w:rsidRPr="00F328D1">
        <w:rPr>
          <w:rFonts w:ascii="Times New Roman" w:hAnsi="Times New Roman" w:cs="Times New Roman"/>
          <w:sz w:val="24"/>
          <w:szCs w:val="24"/>
        </w:rPr>
        <w:t>in a spectrophotometer at 260 nm.</w:t>
      </w:r>
      <w:r w:rsidR="00F328D1">
        <w:rPr>
          <w:rFonts w:ascii="Times New Roman" w:hAnsi="Times New Roman" w:cs="Times New Roman"/>
          <w:sz w:val="24"/>
          <w:szCs w:val="24"/>
        </w:rPr>
        <w:t xml:space="preserve"> L</w:t>
      </w:r>
      <w:r w:rsidR="00F328D1" w:rsidRPr="00F328D1">
        <w:rPr>
          <w:rFonts w:ascii="Times New Roman" w:hAnsi="Times New Roman" w:cs="Times New Roman"/>
          <w:sz w:val="24"/>
          <w:szCs w:val="24"/>
        </w:rPr>
        <w:t>oading efficiency</w:t>
      </w:r>
      <w:r w:rsidR="00F328D1">
        <w:rPr>
          <w:rFonts w:ascii="Times New Roman" w:hAnsi="Times New Roman" w:cs="Times New Roman" w:hint="eastAsia"/>
          <w:sz w:val="24"/>
          <w:szCs w:val="24"/>
        </w:rPr>
        <w:t xml:space="preserve"> </w:t>
      </w:r>
      <w:r w:rsidR="00F328D1" w:rsidRPr="00F328D1">
        <w:rPr>
          <w:rFonts w:ascii="Times New Roman" w:hAnsi="Times New Roman" w:cs="Times New Roman"/>
          <w:sz w:val="24"/>
          <w:szCs w:val="24"/>
        </w:rPr>
        <w:t xml:space="preserve">(DL) was calculated </w:t>
      </w:r>
      <w:r w:rsidR="00F328D1" w:rsidRPr="006704BB">
        <w:rPr>
          <w:rFonts w:ascii="Times New Roman" w:hAnsi="Times New Roman" w:cs="Times New Roman"/>
          <w:sz w:val="24"/>
          <w:szCs w:val="24"/>
        </w:rPr>
        <w:t>using the following formula:</w:t>
      </w:r>
    </w:p>
    <w:p w14:paraId="2DCD68E9" w14:textId="2801093F" w:rsidR="00F328D1" w:rsidRPr="006704BB" w:rsidRDefault="00F328D1" w:rsidP="00F328D1">
      <w:pPr>
        <w:spacing w:line="480" w:lineRule="auto"/>
        <w:rPr>
          <w:rFonts w:ascii="Times New Roman" w:hAnsi="Times New Roman" w:cs="Times New Roman"/>
          <w:sz w:val="24"/>
          <w:szCs w:val="24"/>
        </w:rPr>
      </w:pPr>
      <w:r w:rsidRPr="006704BB">
        <w:rPr>
          <w:rFonts w:ascii="Times New Roman" w:hAnsi="Times New Roman" w:cs="Times New Roman"/>
          <w:sz w:val="24"/>
          <w:szCs w:val="24"/>
        </w:rPr>
        <w:t xml:space="preserve">DL </w:t>
      </w:r>
      <m:oMath>
        <m:r>
          <w:rPr>
            <w:rFonts w:ascii="Cambria Math" w:hAnsi="Cambria Math" w:cs="Times New Roman"/>
            <w:sz w:val="24"/>
            <w:szCs w:val="24"/>
          </w:rPr>
          <m:t>=</m:t>
        </m:r>
      </m:oMath>
      <w:r w:rsidRPr="006704BB">
        <w:rPr>
          <w:rFonts w:ascii="Times New Roma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loaded plasmid</m:t>
            </m:r>
          </m:num>
          <m:den>
            <m:r>
              <m:rPr>
                <m:sty m:val="p"/>
              </m:rPr>
              <w:rPr>
                <w:rFonts w:ascii="Cambria Math" w:eastAsia="SimSun" w:hAnsi="Cambria Math" w:cs="Times New Roman"/>
                <w:sz w:val="24"/>
                <w:szCs w:val="24"/>
              </w:rPr>
              <m:t>loaded plasmid+DMP</m:t>
            </m:r>
          </m:den>
        </m:f>
      </m:oMath>
      <w:r w:rsidRPr="006704BB">
        <w:rPr>
          <w:rFonts w:ascii="Times New Roman" w:eastAsia="SimSun" w:hAnsi="Times New Roman" w:cs="Times New Roman"/>
          <w:sz w:val="24"/>
          <w:szCs w:val="24"/>
        </w:rPr>
        <w:t xml:space="preserve"> </w:t>
      </w:r>
      <m:oMath>
        <m:r>
          <w:rPr>
            <w:rFonts w:ascii="Cambria Math" w:hAnsi="Cambria Math" w:cs="Times New Roman"/>
            <w:sz w:val="24"/>
            <w:szCs w:val="24"/>
          </w:rPr>
          <m:t>×</m:t>
        </m:r>
      </m:oMath>
      <w:r w:rsidRPr="006704BB">
        <w:rPr>
          <w:rFonts w:ascii="Times New Roman" w:hAnsi="Times New Roman" w:cs="Times New Roman"/>
          <w:sz w:val="24"/>
          <w:szCs w:val="24"/>
        </w:rPr>
        <w:t xml:space="preserve"> 100%</w:t>
      </w:r>
    </w:p>
    <w:p w14:paraId="56E7552A" w14:textId="77777777" w:rsidR="00A72E75" w:rsidRPr="00110D77" w:rsidRDefault="00A72E75" w:rsidP="009F18F4">
      <w:pPr>
        <w:spacing w:line="480" w:lineRule="auto"/>
        <w:rPr>
          <w:rFonts w:ascii="Times New Roman" w:hAnsi="Times New Roman" w:cs="Times New Roman"/>
          <w:sz w:val="24"/>
          <w:szCs w:val="24"/>
        </w:rPr>
      </w:pPr>
    </w:p>
    <w:p w14:paraId="03BB1A08" w14:textId="66E9324C" w:rsidR="00A72E75" w:rsidRPr="00110D77" w:rsidRDefault="00A72E75" w:rsidP="009F18F4">
      <w:pPr>
        <w:spacing w:line="480" w:lineRule="auto"/>
        <w:rPr>
          <w:rFonts w:ascii="Times New Roman" w:hAnsi="Times New Roman" w:cs="Times New Roman"/>
          <w:b/>
          <w:bCs/>
          <w:sz w:val="24"/>
          <w:szCs w:val="24"/>
        </w:rPr>
      </w:pPr>
      <w:bookmarkStart w:id="1" w:name="_Hlk99875662"/>
      <w:r w:rsidRPr="00110D77">
        <w:rPr>
          <w:rFonts w:ascii="Times New Roman" w:hAnsi="Times New Roman" w:cs="Times New Roman"/>
          <w:b/>
          <w:bCs/>
          <w:sz w:val="24"/>
          <w:szCs w:val="24"/>
        </w:rPr>
        <w:t>Cytotoxicity assay</w:t>
      </w:r>
    </w:p>
    <w:bookmarkEnd w:id="1"/>
    <w:p w14:paraId="3BE25C5B" w14:textId="3B428B93" w:rsidR="00A72E75" w:rsidRPr="001658D2" w:rsidRDefault="00A72E75" w:rsidP="009F18F4">
      <w:pPr>
        <w:spacing w:line="480" w:lineRule="auto"/>
        <w:rPr>
          <w:rFonts w:ascii="Times New Roman" w:hAnsi="Times New Roman" w:cs="Times New Roman"/>
          <w:sz w:val="24"/>
          <w:szCs w:val="24"/>
        </w:rPr>
      </w:pPr>
      <w:r w:rsidRPr="00110D77">
        <w:rPr>
          <w:rFonts w:ascii="Times New Roman" w:hAnsi="Times New Roman" w:cs="Times New Roman"/>
          <w:kern w:val="0"/>
          <w:sz w:val="24"/>
          <w:szCs w:val="24"/>
        </w:rPr>
        <w:t>Human embryonic kidney 293T cells were cultured in a 96-well plate at 5×10</w:t>
      </w:r>
      <w:r w:rsidRPr="00110D77">
        <w:rPr>
          <w:rFonts w:ascii="Times New Roman" w:hAnsi="Times New Roman" w:cs="Times New Roman"/>
          <w:kern w:val="0"/>
          <w:sz w:val="24"/>
          <w:szCs w:val="24"/>
          <w:vertAlign w:val="superscript"/>
        </w:rPr>
        <w:t>3</w:t>
      </w:r>
      <w:r w:rsidRPr="00110D77">
        <w:rPr>
          <w:rFonts w:ascii="Times New Roman" w:hAnsi="Times New Roman" w:cs="Times New Roman"/>
          <w:kern w:val="0"/>
          <w:sz w:val="24"/>
          <w:szCs w:val="24"/>
        </w:rPr>
        <w:t xml:space="preserve"> cells per </w:t>
      </w:r>
      <w:r w:rsidRPr="00110D77">
        <w:rPr>
          <w:rFonts w:ascii="Times New Roman" w:hAnsi="Times New Roman" w:cs="Times New Roman"/>
          <w:kern w:val="0"/>
          <w:sz w:val="24"/>
          <w:szCs w:val="24"/>
        </w:rPr>
        <w:lastRenderedPageBreak/>
        <w:t>well in 100 μL medium (DMEM containing 10% FBS). Each well was added with different concentrations of DMP or PEI25K 24 h after culturing.</w:t>
      </w:r>
      <w:r w:rsidRPr="00110D77">
        <w:rPr>
          <w:rFonts w:ascii="Times New Roman" w:hAnsi="Times New Roman" w:cs="Times New Roman"/>
          <w:sz w:val="24"/>
          <w:szCs w:val="24"/>
        </w:rPr>
        <w:t xml:space="preserve"> Twenty-four hours after treatment, 20 μL of MTT solution was added to each well to stop the reaction. The plates were then incubated at 37°C for 4 h and medium was replaced by 150 μL DMSO. The plates were incubated for a further 10 min at room temperature shaking on a shaker. The absorbance of each well (wavelength: 562 nm) was recorded and analyz</w:t>
      </w:r>
      <w:r w:rsidRPr="001658D2">
        <w:rPr>
          <w:rFonts w:ascii="Times New Roman" w:hAnsi="Times New Roman" w:cs="Times New Roman"/>
          <w:sz w:val="24"/>
          <w:szCs w:val="24"/>
        </w:rPr>
        <w:t>ed (Spectramax</w:t>
      </w:r>
      <w:r w:rsidR="009953B1" w:rsidRPr="001658D2">
        <w:rPr>
          <w:rFonts w:ascii="Times New Roman" w:eastAsia="SimSun" w:hAnsi="Times New Roman"/>
          <w:vertAlign w:val="superscript"/>
        </w:rPr>
        <w:t>®</w:t>
      </w:r>
      <w:r w:rsidRPr="001658D2">
        <w:rPr>
          <w:rFonts w:ascii="Times New Roman" w:hAnsi="Times New Roman" w:cs="Times New Roman"/>
          <w:sz w:val="24"/>
          <w:szCs w:val="24"/>
        </w:rPr>
        <w:t xml:space="preserve"> Absorbance Reader, Molecular Devices, USA).</w:t>
      </w:r>
    </w:p>
    <w:p w14:paraId="00237873" w14:textId="77777777" w:rsidR="009F18F4" w:rsidRPr="001658D2" w:rsidRDefault="009F18F4" w:rsidP="009F18F4">
      <w:pPr>
        <w:spacing w:line="480" w:lineRule="auto"/>
        <w:rPr>
          <w:rFonts w:ascii="Times New Roman" w:hAnsi="Times New Roman" w:cs="Times New Roman"/>
          <w:sz w:val="24"/>
          <w:szCs w:val="24"/>
        </w:rPr>
      </w:pPr>
    </w:p>
    <w:p w14:paraId="0F9C0841" w14:textId="77777777" w:rsidR="00A72E75" w:rsidRPr="001658D2" w:rsidRDefault="00A72E75" w:rsidP="009F18F4">
      <w:pPr>
        <w:spacing w:line="480" w:lineRule="auto"/>
        <w:rPr>
          <w:rFonts w:ascii="Times New Roman" w:hAnsi="Times New Roman" w:cs="Times New Roman"/>
          <w:b/>
          <w:bCs/>
          <w:sz w:val="24"/>
          <w:szCs w:val="24"/>
        </w:rPr>
      </w:pPr>
      <w:bookmarkStart w:id="2" w:name="_Hlk99875679"/>
      <w:r w:rsidRPr="001658D2">
        <w:rPr>
          <w:rFonts w:ascii="Times New Roman" w:hAnsi="Times New Roman" w:cs="Times New Roman"/>
          <w:b/>
          <w:bCs/>
          <w:sz w:val="24"/>
          <w:szCs w:val="24"/>
        </w:rPr>
        <w:t xml:space="preserve">Quantitative real-time polymerase chain reaction </w:t>
      </w:r>
      <w:bookmarkEnd w:id="2"/>
      <w:r w:rsidRPr="001658D2">
        <w:rPr>
          <w:rFonts w:ascii="Times New Roman" w:hAnsi="Times New Roman" w:cs="Times New Roman"/>
          <w:b/>
          <w:bCs/>
          <w:sz w:val="24"/>
          <w:szCs w:val="24"/>
        </w:rPr>
        <w:t>(PCR)</w:t>
      </w:r>
    </w:p>
    <w:p w14:paraId="6FF5527E" w14:textId="3AE8B9FA" w:rsidR="00A72E75" w:rsidRPr="00110D77" w:rsidRDefault="00A72E75" w:rsidP="009F18F4">
      <w:pPr>
        <w:spacing w:line="480" w:lineRule="auto"/>
        <w:rPr>
          <w:rFonts w:ascii="Times New Roman" w:hAnsi="Times New Roman" w:cs="Times New Roman"/>
          <w:sz w:val="24"/>
          <w:szCs w:val="24"/>
        </w:rPr>
      </w:pPr>
      <w:r w:rsidRPr="001658D2">
        <w:rPr>
          <w:rFonts w:ascii="Times New Roman" w:hAnsi="Times New Roman" w:cs="Times New Roman"/>
          <w:sz w:val="24"/>
          <w:szCs w:val="24"/>
        </w:rPr>
        <w:t>To determine the level of phBimS transcription intracellularly, total RNA was harvested from SCC15 cells transfected with DMP, DMP/pVAX (1 μg plasmid per well) and DMP/phBimS (1 μg plasmid per well)</w:t>
      </w:r>
      <w:r w:rsidR="008C7277" w:rsidRPr="001658D2">
        <w:rPr>
          <w:rFonts w:ascii="Times New Roman" w:hAnsi="Times New Roman" w:cs="Times New Roman"/>
          <w:sz w:val="24"/>
          <w:szCs w:val="24"/>
        </w:rPr>
        <w:t xml:space="preserve"> </w:t>
      </w:r>
      <w:r w:rsidRPr="001658D2">
        <w:rPr>
          <w:rFonts w:ascii="Times New Roman" w:hAnsi="Times New Roman" w:cs="Times New Roman"/>
          <w:sz w:val="24"/>
          <w:szCs w:val="24"/>
        </w:rPr>
        <w:t>using a FastPure Cell/Tissue Total RNA Isolation Kit (Vazyme</w:t>
      </w:r>
      <w:r w:rsidR="00723F0C" w:rsidRPr="001658D2">
        <w:rPr>
          <w:rFonts w:ascii="Times New Roman" w:eastAsia="SimSun" w:hAnsi="Times New Roman"/>
          <w:vertAlign w:val="superscript"/>
        </w:rPr>
        <w:t>®</w:t>
      </w:r>
      <w:r w:rsidRPr="001658D2">
        <w:rPr>
          <w:rFonts w:ascii="Times New Roman" w:hAnsi="Times New Roman" w:cs="Times New Roman"/>
          <w:sz w:val="24"/>
          <w:szCs w:val="24"/>
        </w:rPr>
        <w:t>).</w:t>
      </w:r>
      <w:r w:rsidR="008C7277" w:rsidRPr="001658D2">
        <w:rPr>
          <w:rFonts w:ascii="Times New Roman" w:hAnsi="Times New Roman" w:cs="Times New Roman"/>
          <w:sz w:val="24"/>
          <w:szCs w:val="24"/>
        </w:rPr>
        <w:t xml:space="preserve"> The </w:t>
      </w:r>
      <w:r w:rsidR="0037619A" w:rsidRPr="001658D2">
        <w:rPr>
          <w:rFonts w:ascii="Times New Roman" w:hAnsi="Times New Roman" w:cs="Times New Roman"/>
          <w:sz w:val="24"/>
          <w:szCs w:val="24"/>
        </w:rPr>
        <w:t xml:space="preserve">transfection </w:t>
      </w:r>
      <w:r w:rsidR="008C7277" w:rsidRPr="001658D2">
        <w:rPr>
          <w:rFonts w:ascii="Times New Roman" w:hAnsi="Times New Roman" w:cs="Times New Roman"/>
          <w:sz w:val="24"/>
          <w:szCs w:val="24"/>
        </w:rPr>
        <w:t>weight ratio of DMP:plasmid was 20:1.</w:t>
      </w:r>
      <w:r w:rsidRPr="001658D2">
        <w:rPr>
          <w:rFonts w:ascii="Times New Roman" w:hAnsi="Times New Roman" w:cs="Times New Roman"/>
          <w:sz w:val="24"/>
          <w:szCs w:val="24"/>
        </w:rPr>
        <w:t xml:space="preserve"> Briefly, SCC15 cells were seeded in 6-well plates (1.3×10</w:t>
      </w:r>
      <w:r w:rsidRPr="001658D2">
        <w:rPr>
          <w:rFonts w:ascii="Times New Roman" w:hAnsi="Times New Roman" w:cs="Times New Roman"/>
          <w:sz w:val="24"/>
          <w:szCs w:val="24"/>
          <w:vertAlign w:val="superscript"/>
        </w:rPr>
        <w:t>5</w:t>
      </w:r>
      <w:r w:rsidRPr="001658D2">
        <w:rPr>
          <w:rFonts w:ascii="Times New Roman" w:hAnsi="Times New Roman" w:cs="Times New Roman"/>
          <w:sz w:val="24"/>
          <w:szCs w:val="24"/>
        </w:rPr>
        <w:t xml:space="preserve"> per well) and transfection were conducted according to the protocol above. The plate was incubated at 37°C and total RNA was extracted 24 h after transfection. The mRNA was used as template to synthesize cDNAs by SuperScript II (</w:t>
      </w:r>
      <w:r w:rsidR="00F54701" w:rsidRPr="001658D2">
        <w:rPr>
          <w:rFonts w:ascii="Times New Roman" w:hAnsi="Times New Roman" w:cs="Times New Roman"/>
          <w:sz w:val="24"/>
          <w:szCs w:val="24"/>
        </w:rPr>
        <w:t>Sigma-Aldrich Inc</w:t>
      </w:r>
      <w:r w:rsidR="00F54701" w:rsidRPr="001658D2">
        <w:rPr>
          <w:rFonts w:ascii="Times New Roman" w:eastAsia="SimSun" w:hAnsi="Times New Roman"/>
          <w:vertAlign w:val="superscript"/>
        </w:rPr>
        <w:t>®</w:t>
      </w:r>
      <w:r w:rsidRPr="001658D2">
        <w:rPr>
          <w:rFonts w:ascii="Times New Roman" w:hAnsi="Times New Roman" w:cs="Times New Roman"/>
          <w:sz w:val="24"/>
          <w:szCs w:val="24"/>
        </w:rPr>
        <w:t>). The SYBR qPCR Master Mix (Vazyme</w:t>
      </w:r>
      <w:r w:rsidR="00723F0C" w:rsidRPr="001658D2">
        <w:rPr>
          <w:rFonts w:ascii="Times New Roman" w:eastAsia="SimSun" w:hAnsi="Times New Roman"/>
          <w:vertAlign w:val="superscript"/>
        </w:rPr>
        <w:t>®</w:t>
      </w:r>
      <w:r w:rsidRPr="001658D2">
        <w:rPr>
          <w:rFonts w:ascii="Times New Roman" w:hAnsi="Times New Roman" w:cs="Times New Roman"/>
          <w:sz w:val="24"/>
          <w:szCs w:val="24"/>
        </w:rPr>
        <w:t>) w</w:t>
      </w:r>
      <w:r w:rsidRPr="00110D77">
        <w:rPr>
          <w:rFonts w:ascii="Times New Roman" w:hAnsi="Times New Roman" w:cs="Times New Roman"/>
          <w:sz w:val="24"/>
          <w:szCs w:val="24"/>
        </w:rPr>
        <w:t xml:space="preserve">as used to perform quantitative Real-Time PCR. GAPDH was used as a reference to quantitate the hBimS expression level. The PCR primers for hBimS (forward: 5′- AGA CAG AGC CAC AAG CTT CC, reverse: 5′- TCC AAT ACG CCG CAA CTC TT) and GAPDH (forward: 5′- GTC TCC TCT GAC TTC AAC AGC G, reverse; 5′- ACC CTG </w:t>
      </w:r>
      <w:r w:rsidRPr="00110D77">
        <w:rPr>
          <w:rFonts w:ascii="Times New Roman" w:hAnsi="Times New Roman" w:cs="Times New Roman"/>
          <w:sz w:val="24"/>
          <w:szCs w:val="24"/>
        </w:rPr>
        <w:lastRenderedPageBreak/>
        <w:t>TTG CTG TAG CCA A) were synthesized and purified.</w:t>
      </w:r>
    </w:p>
    <w:p w14:paraId="316AA469" w14:textId="77777777" w:rsidR="00A72E75" w:rsidRPr="00110D77" w:rsidRDefault="00A72E75" w:rsidP="009F18F4">
      <w:pPr>
        <w:spacing w:line="480" w:lineRule="auto"/>
        <w:rPr>
          <w:rFonts w:ascii="Times New Roman" w:hAnsi="Times New Roman" w:cs="Times New Roman"/>
          <w:sz w:val="24"/>
          <w:szCs w:val="24"/>
        </w:rPr>
      </w:pPr>
    </w:p>
    <w:p w14:paraId="633214B4" w14:textId="77777777" w:rsidR="00A72E75" w:rsidRPr="00110D77" w:rsidRDefault="00A72E75" w:rsidP="009F18F4">
      <w:pPr>
        <w:spacing w:line="480" w:lineRule="auto"/>
        <w:rPr>
          <w:rFonts w:ascii="Times New Roman" w:hAnsi="Times New Roman" w:cs="Times New Roman"/>
          <w:b/>
          <w:bCs/>
          <w:sz w:val="24"/>
          <w:szCs w:val="24"/>
        </w:rPr>
      </w:pPr>
      <w:r w:rsidRPr="00110D77">
        <w:rPr>
          <w:rFonts w:ascii="Times New Roman" w:hAnsi="Times New Roman" w:cs="Times New Roman"/>
          <w:b/>
          <w:bCs/>
          <w:sz w:val="24"/>
          <w:szCs w:val="24"/>
        </w:rPr>
        <w:t>Clonogenic assay</w:t>
      </w:r>
    </w:p>
    <w:p w14:paraId="13511EF3" w14:textId="56FFEA78" w:rsidR="00A72E75" w:rsidRPr="00110D77" w:rsidRDefault="00A72E75" w:rsidP="009F18F4">
      <w:pPr>
        <w:spacing w:line="480" w:lineRule="auto"/>
        <w:rPr>
          <w:rFonts w:ascii="Times New Roman" w:hAnsi="Times New Roman" w:cs="Times New Roman"/>
          <w:sz w:val="24"/>
          <w:szCs w:val="24"/>
        </w:rPr>
      </w:pPr>
      <w:r w:rsidRPr="00110D77">
        <w:rPr>
          <w:rFonts w:ascii="Times New Roman" w:hAnsi="Times New Roman" w:cs="Times New Roman"/>
          <w:sz w:val="24"/>
          <w:szCs w:val="24"/>
        </w:rPr>
        <w:t>We used a clonogenic assay to detect the cell proliferation capacity of DMP. Briefly, SCC15 cells were seeded in a 6-well plate (800 cells per well)</w:t>
      </w:r>
      <w:r w:rsidR="00D72C19">
        <w:rPr>
          <w:rFonts w:ascii="Times New Roman" w:hAnsi="Times New Roman" w:cs="Times New Roman"/>
          <w:sz w:val="24"/>
          <w:szCs w:val="24"/>
        </w:rPr>
        <w:t>.</w:t>
      </w:r>
      <w:r w:rsidRPr="00110D77">
        <w:rPr>
          <w:rFonts w:ascii="Times New Roman" w:hAnsi="Times New Roman" w:cs="Times New Roman"/>
          <w:sz w:val="24"/>
          <w:szCs w:val="24"/>
        </w:rPr>
        <w:t xml:space="preserve"> The transfection of DMP, DMP/pVAX (4 μg plasmid per well), and DMP/phBimS (4 μg plasmid per well) were conducted 24 h after seeding according to the protocol </w:t>
      </w:r>
      <w:r w:rsidRPr="001658D2">
        <w:rPr>
          <w:rFonts w:ascii="Times New Roman" w:hAnsi="Times New Roman" w:cs="Times New Roman"/>
          <w:sz w:val="24"/>
          <w:szCs w:val="24"/>
        </w:rPr>
        <w:t>mentioned above</w:t>
      </w:r>
      <w:r w:rsidR="00D72C19" w:rsidRPr="001658D2">
        <w:rPr>
          <w:rFonts w:ascii="Times New Roman" w:hAnsi="Times New Roman" w:cs="Times New Roman"/>
          <w:sz w:val="24"/>
          <w:szCs w:val="24"/>
        </w:rPr>
        <w:t xml:space="preserve"> with the 20:1 weight ratio of DMP:plasmid</w:t>
      </w:r>
      <w:r w:rsidRPr="001658D2">
        <w:rPr>
          <w:rFonts w:ascii="Times New Roman" w:hAnsi="Times New Roman" w:cs="Times New Roman"/>
          <w:sz w:val="24"/>
          <w:szCs w:val="24"/>
        </w:rPr>
        <w:t>. The plates were incubated</w:t>
      </w:r>
      <w:r w:rsidRPr="00110D77">
        <w:rPr>
          <w:rFonts w:ascii="Times New Roman" w:hAnsi="Times New Roman" w:cs="Times New Roman"/>
          <w:sz w:val="24"/>
          <w:szCs w:val="24"/>
        </w:rPr>
        <w:t xml:space="preserve"> at 37°C, and cells continued to culture and formed colonies. One week after transfection, when colonies could be clearly observed by the naked eye, the supernatant was discarded, and the colonies were carefully washed twice with phosphate buffered saline (PBS). Paraformaldehyde was used to fix colonies for 15 min and crystal violet (0.1%) was used to stain cells for a further 20 min. The 6-well plate was photographed and the number of colonies was counted.</w:t>
      </w:r>
    </w:p>
    <w:p w14:paraId="2A1D16C9" w14:textId="77777777" w:rsidR="00A72E75" w:rsidRPr="00110D77" w:rsidRDefault="00A72E75" w:rsidP="009F18F4">
      <w:pPr>
        <w:spacing w:line="480" w:lineRule="auto"/>
        <w:rPr>
          <w:rFonts w:ascii="Times New Roman" w:hAnsi="Times New Roman" w:cs="Times New Roman"/>
          <w:sz w:val="24"/>
          <w:szCs w:val="24"/>
        </w:rPr>
      </w:pPr>
    </w:p>
    <w:p w14:paraId="38FFF3F0" w14:textId="77777777" w:rsidR="00A72E75" w:rsidRPr="00110D77" w:rsidRDefault="00A72E75" w:rsidP="009F18F4">
      <w:pPr>
        <w:spacing w:line="480" w:lineRule="auto"/>
        <w:rPr>
          <w:rFonts w:ascii="Times New Roman" w:hAnsi="Times New Roman" w:cs="Times New Roman"/>
          <w:sz w:val="24"/>
          <w:szCs w:val="24"/>
        </w:rPr>
      </w:pPr>
      <w:r w:rsidRPr="00110D77">
        <w:rPr>
          <w:rFonts w:ascii="Times New Roman" w:hAnsi="Times New Roman" w:cs="Times New Roman"/>
          <w:b/>
          <w:bCs/>
          <w:sz w:val="24"/>
          <w:szCs w:val="24"/>
        </w:rPr>
        <w:t>Anti-proliferation assay</w:t>
      </w:r>
    </w:p>
    <w:p w14:paraId="4E3E0CA3" w14:textId="671167AC" w:rsidR="00A72E75" w:rsidRPr="00110D77" w:rsidRDefault="00A72E75" w:rsidP="009F18F4">
      <w:pPr>
        <w:spacing w:line="480" w:lineRule="auto"/>
        <w:rPr>
          <w:rFonts w:ascii="Times New Roman" w:hAnsi="Times New Roman" w:cs="Times New Roman"/>
          <w:sz w:val="24"/>
          <w:szCs w:val="24"/>
        </w:rPr>
      </w:pPr>
      <w:r w:rsidRPr="00110D77">
        <w:rPr>
          <w:rFonts w:ascii="Times New Roman" w:hAnsi="Times New Roman" w:cs="Times New Roman"/>
          <w:sz w:val="24"/>
          <w:szCs w:val="24"/>
        </w:rPr>
        <w:t>We assessed the growth inhibition ability of the DMP/phBimS complex. Briefly, SCC15 cells were seeded into a 96-well plate (5×10</w:t>
      </w:r>
      <w:r w:rsidRPr="00110D77">
        <w:rPr>
          <w:rFonts w:ascii="Times New Roman" w:hAnsi="Times New Roman" w:cs="Times New Roman"/>
          <w:sz w:val="24"/>
          <w:szCs w:val="24"/>
          <w:vertAlign w:val="superscript"/>
        </w:rPr>
        <w:t>3</w:t>
      </w:r>
      <w:r w:rsidRPr="00110D77">
        <w:rPr>
          <w:rFonts w:ascii="Times New Roman" w:hAnsi="Times New Roman" w:cs="Times New Roman"/>
          <w:sz w:val="24"/>
          <w:szCs w:val="24"/>
        </w:rPr>
        <w:t xml:space="preserve"> cells per well) overnight at 37°C under a humidified atmosphere containing 5% CO</w:t>
      </w:r>
      <w:r w:rsidRPr="00110D77">
        <w:rPr>
          <w:rFonts w:ascii="Times New Roman" w:hAnsi="Times New Roman" w:cs="Times New Roman"/>
          <w:sz w:val="24"/>
          <w:szCs w:val="24"/>
          <w:vertAlign w:val="subscript"/>
        </w:rPr>
        <w:t>2</w:t>
      </w:r>
      <w:r w:rsidRPr="00110D77">
        <w:rPr>
          <w:rFonts w:ascii="Times New Roman" w:hAnsi="Times New Roman" w:cs="Times New Roman"/>
          <w:sz w:val="24"/>
          <w:szCs w:val="24"/>
        </w:rPr>
        <w:t xml:space="preserve">. The cells were transfected with DMP, DMP/pVAX (0.5 </w:t>
      </w:r>
      <w:r w:rsidRPr="001658D2">
        <w:rPr>
          <w:rFonts w:ascii="Times New Roman" w:hAnsi="Times New Roman" w:cs="Times New Roman"/>
          <w:sz w:val="24"/>
          <w:szCs w:val="24"/>
        </w:rPr>
        <w:t>μg</w:t>
      </w:r>
      <w:r w:rsidR="003079D7" w:rsidRPr="001658D2">
        <w:rPr>
          <w:rFonts w:ascii="Times New Roman" w:hAnsi="Times New Roman" w:cs="Times New Roman"/>
          <w:sz w:val="24"/>
          <w:szCs w:val="24"/>
        </w:rPr>
        <w:t xml:space="preserve"> per well</w:t>
      </w:r>
      <w:r w:rsidRPr="001658D2">
        <w:rPr>
          <w:rFonts w:ascii="Times New Roman" w:hAnsi="Times New Roman" w:cs="Times New Roman"/>
          <w:sz w:val="24"/>
          <w:szCs w:val="24"/>
        </w:rPr>
        <w:t>), and DMP/phBimS (0.5 μg</w:t>
      </w:r>
      <w:r w:rsidR="003079D7" w:rsidRPr="001658D2">
        <w:rPr>
          <w:rFonts w:ascii="Times New Roman" w:hAnsi="Times New Roman" w:cs="Times New Roman"/>
          <w:sz w:val="24"/>
          <w:szCs w:val="24"/>
        </w:rPr>
        <w:t xml:space="preserve"> per well</w:t>
      </w:r>
      <w:r w:rsidRPr="001658D2">
        <w:rPr>
          <w:rFonts w:ascii="Times New Roman" w:hAnsi="Times New Roman" w:cs="Times New Roman"/>
          <w:sz w:val="24"/>
          <w:szCs w:val="24"/>
        </w:rPr>
        <w:t>) according to the protocols above</w:t>
      </w:r>
      <w:r w:rsidR="003079D7" w:rsidRPr="001658D2">
        <w:rPr>
          <w:rFonts w:ascii="Times New Roman" w:hAnsi="Times New Roman" w:cs="Times New Roman"/>
          <w:sz w:val="24"/>
          <w:szCs w:val="24"/>
        </w:rPr>
        <w:t xml:space="preserve"> (DMP:plasmid=20:1, w/w)</w:t>
      </w:r>
      <w:r w:rsidRPr="001658D2">
        <w:rPr>
          <w:rFonts w:ascii="Times New Roman" w:hAnsi="Times New Roman" w:cs="Times New Roman"/>
          <w:sz w:val="24"/>
          <w:szCs w:val="24"/>
        </w:rPr>
        <w:t>. After</w:t>
      </w:r>
      <w:r w:rsidRPr="00110D77">
        <w:rPr>
          <w:rFonts w:ascii="Times New Roman" w:hAnsi="Times New Roman" w:cs="Times New Roman"/>
          <w:sz w:val="24"/>
          <w:szCs w:val="24"/>
        </w:rPr>
        <w:t xml:space="preserve"> 24 h, the anti-proliferation was measured by MTT assay.</w:t>
      </w:r>
    </w:p>
    <w:p w14:paraId="3D77A9DF" w14:textId="77777777" w:rsidR="00A72E75" w:rsidRPr="00110D77" w:rsidRDefault="00A72E75" w:rsidP="009F18F4">
      <w:pPr>
        <w:spacing w:line="480" w:lineRule="auto"/>
        <w:rPr>
          <w:rFonts w:ascii="Times New Roman" w:hAnsi="Times New Roman" w:cs="Times New Roman"/>
          <w:sz w:val="24"/>
          <w:szCs w:val="24"/>
        </w:rPr>
      </w:pPr>
    </w:p>
    <w:p w14:paraId="32BCB5FE" w14:textId="70E4C0E4" w:rsidR="00A72E75" w:rsidRPr="00110D77" w:rsidRDefault="00A72E75" w:rsidP="009F18F4">
      <w:pPr>
        <w:spacing w:line="480" w:lineRule="auto"/>
        <w:rPr>
          <w:rFonts w:ascii="Times New Roman" w:hAnsi="Times New Roman" w:cs="Times New Roman"/>
          <w:b/>
          <w:bCs/>
          <w:sz w:val="24"/>
          <w:szCs w:val="24"/>
        </w:rPr>
      </w:pPr>
      <w:r w:rsidRPr="00110D77">
        <w:rPr>
          <w:rFonts w:ascii="Times New Roman" w:hAnsi="Times New Roman" w:cs="Times New Roman"/>
          <w:b/>
          <w:bCs/>
          <w:sz w:val="24"/>
          <w:szCs w:val="24"/>
        </w:rPr>
        <w:t xml:space="preserve">Western </w:t>
      </w:r>
      <w:r w:rsidR="00D25494">
        <w:rPr>
          <w:rFonts w:ascii="Times New Roman" w:hAnsi="Times New Roman" w:cs="Times New Roman"/>
          <w:b/>
          <w:bCs/>
          <w:sz w:val="24"/>
          <w:szCs w:val="24"/>
        </w:rPr>
        <w:t>b</w:t>
      </w:r>
      <w:r w:rsidRPr="00110D77">
        <w:rPr>
          <w:rFonts w:ascii="Times New Roman" w:hAnsi="Times New Roman" w:cs="Times New Roman"/>
          <w:b/>
          <w:bCs/>
          <w:sz w:val="24"/>
          <w:szCs w:val="24"/>
        </w:rPr>
        <w:t xml:space="preserve">lot </w:t>
      </w:r>
      <w:r w:rsidR="00D25494">
        <w:rPr>
          <w:rFonts w:ascii="Times New Roman" w:hAnsi="Times New Roman" w:cs="Times New Roman"/>
          <w:b/>
          <w:bCs/>
          <w:sz w:val="24"/>
          <w:szCs w:val="24"/>
        </w:rPr>
        <w:t>a</w:t>
      </w:r>
      <w:r w:rsidRPr="00110D77">
        <w:rPr>
          <w:rFonts w:ascii="Times New Roman" w:hAnsi="Times New Roman" w:cs="Times New Roman"/>
          <w:b/>
          <w:bCs/>
          <w:sz w:val="24"/>
          <w:szCs w:val="24"/>
        </w:rPr>
        <w:t>nalysis</w:t>
      </w:r>
    </w:p>
    <w:p w14:paraId="15338FAF" w14:textId="7E9C1B0E" w:rsidR="00A72E75" w:rsidRDefault="00A72E75" w:rsidP="009F18F4">
      <w:pPr>
        <w:spacing w:line="480" w:lineRule="auto"/>
        <w:rPr>
          <w:rFonts w:ascii="Times New Roman" w:hAnsi="Times New Roman" w:cs="Times New Roman"/>
          <w:sz w:val="24"/>
          <w:szCs w:val="24"/>
        </w:rPr>
      </w:pPr>
      <w:r w:rsidRPr="00110D77">
        <w:rPr>
          <w:rFonts w:ascii="Times New Roman" w:hAnsi="Times New Roman" w:cs="Times New Roman"/>
          <w:kern w:val="0"/>
          <w:sz w:val="24"/>
          <w:szCs w:val="24"/>
        </w:rPr>
        <w:t>To test the change in proteins in the apoptotic pathway, SCC15 (8×10</w:t>
      </w:r>
      <w:r w:rsidRPr="00110D77">
        <w:rPr>
          <w:rFonts w:ascii="Times New Roman" w:hAnsi="Times New Roman" w:cs="Times New Roman"/>
          <w:kern w:val="0"/>
          <w:sz w:val="24"/>
          <w:szCs w:val="24"/>
          <w:vertAlign w:val="superscript"/>
        </w:rPr>
        <w:t xml:space="preserve">4 </w:t>
      </w:r>
      <w:r w:rsidRPr="00110D77">
        <w:rPr>
          <w:rFonts w:ascii="Times New Roman" w:hAnsi="Times New Roman" w:cs="Times New Roman"/>
          <w:kern w:val="0"/>
          <w:sz w:val="24"/>
          <w:szCs w:val="24"/>
        </w:rPr>
        <w:t>cells per well) were seeded in 6-well plates and were transfected with DMP, DMP/pVAX (2 μg plasmid per well), and DMP/phBimS (2 μg plasmid per well)</w:t>
      </w:r>
      <w:r w:rsidR="009A4245">
        <w:rPr>
          <w:rFonts w:ascii="Times New Roman" w:hAnsi="Times New Roman" w:cs="Times New Roman"/>
          <w:kern w:val="0"/>
          <w:sz w:val="24"/>
          <w:szCs w:val="24"/>
        </w:rPr>
        <w:t xml:space="preserve"> i</w:t>
      </w:r>
      <w:r w:rsidR="009A4245" w:rsidRPr="001658D2">
        <w:rPr>
          <w:rFonts w:ascii="Times New Roman" w:hAnsi="Times New Roman" w:cs="Times New Roman"/>
          <w:kern w:val="0"/>
          <w:sz w:val="24"/>
          <w:szCs w:val="24"/>
        </w:rPr>
        <w:t>n 20:1 weight ratio of DMP:plasmid</w:t>
      </w:r>
      <w:r w:rsidRPr="001658D2">
        <w:rPr>
          <w:rFonts w:ascii="Times New Roman" w:hAnsi="Times New Roman" w:cs="Times New Roman"/>
          <w:kern w:val="0"/>
          <w:sz w:val="24"/>
          <w:szCs w:val="24"/>
        </w:rPr>
        <w:t>. Protein samples were extracted with RIPA/IP (Beyotime</w:t>
      </w:r>
      <w:r w:rsidR="00A67167" w:rsidRPr="001658D2">
        <w:rPr>
          <w:rFonts w:ascii="Times New Roman" w:eastAsia="SimSun" w:hAnsi="Times New Roman"/>
          <w:vertAlign w:val="superscript"/>
        </w:rPr>
        <w:t>®</w:t>
      </w:r>
      <w:r w:rsidRPr="001658D2">
        <w:rPr>
          <w:rFonts w:ascii="Times New Roman" w:hAnsi="Times New Roman" w:cs="Times New Roman"/>
          <w:kern w:val="0"/>
          <w:sz w:val="24"/>
          <w:szCs w:val="24"/>
        </w:rPr>
        <w:t>) 48 h after transfection and samples were stored at –80°C before use. The total protein concentration was determined with Coomassie brilliant blue G-250 (Beyotime</w:t>
      </w:r>
      <w:r w:rsidR="00A67167" w:rsidRPr="001658D2">
        <w:rPr>
          <w:rFonts w:ascii="Times New Roman" w:eastAsia="SimSun" w:hAnsi="Times New Roman"/>
          <w:vertAlign w:val="superscript"/>
        </w:rPr>
        <w:t>®</w:t>
      </w:r>
      <w:r w:rsidRPr="001658D2">
        <w:rPr>
          <w:rFonts w:ascii="Times New Roman" w:hAnsi="Times New Roman" w:cs="Times New Roman"/>
          <w:kern w:val="0"/>
          <w:sz w:val="24"/>
          <w:szCs w:val="24"/>
        </w:rPr>
        <w:t>) to ensure a consistent loading volume. Samples were separated by polyacrylamide gel electrophoresis (Beyotime</w:t>
      </w:r>
      <w:r w:rsidR="00A67167" w:rsidRPr="001658D2">
        <w:rPr>
          <w:rFonts w:ascii="Times New Roman" w:eastAsia="SimSun" w:hAnsi="Times New Roman"/>
          <w:vertAlign w:val="superscript"/>
        </w:rPr>
        <w:t>®</w:t>
      </w:r>
      <w:r w:rsidRPr="001658D2">
        <w:rPr>
          <w:rFonts w:ascii="Times New Roman" w:hAnsi="Times New Roman" w:cs="Times New Roman"/>
          <w:kern w:val="0"/>
          <w:sz w:val="24"/>
          <w:szCs w:val="24"/>
        </w:rPr>
        <w:t>) and transferred to a polyvinylidene difluoride (PVDF) membrane (Millipore</w:t>
      </w:r>
      <w:r w:rsidR="00D429D2" w:rsidRPr="001658D2">
        <w:rPr>
          <w:rFonts w:ascii="Times New Roman" w:eastAsia="SimSun" w:hAnsi="Times New Roman"/>
          <w:vertAlign w:val="superscript"/>
        </w:rPr>
        <w:t>®</w:t>
      </w:r>
      <w:r w:rsidRPr="001658D2">
        <w:rPr>
          <w:rFonts w:ascii="Times New Roman" w:hAnsi="Times New Roman" w:cs="Times New Roman"/>
          <w:kern w:val="0"/>
          <w:sz w:val="24"/>
          <w:szCs w:val="24"/>
        </w:rPr>
        <w:t>) before blocking the membrane with 5% non-fat milk (Servicebio Technology</w:t>
      </w:r>
      <w:r w:rsidR="00A67167" w:rsidRPr="001658D2">
        <w:rPr>
          <w:rFonts w:ascii="Times New Roman" w:eastAsia="SimSun" w:hAnsi="Times New Roman"/>
          <w:vertAlign w:val="superscript"/>
        </w:rPr>
        <w:t>®</w:t>
      </w:r>
      <w:r w:rsidRPr="001658D2">
        <w:rPr>
          <w:rFonts w:ascii="Times New Roman" w:hAnsi="Times New Roman" w:cs="Times New Roman"/>
          <w:kern w:val="0"/>
          <w:sz w:val="24"/>
          <w:szCs w:val="24"/>
        </w:rPr>
        <w:t>, Wuhan).</w:t>
      </w:r>
      <w:r w:rsidRPr="001658D2">
        <w:rPr>
          <w:rFonts w:ascii="Times New Roman" w:hAnsi="Times New Roman" w:cs="Times New Roman"/>
          <w:sz w:val="24"/>
          <w:szCs w:val="24"/>
        </w:rPr>
        <w:t xml:space="preserve"> We probed the target protein with 10 ml primary antibody overnight at 4°C (Bim, 1:1000;</w:t>
      </w:r>
      <w:r w:rsidR="000A2CC8" w:rsidRPr="001658D2">
        <w:rPr>
          <w:rFonts w:ascii="Times New Roman" w:hAnsi="Times New Roman" w:cs="Times New Roman"/>
          <w:sz w:val="24"/>
          <w:szCs w:val="24"/>
        </w:rPr>
        <w:t xml:space="preserve"> Cell Signaling Technology</w:t>
      </w:r>
      <w:r w:rsidR="000A2CC8" w:rsidRPr="001658D2">
        <w:rPr>
          <w:rFonts w:ascii="Times New Roman" w:eastAsia="SimSun" w:hAnsi="Times New Roman"/>
          <w:vertAlign w:val="superscript"/>
        </w:rPr>
        <w:t>®</w:t>
      </w:r>
      <w:r w:rsidRPr="001658D2">
        <w:rPr>
          <w:rFonts w:ascii="Times New Roman" w:hAnsi="Times New Roman" w:cs="Times New Roman"/>
          <w:sz w:val="24"/>
          <w:szCs w:val="24"/>
        </w:rPr>
        <w:t>, C34C5). We incubated the PVDF membrane with goat-rabbit secondary antibody (1:10,000; Cell Signaling Technology</w:t>
      </w:r>
      <w:r w:rsidR="000A2CC8" w:rsidRPr="001658D2">
        <w:rPr>
          <w:rFonts w:ascii="Times New Roman" w:eastAsia="SimSun" w:hAnsi="Times New Roman"/>
          <w:vertAlign w:val="superscript"/>
        </w:rPr>
        <w:t>®</w:t>
      </w:r>
      <w:r w:rsidRPr="001658D2">
        <w:rPr>
          <w:rFonts w:ascii="Times New Roman" w:hAnsi="Times New Roman" w:cs="Times New Roman"/>
          <w:sz w:val="24"/>
          <w:szCs w:val="24"/>
        </w:rPr>
        <w:t>) after each primary antibody. The target proteins were detected using a chemilumin</w:t>
      </w:r>
      <w:r w:rsidRPr="00110D77">
        <w:rPr>
          <w:rFonts w:ascii="Times New Roman" w:hAnsi="Times New Roman" w:cs="Times New Roman"/>
          <w:sz w:val="24"/>
          <w:szCs w:val="24"/>
        </w:rPr>
        <w:t>escence system (ChemiScope Touch, CLINX, Shanghai).</w:t>
      </w:r>
    </w:p>
    <w:p w14:paraId="64075910" w14:textId="4095EE4F" w:rsidR="00177E7C" w:rsidRDefault="00177E7C" w:rsidP="009F18F4">
      <w:pPr>
        <w:spacing w:line="480" w:lineRule="auto"/>
        <w:rPr>
          <w:rFonts w:ascii="Times New Roman" w:hAnsi="Times New Roman" w:cs="Times New Roman"/>
          <w:sz w:val="24"/>
          <w:szCs w:val="24"/>
        </w:rPr>
      </w:pPr>
    </w:p>
    <w:p w14:paraId="52E42710" w14:textId="77777777" w:rsidR="009F18F4" w:rsidRDefault="009F18F4" w:rsidP="009F18F4">
      <w:pPr>
        <w:spacing w:line="480" w:lineRule="auto"/>
        <w:rPr>
          <w:rFonts w:ascii="Times New Roman" w:hAnsi="Times New Roman" w:cs="Times New Roman"/>
          <w:sz w:val="24"/>
          <w:szCs w:val="24"/>
        </w:rPr>
      </w:pPr>
    </w:p>
    <w:p w14:paraId="155D6479" w14:textId="080141F3" w:rsidR="00177E7C" w:rsidRDefault="00177E7C" w:rsidP="009F18F4">
      <w:pPr>
        <w:spacing w:line="480" w:lineRule="auto"/>
        <w:rPr>
          <w:rFonts w:ascii="Times New Roman" w:hAnsi="Times New Roman" w:cs="Times New Roman"/>
          <w:sz w:val="24"/>
          <w:szCs w:val="24"/>
        </w:rPr>
      </w:pPr>
      <w:r w:rsidRPr="00177E7C">
        <w:rPr>
          <w:rFonts w:ascii="Times New Roman" w:hAnsi="Times New Roman" w:cs="Times New Roman" w:hint="eastAsia"/>
          <w:b/>
          <w:bCs/>
          <w:sz w:val="24"/>
          <w:szCs w:val="24"/>
        </w:rPr>
        <w:t>A</w:t>
      </w:r>
      <w:r w:rsidRPr="00177E7C">
        <w:rPr>
          <w:rFonts w:ascii="Times New Roman" w:hAnsi="Times New Roman" w:cs="Times New Roman"/>
          <w:b/>
          <w:bCs/>
          <w:sz w:val="24"/>
          <w:szCs w:val="24"/>
        </w:rPr>
        <w:t>ppendix Figure S1</w:t>
      </w:r>
      <w:r w:rsidR="008A64DD">
        <w:rPr>
          <w:rFonts w:ascii="Times New Roman" w:hAnsi="Times New Roman" w:cs="Times New Roman" w:hint="eastAsia"/>
          <w:b/>
          <w:bCs/>
          <w:sz w:val="24"/>
          <w:szCs w:val="24"/>
        </w:rPr>
        <w:t>.</w:t>
      </w:r>
      <w:r w:rsidR="008A64DD">
        <w:rPr>
          <w:rFonts w:ascii="Times New Roman" w:hAnsi="Times New Roman" w:cs="Times New Roman"/>
          <w:b/>
          <w:bCs/>
          <w:sz w:val="24"/>
          <w:szCs w:val="24"/>
        </w:rPr>
        <w:t xml:space="preserve"> </w:t>
      </w:r>
      <w:r w:rsidR="008A64DD" w:rsidRPr="00BC133E">
        <w:rPr>
          <w:rFonts w:ascii="Times New Roman" w:hAnsi="Times New Roman" w:cs="Times New Roman"/>
          <w:sz w:val="24"/>
          <w:szCs w:val="24"/>
        </w:rPr>
        <w:t>The DMP/phBimS complex induced limited apoptosis in 293T cells after transfection, as measured by flow cytometry.</w:t>
      </w:r>
    </w:p>
    <w:p w14:paraId="334BB356" w14:textId="48DF06DB" w:rsidR="00BC133E" w:rsidRDefault="00BC133E" w:rsidP="009F18F4">
      <w:pPr>
        <w:spacing w:line="480" w:lineRule="auto"/>
        <w:rPr>
          <w:rFonts w:ascii="Times New Roman" w:hAnsi="Times New Roman" w:cs="Times New Roman"/>
          <w:sz w:val="24"/>
          <w:szCs w:val="24"/>
        </w:rPr>
      </w:pPr>
      <w:r>
        <w:rPr>
          <w:noProof/>
        </w:rPr>
        <w:lastRenderedPageBreak/>
        <w:drawing>
          <wp:inline distT="0" distB="0" distL="0" distR="0" wp14:anchorId="197835D0" wp14:editId="01475AE1">
            <wp:extent cx="5158740" cy="1839595"/>
            <wp:effectExtent l="0" t="0" r="38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8740" cy="1839595"/>
                    </a:xfrm>
                    <a:prstGeom prst="rect">
                      <a:avLst/>
                    </a:prstGeom>
                    <a:noFill/>
                    <a:ln>
                      <a:noFill/>
                    </a:ln>
                  </pic:spPr>
                </pic:pic>
              </a:graphicData>
            </a:graphic>
          </wp:inline>
        </w:drawing>
      </w:r>
    </w:p>
    <w:p w14:paraId="2F16E47D" w14:textId="77777777" w:rsidR="00BC133E" w:rsidRPr="008A64DD" w:rsidRDefault="00BC133E" w:rsidP="009F18F4">
      <w:pPr>
        <w:spacing w:line="480" w:lineRule="auto"/>
        <w:rPr>
          <w:rFonts w:ascii="Times New Roman" w:hAnsi="Times New Roman" w:cs="Times New Roman"/>
          <w:sz w:val="24"/>
          <w:szCs w:val="24"/>
        </w:rPr>
      </w:pPr>
    </w:p>
    <w:p w14:paraId="6F759F62" w14:textId="4EEDD841" w:rsidR="00502B96" w:rsidRDefault="00CD6BEE" w:rsidP="009F18F4">
      <w:pPr>
        <w:spacing w:line="480" w:lineRule="auto"/>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56536BB1" wp14:editId="21A5A4E6">
            <wp:simplePos x="0" y="0"/>
            <wp:positionH relativeFrom="margin">
              <wp:align>center</wp:align>
            </wp:positionH>
            <wp:positionV relativeFrom="paragraph">
              <wp:posOffset>1678361</wp:posOffset>
            </wp:positionV>
            <wp:extent cx="6327827" cy="3243532"/>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7827" cy="3243532"/>
                    </a:xfrm>
                    <a:prstGeom prst="rect">
                      <a:avLst/>
                    </a:prstGeom>
                    <a:noFill/>
                    <a:ln>
                      <a:noFill/>
                    </a:ln>
                  </pic:spPr>
                </pic:pic>
              </a:graphicData>
            </a:graphic>
          </wp:anchor>
        </w:drawing>
      </w:r>
      <w:r w:rsidR="00E1327A" w:rsidRPr="00110D77">
        <w:rPr>
          <w:rFonts w:ascii="Times New Roman" w:hAnsi="Times New Roman" w:cs="Times New Roman"/>
          <w:b/>
          <w:bCs/>
          <w:sz w:val="24"/>
          <w:szCs w:val="24"/>
        </w:rPr>
        <w:t xml:space="preserve">Figure </w:t>
      </w:r>
      <w:r w:rsidR="00E1327A">
        <w:rPr>
          <w:rFonts w:ascii="Times New Roman" w:hAnsi="Times New Roman" w:cs="Times New Roman"/>
          <w:b/>
          <w:bCs/>
          <w:sz w:val="24"/>
          <w:szCs w:val="24"/>
        </w:rPr>
        <w:t>S</w:t>
      </w:r>
      <w:r w:rsidR="00D03388">
        <w:rPr>
          <w:rFonts w:ascii="Times New Roman" w:hAnsi="Times New Roman" w:cs="Times New Roman"/>
          <w:b/>
          <w:bCs/>
          <w:sz w:val="24"/>
          <w:szCs w:val="24"/>
        </w:rPr>
        <w:t>2</w:t>
      </w:r>
      <w:r w:rsidR="00E1327A" w:rsidRPr="00110D77">
        <w:rPr>
          <w:rFonts w:ascii="Times New Roman" w:hAnsi="Times New Roman" w:cs="Times New Roman"/>
          <w:b/>
          <w:bCs/>
          <w:sz w:val="24"/>
          <w:szCs w:val="24"/>
        </w:rPr>
        <w:t>.</w:t>
      </w:r>
      <w:r w:rsidR="00715C17">
        <w:rPr>
          <w:rFonts w:ascii="Times New Roman" w:hAnsi="Times New Roman" w:cs="Times New Roman"/>
          <w:b/>
          <w:bCs/>
          <w:sz w:val="24"/>
          <w:szCs w:val="24"/>
        </w:rPr>
        <w:t xml:space="preserve"> </w:t>
      </w:r>
      <w:r w:rsidR="00715C17" w:rsidRPr="00715C17">
        <w:rPr>
          <w:rFonts w:ascii="Times New Roman" w:hAnsi="Times New Roman" w:cs="Times New Roman"/>
          <w:sz w:val="24"/>
          <w:szCs w:val="24"/>
        </w:rPr>
        <w:t>Mice</w:t>
      </w:r>
      <w:r w:rsidR="00715C17">
        <w:rPr>
          <w:rFonts w:ascii="Times New Roman" w:hAnsi="Times New Roman" w:cs="Times New Roman"/>
          <w:sz w:val="24"/>
          <w:szCs w:val="24"/>
        </w:rPr>
        <w:t xml:space="preserve"> body weight observation in </w:t>
      </w:r>
      <w:r w:rsidR="00715C17" w:rsidRPr="00110D77">
        <w:rPr>
          <w:rFonts w:ascii="Times New Roman" w:hAnsi="Times New Roman" w:cs="Times New Roman"/>
          <w:sz w:val="24"/>
          <w:szCs w:val="24"/>
        </w:rPr>
        <w:t>mouse tongue xenograft model</w:t>
      </w:r>
      <w:r w:rsidR="00715C17">
        <w:rPr>
          <w:rFonts w:ascii="Times New Roman" w:hAnsi="Times New Roman" w:cs="Times New Roman"/>
          <w:sz w:val="24"/>
          <w:szCs w:val="24"/>
        </w:rPr>
        <w:t xml:space="preserve"> via different administration pathways. (A) </w:t>
      </w:r>
      <w:r w:rsidR="00715C17" w:rsidRPr="00C333E6">
        <w:rPr>
          <w:rFonts w:ascii="Times New Roman" w:hAnsi="Times New Roman" w:cs="Times New Roman"/>
          <w:sz w:val="24"/>
          <w:szCs w:val="24"/>
        </w:rPr>
        <w:t>Body weight change curve of mice from each group</w:t>
      </w:r>
      <w:r w:rsidR="00715C17">
        <w:rPr>
          <w:rFonts w:ascii="Times New Roman" w:hAnsi="Times New Roman" w:cs="Times New Roman"/>
          <w:sz w:val="24"/>
          <w:szCs w:val="24"/>
        </w:rPr>
        <w:t xml:space="preserve"> </w:t>
      </w:r>
      <w:r w:rsidR="00BF4E59">
        <w:rPr>
          <w:rFonts w:ascii="Times New Roman" w:hAnsi="Times New Roman" w:cs="Times New Roman"/>
          <w:sz w:val="24"/>
          <w:szCs w:val="24"/>
        </w:rPr>
        <w:t>treated with</w:t>
      </w:r>
      <w:r w:rsidR="00715C17">
        <w:rPr>
          <w:rFonts w:ascii="Times New Roman" w:hAnsi="Times New Roman" w:cs="Times New Roman"/>
          <w:sz w:val="24"/>
          <w:szCs w:val="24"/>
        </w:rPr>
        <w:t xml:space="preserve"> local administration treatment</w:t>
      </w:r>
      <w:r w:rsidR="00BF4E59">
        <w:rPr>
          <w:rFonts w:ascii="Times New Roman" w:hAnsi="Times New Roman" w:cs="Times New Roman"/>
          <w:sz w:val="24"/>
          <w:szCs w:val="24"/>
        </w:rPr>
        <w:t>.</w:t>
      </w:r>
      <w:r w:rsidR="00E1327A" w:rsidRPr="00C333E6">
        <w:rPr>
          <w:rFonts w:ascii="Times New Roman" w:hAnsi="Times New Roman" w:cs="Times New Roman"/>
          <w:sz w:val="24"/>
          <w:szCs w:val="24"/>
        </w:rPr>
        <w:t xml:space="preserve"> </w:t>
      </w:r>
      <w:r w:rsidR="00372D7C" w:rsidRPr="00C333E6">
        <w:rPr>
          <w:rFonts w:ascii="Times New Roman" w:hAnsi="Times New Roman" w:cs="Times New Roman"/>
          <w:sz w:val="24"/>
          <w:szCs w:val="24"/>
        </w:rPr>
        <w:t>(</w:t>
      </w:r>
      <w:r w:rsidR="00E1327A">
        <w:rPr>
          <w:rFonts w:ascii="Times New Roman" w:hAnsi="Times New Roman" w:cs="Times New Roman"/>
          <w:sz w:val="24"/>
          <w:szCs w:val="24"/>
        </w:rPr>
        <w:t>B</w:t>
      </w:r>
      <w:r w:rsidR="00372D7C" w:rsidRPr="00C333E6">
        <w:rPr>
          <w:rFonts w:ascii="Times New Roman" w:hAnsi="Times New Roman" w:cs="Times New Roman"/>
          <w:sz w:val="24"/>
          <w:szCs w:val="24"/>
        </w:rPr>
        <w:t>) Body weight change curve of mice from each group</w:t>
      </w:r>
      <w:r w:rsidR="00E1327A">
        <w:rPr>
          <w:rFonts w:ascii="Times New Roman" w:hAnsi="Times New Roman" w:cs="Times New Roman"/>
          <w:sz w:val="24"/>
          <w:szCs w:val="24"/>
        </w:rPr>
        <w:t xml:space="preserve"> </w:t>
      </w:r>
      <w:r w:rsidR="00BF4E59">
        <w:rPr>
          <w:rFonts w:ascii="Times New Roman" w:hAnsi="Times New Roman" w:cs="Times New Roman"/>
          <w:sz w:val="24"/>
          <w:szCs w:val="24"/>
        </w:rPr>
        <w:t>treated with</w:t>
      </w:r>
      <w:r w:rsidR="00E1327A">
        <w:rPr>
          <w:rFonts w:ascii="Times New Roman" w:hAnsi="Times New Roman" w:cs="Times New Roman"/>
          <w:sz w:val="24"/>
          <w:szCs w:val="24"/>
        </w:rPr>
        <w:t xml:space="preserve"> systemic administration treatment</w:t>
      </w:r>
      <w:r w:rsidR="00372D7C" w:rsidRPr="00C333E6">
        <w:rPr>
          <w:rFonts w:ascii="Times New Roman" w:hAnsi="Times New Roman" w:cs="Times New Roman"/>
          <w:sz w:val="24"/>
          <w:szCs w:val="24"/>
        </w:rPr>
        <w:t xml:space="preserve"> (*P &lt; 0.05).</w:t>
      </w:r>
    </w:p>
    <w:p w14:paraId="66DC0879" w14:textId="77777777" w:rsidR="00C27000" w:rsidRDefault="00C27000" w:rsidP="001E0885">
      <w:pPr>
        <w:spacing w:line="480" w:lineRule="auto"/>
        <w:rPr>
          <w:rFonts w:ascii="Times New Roman" w:hAnsi="Times New Roman" w:cs="Times New Roman"/>
          <w:b/>
          <w:bCs/>
          <w:sz w:val="24"/>
          <w:szCs w:val="24"/>
        </w:rPr>
      </w:pPr>
    </w:p>
    <w:p w14:paraId="16D0A55A" w14:textId="219B88CE" w:rsidR="001E0885" w:rsidRDefault="001E0885" w:rsidP="001E0885">
      <w:pPr>
        <w:spacing w:line="480" w:lineRule="auto"/>
        <w:rPr>
          <w:rFonts w:ascii="Times New Roman" w:hAnsi="Times New Roman" w:cs="Times New Roman"/>
          <w:sz w:val="24"/>
          <w:szCs w:val="24"/>
        </w:rPr>
      </w:pPr>
      <w:r w:rsidRPr="00110D77">
        <w:rPr>
          <w:rFonts w:ascii="Times New Roman" w:hAnsi="Times New Roman" w:cs="Times New Roman"/>
          <w:b/>
          <w:bCs/>
          <w:sz w:val="24"/>
          <w:szCs w:val="24"/>
        </w:rPr>
        <w:t xml:space="preserve">Figure </w:t>
      </w:r>
      <w:r>
        <w:rPr>
          <w:rFonts w:ascii="Times New Roman" w:hAnsi="Times New Roman" w:cs="Times New Roman"/>
          <w:b/>
          <w:bCs/>
          <w:sz w:val="24"/>
          <w:szCs w:val="24"/>
        </w:rPr>
        <w:t>S3</w:t>
      </w:r>
      <w:r w:rsidRPr="00110D77">
        <w:rPr>
          <w:rFonts w:ascii="Times New Roman" w:hAnsi="Times New Roman" w:cs="Times New Roman"/>
          <w:b/>
          <w:bCs/>
          <w:sz w:val="24"/>
          <w:szCs w:val="24"/>
        </w:rPr>
        <w:t xml:space="preserve">. </w:t>
      </w:r>
      <w:r w:rsidRPr="00110D77">
        <w:rPr>
          <w:rFonts w:ascii="Times New Roman" w:hAnsi="Times New Roman" w:cs="Times New Roman"/>
          <w:sz w:val="24"/>
          <w:szCs w:val="24"/>
        </w:rPr>
        <w:t>Hematoxylin and eosin (H&amp;E) analysis of the main organs of different groups. (</w:t>
      </w:r>
      <w:r>
        <w:rPr>
          <w:rFonts w:ascii="Times New Roman" w:hAnsi="Times New Roman" w:cs="Times New Roman"/>
          <w:sz w:val="24"/>
          <w:szCs w:val="24"/>
        </w:rPr>
        <w:t>A</w:t>
      </w:r>
      <w:r w:rsidRPr="00110D77">
        <w:rPr>
          <w:rFonts w:ascii="Times New Roman" w:hAnsi="Times New Roman" w:cs="Times New Roman"/>
          <w:sz w:val="24"/>
          <w:szCs w:val="24"/>
        </w:rPr>
        <w:t xml:space="preserve">) H&amp;E analysis of the main organs from each group treated with local administration </w:t>
      </w:r>
      <w:r w:rsidRPr="00110D77">
        <w:rPr>
          <w:rFonts w:ascii="Times New Roman" w:hAnsi="Times New Roman" w:cs="Times New Roman"/>
          <w:sz w:val="24"/>
          <w:szCs w:val="24"/>
        </w:rPr>
        <w:lastRenderedPageBreak/>
        <w:t>(scale bar: 150 μm). (</w:t>
      </w:r>
      <w:r>
        <w:rPr>
          <w:rFonts w:ascii="Times New Roman" w:hAnsi="Times New Roman" w:cs="Times New Roman"/>
          <w:sz w:val="24"/>
          <w:szCs w:val="24"/>
        </w:rPr>
        <w:t>B</w:t>
      </w:r>
      <w:r w:rsidRPr="00110D77">
        <w:rPr>
          <w:rFonts w:ascii="Times New Roman" w:hAnsi="Times New Roman" w:cs="Times New Roman"/>
          <w:sz w:val="24"/>
          <w:szCs w:val="24"/>
        </w:rPr>
        <w:t>) H&amp;E analysis of the main organs from each group treated with systemic administration (scale bar: 150 μm).</w:t>
      </w:r>
    </w:p>
    <w:p w14:paraId="7C05F493" w14:textId="385A1137" w:rsidR="00EF6F9F" w:rsidRDefault="00EF6F9F" w:rsidP="001E0885">
      <w:pPr>
        <w:spacing w:line="480" w:lineRule="auto"/>
        <w:rPr>
          <w:rFonts w:ascii="Times New Roman" w:hAnsi="Times New Roman" w:cs="Times New Roman"/>
          <w:sz w:val="24"/>
          <w:szCs w:val="24"/>
        </w:rPr>
      </w:pPr>
      <w:r>
        <w:rPr>
          <w:noProof/>
        </w:rPr>
        <w:drawing>
          <wp:inline distT="0" distB="0" distL="0" distR="0" wp14:anchorId="725349D6" wp14:editId="0044954D">
            <wp:extent cx="5359912" cy="6463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912" cy="6463665"/>
                    </a:xfrm>
                    <a:prstGeom prst="rect">
                      <a:avLst/>
                    </a:prstGeom>
                    <a:noFill/>
                    <a:ln>
                      <a:noFill/>
                    </a:ln>
                  </pic:spPr>
                </pic:pic>
              </a:graphicData>
            </a:graphic>
          </wp:inline>
        </w:drawing>
      </w:r>
    </w:p>
    <w:p w14:paraId="2BC85EA8" w14:textId="7D1C7272" w:rsidR="001E0885" w:rsidRPr="00EF6F9F" w:rsidRDefault="001E0885" w:rsidP="00EF6F9F">
      <w:pPr>
        <w:widowControl/>
        <w:jc w:val="left"/>
        <w:rPr>
          <w:rFonts w:ascii="Times New Roman" w:hAnsi="Times New Roman" w:cs="Times New Roman"/>
          <w:sz w:val="24"/>
          <w:szCs w:val="24"/>
        </w:rPr>
      </w:pPr>
    </w:p>
    <w:p w14:paraId="314A13BC" w14:textId="2A236AE3" w:rsidR="00F40E4E" w:rsidRDefault="00CB4152" w:rsidP="009F18F4">
      <w:pPr>
        <w:spacing w:line="480" w:lineRule="auto"/>
        <w:rPr>
          <w:rFonts w:ascii="Times New Roman" w:hAnsi="Times New Roman" w:cs="Times New Roman"/>
          <w:kern w:val="0"/>
          <w:sz w:val="24"/>
          <w:szCs w:val="24"/>
        </w:rPr>
      </w:pPr>
      <w:r w:rsidRPr="00110D77">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1E0885">
        <w:rPr>
          <w:rFonts w:ascii="Times New Roman" w:hAnsi="Times New Roman" w:cs="Times New Roman"/>
          <w:b/>
          <w:bCs/>
          <w:sz w:val="24"/>
          <w:szCs w:val="24"/>
        </w:rPr>
        <w:t>4</w:t>
      </w:r>
      <w:r w:rsidRPr="00110D77">
        <w:rPr>
          <w:rFonts w:ascii="Times New Roman" w:hAnsi="Times New Roman" w:cs="Times New Roman"/>
          <w:b/>
          <w:bCs/>
          <w:sz w:val="24"/>
          <w:szCs w:val="24"/>
        </w:rPr>
        <w:t>.</w:t>
      </w:r>
      <w:r>
        <w:rPr>
          <w:rFonts w:ascii="Times New Roman" w:hAnsi="Times New Roman" w:cs="Times New Roman"/>
          <w:sz w:val="24"/>
          <w:szCs w:val="24"/>
        </w:rPr>
        <w:t xml:space="preserve"> </w:t>
      </w:r>
      <w:r w:rsidRPr="001B489D">
        <w:rPr>
          <w:rFonts w:ascii="Times New Roman" w:hAnsi="Times New Roman" w:cs="Times New Roman"/>
          <w:kern w:val="0"/>
          <w:sz w:val="24"/>
          <w:szCs w:val="24"/>
        </w:rPr>
        <w:t xml:space="preserve">Blood routine analysis of </w:t>
      </w:r>
      <w:r>
        <w:rPr>
          <w:rFonts w:ascii="Times New Roman" w:hAnsi="Times New Roman" w:cs="Times New Roman"/>
          <w:kern w:val="0"/>
          <w:sz w:val="24"/>
          <w:szCs w:val="24"/>
        </w:rPr>
        <w:t>DMP/phBimS</w:t>
      </w:r>
      <w:r w:rsidRPr="001B489D">
        <w:rPr>
          <w:rFonts w:ascii="Times New Roman" w:hAnsi="Times New Roman" w:cs="Times New Roman"/>
          <w:kern w:val="0"/>
          <w:sz w:val="24"/>
          <w:szCs w:val="24"/>
        </w:rPr>
        <w:t xml:space="preserve"> complex-treated mice after intravenous administration</w:t>
      </w:r>
      <w:r>
        <w:rPr>
          <w:rFonts w:ascii="Times New Roman" w:hAnsi="Times New Roman" w:cs="Times New Roman"/>
          <w:kern w:val="0"/>
          <w:sz w:val="24"/>
          <w:szCs w:val="24"/>
        </w:rPr>
        <w:t xml:space="preserve"> compared with NS group mice</w:t>
      </w:r>
      <w:r w:rsidRPr="001B489D">
        <w:rPr>
          <w:rFonts w:ascii="Times New Roman" w:hAnsi="Times New Roman" w:cs="Times New Roman"/>
          <w:kern w:val="0"/>
          <w:sz w:val="24"/>
          <w:szCs w:val="24"/>
        </w:rPr>
        <w:t>.</w:t>
      </w:r>
    </w:p>
    <w:p w14:paraId="51C93EFD" w14:textId="62554894" w:rsidR="00CB4152" w:rsidRPr="00CB4152" w:rsidRDefault="00CB4152" w:rsidP="009F18F4">
      <w:pPr>
        <w:spacing w:line="480" w:lineRule="auto"/>
        <w:rPr>
          <w:rFonts w:ascii="Times New Roman" w:hAnsi="Times New Roman" w:cs="Times New Roman"/>
          <w:sz w:val="24"/>
          <w:szCs w:val="24"/>
        </w:rPr>
      </w:pPr>
      <w:r>
        <w:rPr>
          <w:noProof/>
        </w:rPr>
        <w:lastRenderedPageBreak/>
        <w:drawing>
          <wp:inline distT="0" distB="0" distL="0" distR="0" wp14:anchorId="79E6E23E" wp14:editId="4B4BC67C">
            <wp:extent cx="5400040" cy="25863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586355"/>
                    </a:xfrm>
                    <a:prstGeom prst="rect">
                      <a:avLst/>
                    </a:prstGeom>
                    <a:noFill/>
                    <a:ln>
                      <a:noFill/>
                    </a:ln>
                  </pic:spPr>
                </pic:pic>
              </a:graphicData>
            </a:graphic>
          </wp:inline>
        </w:drawing>
      </w:r>
    </w:p>
    <w:sectPr w:rsidR="00CB4152" w:rsidRPr="00CB4152" w:rsidSect="00751D1A">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701" w:left="1701"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23A2E" w14:textId="77777777" w:rsidR="004E680D" w:rsidRDefault="004E680D" w:rsidP="00C02B86">
      <w:r>
        <w:separator/>
      </w:r>
    </w:p>
  </w:endnote>
  <w:endnote w:type="continuationSeparator" w:id="0">
    <w:p w14:paraId="55F460B2" w14:textId="77777777" w:rsidR="004E680D" w:rsidRDefault="004E680D" w:rsidP="00C0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0B38" w14:textId="77777777" w:rsidR="005B7B31" w:rsidRDefault="005B7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096A" w14:textId="66DF13FD" w:rsidR="009F18F4" w:rsidRDefault="005B7B31">
    <w:pPr>
      <w:pStyle w:val="Footer"/>
      <w:jc w:val="right"/>
    </w:pPr>
    <w:r>
      <w:rPr>
        <w:noProof/>
      </w:rPr>
      <mc:AlternateContent>
        <mc:Choice Requires="wps">
          <w:drawing>
            <wp:anchor distT="0" distB="0" distL="114300" distR="114300" simplePos="0" relativeHeight="251659264" behindDoc="0" locked="0" layoutInCell="0" allowOverlap="1" wp14:anchorId="170ECEDE" wp14:editId="40796F97">
              <wp:simplePos x="0" y="0"/>
              <wp:positionH relativeFrom="page">
                <wp:posOffset>0</wp:posOffset>
              </wp:positionH>
              <wp:positionV relativeFrom="page">
                <wp:posOffset>10237470</wp:posOffset>
              </wp:positionV>
              <wp:extent cx="7560310" cy="263525"/>
              <wp:effectExtent l="0" t="0" r="0" b="3175"/>
              <wp:wrapNone/>
              <wp:docPr id="5" name="MSIPCMf0c246c89b52b11ff96dd700"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6754F" w14:textId="2E69288C" w:rsidR="005B7B31" w:rsidRPr="005B7B31" w:rsidRDefault="005B7B31" w:rsidP="005B7B31">
                          <w:pPr>
                            <w:jc w:val="left"/>
                            <w:rPr>
                              <w:rFonts w:ascii="Rockwell" w:hAnsi="Rockwell"/>
                              <w:color w:val="0078D7"/>
                              <w:sz w:val="18"/>
                            </w:rPr>
                          </w:pPr>
                          <w:r w:rsidRPr="005B7B31">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0ECEDE" id="_x0000_t202" coordsize="21600,21600" o:spt="202" path="m,l,21600r21600,l21600,xe">
              <v:stroke joinstyle="miter"/>
              <v:path gradientshapeok="t" o:connecttype="rect"/>
            </v:shapetype>
            <v:shape id="MSIPCMf0c246c89b52b11ff96dd700" o:spid="_x0000_s1026" type="#_x0000_t202" alt="{&quot;HashCode&quot;:-1348403003,&quot;Height&quot;:841.0,&quot;Width&quot;:595.0,&quot;Placement&quot;:&quot;Footer&quot;,&quot;Index&quot;:&quot;Primary&quot;,&quot;Section&quot;:1,&quot;Top&quot;:0.0,&quot;Left&quot;:0.0}" style="position:absolute;left:0;text-align:left;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" o:allowincell="f" filled="f" stroked="f" strokeweight=".5pt">
              <v:fill o:detectmouseclick="t"/>
              <v:textbox inset="20pt,0,,0">
                <w:txbxContent>
                  <w:p w14:paraId="0CD6754F" w14:textId="2E69288C" w:rsidR="005B7B31" w:rsidRPr="005B7B31" w:rsidRDefault="005B7B31" w:rsidP="005B7B31">
                    <w:pPr>
                      <w:jc w:val="left"/>
                      <w:rPr>
                        <w:rFonts w:ascii="Rockwell" w:hAnsi="Rockwell"/>
                        <w:color w:val="0078D7"/>
                        <w:sz w:val="18"/>
                      </w:rPr>
                    </w:pPr>
                    <w:r w:rsidRPr="005B7B31">
                      <w:rPr>
                        <w:rFonts w:ascii="Rockwell" w:hAnsi="Rockwell"/>
                        <w:color w:val="0078D7"/>
                        <w:sz w:val="18"/>
                      </w:rPr>
                      <w:t>Information Classification: General</w:t>
                    </w:r>
                  </w:p>
                </w:txbxContent>
              </v:textbox>
              <w10:wrap anchorx="page" anchory="page"/>
            </v:shape>
          </w:pict>
        </mc:Fallback>
      </mc:AlternateContent>
    </w:r>
    <w:sdt>
      <w:sdtPr>
        <w:id w:val="-1396883764"/>
        <w:docPartObj>
          <w:docPartGallery w:val="Page Numbers (Bottom of Page)"/>
          <w:docPartUnique/>
        </w:docPartObj>
      </w:sdtPr>
      <w:sdtEndPr/>
      <w:sdtContent>
        <w:r w:rsidR="009F18F4">
          <w:fldChar w:fldCharType="begin"/>
        </w:r>
        <w:r w:rsidR="009F18F4">
          <w:instrText>PAGE   \* MERGEFORMAT</w:instrText>
        </w:r>
        <w:r w:rsidR="009F18F4">
          <w:fldChar w:fldCharType="separate"/>
        </w:r>
        <w:r w:rsidR="009F18F4">
          <w:rPr>
            <w:lang w:val="zh-CN"/>
          </w:rPr>
          <w:t>2</w:t>
        </w:r>
        <w:r w:rsidR="009F18F4">
          <w:fldChar w:fldCharType="end"/>
        </w:r>
      </w:sdtContent>
    </w:sdt>
  </w:p>
  <w:p w14:paraId="18533D1F" w14:textId="77777777" w:rsidR="009F18F4" w:rsidRDefault="009F1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109" w14:textId="77777777" w:rsidR="005B7B31" w:rsidRDefault="005B7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34C92" w14:textId="77777777" w:rsidR="004E680D" w:rsidRDefault="004E680D" w:rsidP="00C02B86">
      <w:r>
        <w:separator/>
      </w:r>
    </w:p>
  </w:footnote>
  <w:footnote w:type="continuationSeparator" w:id="0">
    <w:p w14:paraId="34D9DD4F" w14:textId="77777777" w:rsidR="004E680D" w:rsidRDefault="004E680D" w:rsidP="00C02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B5C7" w14:textId="77777777" w:rsidR="005B7B31" w:rsidRDefault="005B7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AE88" w14:textId="77777777" w:rsidR="005B7B31" w:rsidRDefault="005B7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B2CE" w14:textId="77777777" w:rsidR="005B7B31" w:rsidRDefault="005B7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74393"/>
    <w:multiLevelType w:val="hybridMultilevel"/>
    <w:tmpl w:val="3D8468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AB"/>
    <w:rsid w:val="00017C59"/>
    <w:rsid w:val="0002115B"/>
    <w:rsid w:val="00096FDC"/>
    <w:rsid w:val="000A2CC8"/>
    <w:rsid w:val="000B61A0"/>
    <w:rsid w:val="00110EE1"/>
    <w:rsid w:val="001166B9"/>
    <w:rsid w:val="001323FD"/>
    <w:rsid w:val="00135425"/>
    <w:rsid w:val="001658D2"/>
    <w:rsid w:val="0017793F"/>
    <w:rsid w:val="00177E7C"/>
    <w:rsid w:val="001801A1"/>
    <w:rsid w:val="001834AE"/>
    <w:rsid w:val="001A6C91"/>
    <w:rsid w:val="001E0885"/>
    <w:rsid w:val="001E4CF8"/>
    <w:rsid w:val="001E7765"/>
    <w:rsid w:val="00213C28"/>
    <w:rsid w:val="0025530C"/>
    <w:rsid w:val="002C1A36"/>
    <w:rsid w:val="003079D7"/>
    <w:rsid w:val="003467A4"/>
    <w:rsid w:val="00372D7C"/>
    <w:rsid w:val="0037619A"/>
    <w:rsid w:val="003A5461"/>
    <w:rsid w:val="003B46F8"/>
    <w:rsid w:val="003B7F99"/>
    <w:rsid w:val="00472C1C"/>
    <w:rsid w:val="004812FB"/>
    <w:rsid w:val="004E680D"/>
    <w:rsid w:val="004E742E"/>
    <w:rsid w:val="004F129B"/>
    <w:rsid w:val="00502B96"/>
    <w:rsid w:val="005B7B31"/>
    <w:rsid w:val="00636BB6"/>
    <w:rsid w:val="006704BB"/>
    <w:rsid w:val="00675EC3"/>
    <w:rsid w:val="00693E08"/>
    <w:rsid w:val="006A6ADC"/>
    <w:rsid w:val="006A6DBE"/>
    <w:rsid w:val="006D0C4B"/>
    <w:rsid w:val="006E3359"/>
    <w:rsid w:val="006E7FEE"/>
    <w:rsid w:val="0071043E"/>
    <w:rsid w:val="00715C17"/>
    <w:rsid w:val="00723F0C"/>
    <w:rsid w:val="00751D1A"/>
    <w:rsid w:val="00787848"/>
    <w:rsid w:val="008A64DD"/>
    <w:rsid w:val="008C5D85"/>
    <w:rsid w:val="008C7277"/>
    <w:rsid w:val="009215A0"/>
    <w:rsid w:val="00941B0E"/>
    <w:rsid w:val="009670F2"/>
    <w:rsid w:val="00975251"/>
    <w:rsid w:val="009953B1"/>
    <w:rsid w:val="009A3F2E"/>
    <w:rsid w:val="009A4245"/>
    <w:rsid w:val="009B69AB"/>
    <w:rsid w:val="009F18F4"/>
    <w:rsid w:val="00A0014B"/>
    <w:rsid w:val="00A67167"/>
    <w:rsid w:val="00A72E75"/>
    <w:rsid w:val="00AC72EF"/>
    <w:rsid w:val="00AF44A2"/>
    <w:rsid w:val="00B17907"/>
    <w:rsid w:val="00BA60C8"/>
    <w:rsid w:val="00BB35E5"/>
    <w:rsid w:val="00BC133E"/>
    <w:rsid w:val="00BD314F"/>
    <w:rsid w:val="00BF4E59"/>
    <w:rsid w:val="00C02B86"/>
    <w:rsid w:val="00C05D51"/>
    <w:rsid w:val="00C13FB0"/>
    <w:rsid w:val="00C27000"/>
    <w:rsid w:val="00C47ADD"/>
    <w:rsid w:val="00C70918"/>
    <w:rsid w:val="00C84B5A"/>
    <w:rsid w:val="00C957AA"/>
    <w:rsid w:val="00CB4152"/>
    <w:rsid w:val="00CC2176"/>
    <w:rsid w:val="00CD6BEE"/>
    <w:rsid w:val="00D03388"/>
    <w:rsid w:val="00D25494"/>
    <w:rsid w:val="00D429D2"/>
    <w:rsid w:val="00D72C19"/>
    <w:rsid w:val="00E1327A"/>
    <w:rsid w:val="00E154E6"/>
    <w:rsid w:val="00E30B7D"/>
    <w:rsid w:val="00E358A5"/>
    <w:rsid w:val="00E53810"/>
    <w:rsid w:val="00EA060D"/>
    <w:rsid w:val="00EF6F9F"/>
    <w:rsid w:val="00F328D1"/>
    <w:rsid w:val="00F34F0B"/>
    <w:rsid w:val="00F40E4E"/>
    <w:rsid w:val="00F54701"/>
    <w:rsid w:val="00F80683"/>
    <w:rsid w:val="00FC750A"/>
    <w:rsid w:val="00FF4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FD621"/>
  <w15:chartTrackingRefBased/>
  <w15:docId w15:val="{FAE99B09-9472-4040-97E3-86531300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B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02B86"/>
    <w:rPr>
      <w:sz w:val="18"/>
      <w:szCs w:val="18"/>
    </w:rPr>
  </w:style>
  <w:style w:type="paragraph" w:styleId="Footer">
    <w:name w:val="footer"/>
    <w:basedOn w:val="Normal"/>
    <w:link w:val="FooterChar"/>
    <w:uiPriority w:val="99"/>
    <w:unhideWhenUsed/>
    <w:rsid w:val="00C02B8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02B86"/>
    <w:rPr>
      <w:sz w:val="18"/>
      <w:szCs w:val="18"/>
    </w:rPr>
  </w:style>
  <w:style w:type="paragraph" w:styleId="ListParagraph">
    <w:name w:val="List Paragraph"/>
    <w:basedOn w:val="Normal"/>
    <w:uiPriority w:val="34"/>
    <w:qFormat/>
    <w:rsid w:val="006D0C4B"/>
    <w:pPr>
      <w:ind w:firstLineChars="200" w:firstLine="420"/>
    </w:pPr>
  </w:style>
  <w:style w:type="character" w:styleId="LineNumber">
    <w:name w:val="line number"/>
    <w:basedOn w:val="DefaultParagraphFont"/>
    <w:uiPriority w:val="99"/>
    <w:semiHidden/>
    <w:unhideWhenUsed/>
    <w:rsid w:val="009F18F4"/>
  </w:style>
  <w:style w:type="character" w:styleId="PlaceholderText">
    <w:name w:val="Placeholder Text"/>
    <w:basedOn w:val="DefaultParagraphFont"/>
    <w:uiPriority w:val="99"/>
    <w:semiHidden/>
    <w:rsid w:val="00F328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913</Words>
  <Characters>5206</Characters>
  <Application>Microsoft Office Word</Application>
  <DocSecurity>4</DocSecurity>
  <Lines>43</Lines>
  <Paragraphs>12</Paragraphs>
  <ScaleCrop>false</ScaleCrop>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 平川</dc:creator>
  <cp:keywords/>
  <dc:description/>
  <cp:lastModifiedBy>Bartle, Claudia</cp:lastModifiedBy>
  <cp:revision>2</cp:revision>
  <dcterms:created xsi:type="dcterms:W3CDTF">2022-06-21T03:04:00Z</dcterms:created>
  <dcterms:modified xsi:type="dcterms:W3CDTF">2022-06-21T03:04:00Z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2022-06-21T03:04:18Z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8ec5c028-b595-4b7a-a92a-599bd54a2073</vt:lpwstr>
  </property>
  <property fmtid="{D5CDD505-2E9C-101B-9397-08002B2CF9AE}" pid="8" name="MSIP_Label_2bbab825-a111-45e4-86a1-18cee0005896_ContentBits">
    <vt:lpwstr>2</vt:lpwstr>
  </property>
</Properties>
</file>