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E6E0" w14:textId="5078F2B5" w:rsidR="0047511B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/>
          <w:color w:val="00000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1960013" wp14:editId="7CB4723A">
            <wp:simplePos x="0" y="0"/>
            <wp:positionH relativeFrom="column">
              <wp:posOffset>-1080437</wp:posOffset>
            </wp:positionH>
            <wp:positionV relativeFrom="paragraph">
              <wp:posOffset>0</wp:posOffset>
            </wp:positionV>
            <wp:extent cx="7595538" cy="6076950"/>
            <wp:effectExtent l="0" t="0" r="5715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466" cy="607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511B" w:rsidRPr="000D63B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7511B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uppl</w:t>
      </w:r>
      <w:r w:rsidR="00E3306D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e</w:t>
      </w:r>
      <w:r w:rsidR="0047511B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mentary </w:t>
      </w:r>
      <w:r w:rsidR="0047511B" w:rsidRPr="000D63B8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47511B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igure</w:t>
      </w:r>
      <w:r w:rsidR="0047511B"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47511B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: The change from baseline in BEC</w:t>
      </w:r>
    </w:p>
    <w:p w14:paraId="7A11E880" w14:textId="3041AE90" w:rsidR="0047511B" w:rsidRPr="000D63B8" w:rsidRDefault="0047511B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(A) switching from anti-IL-5/IL-5 receptor antibody</w:t>
      </w:r>
    </w:p>
    <w:p w14:paraId="1C11817F" w14:textId="59F4A4B8" w:rsidR="0047511B" w:rsidRPr="000D63B8" w:rsidRDefault="0047511B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(B) switching from anti-IgE antibody</w:t>
      </w:r>
    </w:p>
    <w:p w14:paraId="66A19683" w14:textId="77777777" w:rsidR="0047511B" w:rsidRPr="000D63B8" w:rsidRDefault="0047511B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/>
          <w:color w:val="000000"/>
          <w:sz w:val="24"/>
          <w:szCs w:val="24"/>
        </w:rPr>
        <w:t>All data were analyzed using the Wilcoxon signed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-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rank test. 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The upper and lower bars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 represent the standard errors.</w:t>
      </w:r>
    </w:p>
    <w:p w14:paraId="60181454" w14:textId="4A4E6C9E" w:rsidR="0047511B" w:rsidRPr="000D63B8" w:rsidRDefault="0047511B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eastAsia="Yu Gothic" w:hAnsi="Times New Roman" w:cs="Times New Roman"/>
          <w:color w:val="000000"/>
          <w:sz w:val="24"/>
          <w:szCs w:val="24"/>
        </w:rPr>
        <w:lastRenderedPageBreak/>
        <w:t>†</w:t>
      </w:r>
      <w:r w:rsidR="00A66E68" w:rsidRPr="000D63B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 &lt; 0.05 compared with baseline</w:t>
      </w:r>
    </w:p>
    <w:p w14:paraId="01506BA1" w14:textId="775B8564" w:rsidR="00E73096" w:rsidRPr="000D63B8" w:rsidRDefault="0047511B" w:rsidP="00E73096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/>
          <w:color w:val="000000"/>
          <w:sz w:val="24"/>
          <w:szCs w:val="24"/>
        </w:rPr>
        <w:t>Abbreviations: pre-DUP; pretrea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tment 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dupilumab, BEC; blood eosinophil count, m; month(s), n; number of patients for whom clinical data were available.</w:t>
      </w:r>
    </w:p>
    <w:p w14:paraId="3F534018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DE6709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8F7431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A021EC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84FC7D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729BF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8AF98D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16A872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F38C1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83EC89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9ADC8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0F8091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200EA" w14:textId="77777777" w:rsidR="00E06E06" w:rsidRPr="000D63B8" w:rsidRDefault="00E06E06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0014C" w14:textId="6710B765" w:rsidR="005F48C3" w:rsidRPr="000D63B8" w:rsidRDefault="00D50AE2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/>
          <w:color w:val="000000"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17FEEB2D" wp14:editId="4C322C1F">
            <wp:simplePos x="0" y="0"/>
            <wp:positionH relativeFrom="column">
              <wp:posOffset>-1046268</wp:posOffset>
            </wp:positionH>
            <wp:positionV relativeFrom="paragraph">
              <wp:posOffset>579</wp:posOffset>
            </wp:positionV>
            <wp:extent cx="7484256" cy="5992340"/>
            <wp:effectExtent l="0" t="0" r="2540" b="889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2322" cy="599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427539" w14:textId="188B2D92" w:rsidR="0047511B" w:rsidRPr="000D63B8" w:rsidRDefault="0047511B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upplementary 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igure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: The change in 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>FeNO</w:t>
      </w:r>
    </w:p>
    <w:p w14:paraId="5437AB00" w14:textId="33CE3BD3" w:rsidR="0047511B" w:rsidRPr="000D63B8" w:rsidRDefault="0047511B" w:rsidP="0047511B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(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>A) All patients</w:t>
      </w:r>
      <w:r w:rsidR="00973D8F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E3306D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(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>B) Previous biologics (-)</w:t>
      </w:r>
      <w:r w:rsidR="00973D8F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E3306D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(C)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Previous biologics (+)</w:t>
      </w:r>
    </w:p>
    <w:p w14:paraId="04ECB9FE" w14:textId="5C50B9EA" w:rsidR="00732956" w:rsidRPr="000D63B8" w:rsidRDefault="00732956" w:rsidP="00732956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/>
          <w:color w:val="000000"/>
          <w:sz w:val="24"/>
          <w:szCs w:val="24"/>
        </w:rPr>
        <w:t>All data were analyzed using the Wilcoxon signed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-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rank test. 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The upper and lower bars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 represent the standard errors.</w:t>
      </w:r>
    </w:p>
    <w:p w14:paraId="4EF4130A" w14:textId="2D2FFF29" w:rsidR="00570506" w:rsidRPr="000D63B8" w:rsidRDefault="00FD0C54" w:rsidP="00732956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/>
          <w:color w:val="000000"/>
          <w:sz w:val="24"/>
          <w:szCs w:val="24"/>
        </w:rPr>
        <w:lastRenderedPageBreak/>
        <w:t>I</w:t>
      </w:r>
      <w:r w:rsidR="00570506" w:rsidRPr="000D63B8">
        <w:rPr>
          <w:rFonts w:ascii="Times New Roman" w:hAnsi="Times New Roman" w:cs="Times New Roman"/>
          <w:color w:val="000000"/>
          <w:sz w:val="24"/>
          <w:szCs w:val="24"/>
        </w:rPr>
        <w:t>n supplementary Figure 2(C)</w:t>
      </w:r>
      <w:r w:rsidR="00570506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="00570506"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5C95" w:rsidRPr="000D63B8">
        <w:rPr>
          <w:rFonts w:ascii="Times New Roman" w:hAnsi="Times New Roman" w:cs="Times New Roman"/>
          <w:color w:val="000000"/>
          <w:sz w:val="24"/>
          <w:szCs w:val="24"/>
        </w:rPr>
        <w:t>since there is no data at 18 months and only one data at 24 months, a dashed line was used to show the change.</w:t>
      </w:r>
    </w:p>
    <w:p w14:paraId="5EDE4D54" w14:textId="77777777" w:rsidR="0040201A" w:rsidRPr="000D63B8" w:rsidRDefault="00732956" w:rsidP="00732956">
      <w:pPr>
        <w:spacing w:line="480" w:lineRule="auto"/>
        <w:rPr>
          <w:rFonts w:ascii="Yu Gothic" w:eastAsia="Yu Gothic" w:hAnsiTheme="minorHAnsi" w:cs="Yu Gothic"/>
          <w:color w:val="000000"/>
          <w:sz w:val="24"/>
          <w:szCs w:val="24"/>
        </w:rPr>
      </w:pPr>
      <w:r w:rsidRPr="000D63B8">
        <w:rPr>
          <w:rFonts w:ascii="Times New Roman" w:eastAsia="Yu Gothic" w:hAnsi="Times New Roman" w:cs="Times New Roman"/>
          <w:color w:val="000000"/>
          <w:sz w:val="24"/>
          <w:szCs w:val="24"/>
        </w:rPr>
        <w:t>†</w:t>
      </w:r>
      <w:r w:rsidR="00A66E68" w:rsidRPr="000D63B8">
        <w:rPr>
          <w:rFonts w:ascii="Times New Roman" w:eastAsia="Yu Gothic" w:hAnsi="Times New Roman" w:cs="Times New Roman"/>
          <w:color w:val="000000"/>
          <w:sz w:val="24"/>
          <w:szCs w:val="24"/>
        </w:rPr>
        <w:t>p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 &lt; 0.05 compared with baseline</w:t>
      </w:r>
    </w:p>
    <w:p w14:paraId="048349DE" w14:textId="1149732C" w:rsidR="00732956" w:rsidRPr="000D63B8" w:rsidRDefault="00F27898" w:rsidP="00732956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eastAsia="Yu Gothic" w:hAnsi="Times New Roman" w:cs="Times New Roman"/>
          <w:color w:val="000000"/>
          <w:sz w:val="24"/>
          <w:szCs w:val="24"/>
        </w:rPr>
        <w:t>‡</w:t>
      </w:r>
      <w:r w:rsidR="00A66E68" w:rsidRPr="000D63B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32956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&lt; 0.01</w:t>
      </w:r>
      <w:r w:rsidR="00732956" w:rsidRPr="000D6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956" w:rsidRPr="000D63B8">
        <w:rPr>
          <w:rFonts w:ascii="Times New Roman" w:hAnsi="Times New Roman" w:cs="Times New Roman" w:hint="eastAsia"/>
          <w:color w:val="000000"/>
          <w:sz w:val="24"/>
          <w:szCs w:val="24"/>
        </w:rPr>
        <w:t>compared with baseline</w:t>
      </w:r>
    </w:p>
    <w:p w14:paraId="2D4CD2DF" w14:textId="72D331A2" w:rsidR="0047511B" w:rsidRPr="000D63B8" w:rsidRDefault="00732956" w:rsidP="00E3306D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63B8">
        <w:rPr>
          <w:rFonts w:ascii="Times New Roman" w:hAnsi="Times New Roman" w:cs="Times New Roman"/>
          <w:color w:val="000000"/>
          <w:sz w:val="24"/>
          <w:szCs w:val="24"/>
        </w:rPr>
        <w:t>Abbreviations: pre-DUP; pretrea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tment </w:t>
      </w:r>
      <w:r w:rsidRPr="000D63B8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Pr="000D63B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dupilumab, FeNO; fraction exhaled nitric oxide, m; month(s), n; number of patients for whom clinical data were available.</w:t>
      </w:r>
    </w:p>
    <w:sectPr w:rsidR="0047511B" w:rsidRPr="000D63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1B"/>
    <w:rsid w:val="0008032A"/>
    <w:rsid w:val="000D63B8"/>
    <w:rsid w:val="000D74FB"/>
    <w:rsid w:val="00176E09"/>
    <w:rsid w:val="00217ABA"/>
    <w:rsid w:val="002456FF"/>
    <w:rsid w:val="003B5C95"/>
    <w:rsid w:val="003E09D1"/>
    <w:rsid w:val="0040201A"/>
    <w:rsid w:val="0047511B"/>
    <w:rsid w:val="004F7D7E"/>
    <w:rsid w:val="00570506"/>
    <w:rsid w:val="00575709"/>
    <w:rsid w:val="005F48C3"/>
    <w:rsid w:val="00641C5A"/>
    <w:rsid w:val="00732956"/>
    <w:rsid w:val="00973D8F"/>
    <w:rsid w:val="00A66E68"/>
    <w:rsid w:val="00B240D0"/>
    <w:rsid w:val="00B53FBD"/>
    <w:rsid w:val="00C8566F"/>
    <w:rsid w:val="00D33E15"/>
    <w:rsid w:val="00D50AE2"/>
    <w:rsid w:val="00E060E5"/>
    <w:rsid w:val="00E06E06"/>
    <w:rsid w:val="00E3306D"/>
    <w:rsid w:val="00E73096"/>
    <w:rsid w:val="00F27898"/>
    <w:rsid w:val="00F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F68D79"/>
  <w15:chartTrackingRefBased/>
  <w15:docId w15:val="{60A34A97-436E-4CBC-82EE-398F1E79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11B"/>
    <w:pPr>
      <w:widowControl w:val="0"/>
      <w:jc w:val="both"/>
    </w:pPr>
    <w:rPr>
      <w:rFonts w:ascii="Yu Mincho" w:eastAsia="Yu Mincho" w:hAnsi="Yu Mincho" w:cs="Yu Mincho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06E06"/>
    <w:rPr>
      <w:rFonts w:asciiTheme="minorEastAsia" w:eastAsiaTheme="minorEastAsia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E06"/>
    <w:rPr>
      <w:rFonts w:asciiTheme="minorEastAsia" w:hAnsi="Courier New" w:cs="Courier New"/>
      <w:kern w:val="0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33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E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E15"/>
    <w:rPr>
      <w:rFonts w:ascii="Yu Mincho" w:eastAsia="Yu Mincho" w:hAnsi="Yu Mincho" w:cs="Yu Mincho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E15"/>
    <w:rPr>
      <w:rFonts w:ascii="Yu Mincho" w:eastAsia="Yu Mincho" w:hAnsi="Yu Mincho" w:cs="Yu Mincho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 尊功</dc:creator>
  <cp:keywords/>
  <dc:description/>
  <cp:lastModifiedBy>Khanapur, Soumya</cp:lastModifiedBy>
  <cp:revision>2</cp:revision>
  <dcterms:created xsi:type="dcterms:W3CDTF">2022-03-21T01:18:00Z</dcterms:created>
  <dcterms:modified xsi:type="dcterms:W3CDTF">2022-03-21T01:18:00Z</dcterms:modified>
</cp:coreProperties>
</file>