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hint="eastAsia" w:ascii="Arial" w:hAnsi="Arial" w:cs="Arial" w:eastAsiaTheme="minorEastAsia"/>
          <w:sz w:val="20"/>
          <w:szCs w:val="20"/>
          <w:lang w:val="en-US" w:eastAsia="zh-CN"/>
        </w:rPr>
      </w:pPr>
      <w:r>
        <w:rPr>
          <w:rFonts w:ascii="Arial" w:hAnsi="Arial" w:cs="Arial"/>
          <w:b/>
          <w:bCs/>
          <w:sz w:val="20"/>
          <w:szCs w:val="20"/>
          <w:lang w:val="en-US" w:eastAsia="zh-CN"/>
        </w:rPr>
        <w:fldChar w:fldCharType="begin"/>
      </w:r>
      <w:r>
        <w:rPr>
          <w:rFonts w:ascii="Arial" w:hAnsi="Arial" w:cs="Arial"/>
          <w:b/>
          <w:bCs/>
          <w:sz w:val="20"/>
          <w:szCs w:val="20"/>
          <w:lang w:val="en-US" w:eastAsia="zh-CN"/>
        </w:rPr>
        <w:instrText xml:space="preserve"> HYPERLINK "https://www.ncbi.nlm.nih.gov/pmc/articles/PMC8570785/" \l "sup1" </w:instrText>
      </w:r>
      <w:r>
        <w:rPr>
          <w:rFonts w:ascii="Arial" w:hAnsi="Arial" w:cs="Arial"/>
          <w:b/>
          <w:bCs/>
          <w:sz w:val="20"/>
          <w:szCs w:val="20"/>
          <w:lang w:val="en-US" w:eastAsia="zh-CN"/>
        </w:rPr>
        <w:fldChar w:fldCharType="separate"/>
      </w:r>
      <w:r>
        <w:rPr>
          <w:rFonts w:hint="default" w:ascii="Arial" w:hAnsi="Arial" w:cs="Arial"/>
          <w:b/>
          <w:bCs/>
          <w:sz w:val="20"/>
          <w:szCs w:val="20"/>
          <w:lang w:val="en-US" w:eastAsia="zh-CN"/>
        </w:rPr>
        <w:t>Supplementary Figure 1</w:t>
      </w:r>
      <w:r>
        <w:rPr>
          <w:rFonts w:hint="default" w:ascii="Arial" w:hAnsi="Arial" w:cs="Arial"/>
          <w:b/>
          <w:bCs/>
          <w:sz w:val="20"/>
          <w:szCs w:val="20"/>
          <w:lang w:val="en-US" w:eastAsia="zh-CN"/>
        </w:rPr>
        <w:fldChar w:fldCharType="end"/>
      </w:r>
      <w:r>
        <w:rPr>
          <w:rFonts w:ascii="Arial" w:hAnsi="Arial" w:cs="Arial"/>
          <w:sz w:val="20"/>
          <w:szCs w:val="20"/>
        </w:rPr>
        <w:t>.</w:t>
      </w:r>
      <w:r>
        <w:rPr>
          <w:rFonts w:hint="eastAsia" w:ascii="Arial" w:hAnsi="Arial" w:cs="Arial"/>
          <w:sz w:val="20"/>
          <w:szCs w:val="20"/>
          <w:lang w:val="en-US" w:eastAsia="zh-CN"/>
        </w:rPr>
        <w:t xml:space="preserve"> </w:t>
      </w:r>
      <w:r>
        <w:rPr>
          <w:rFonts w:ascii="Arial" w:hAnsi="Arial" w:cs="Arial"/>
          <w:sz w:val="20"/>
          <w:szCs w:val="20"/>
        </w:rPr>
        <w:t>Representative GC−MS total ion current chromatograms of the intestine (A), lung (B), liver (C), hippocampus (D), cerebral cortex (E), inner ear (F), spleen (G), kidney (H), heart (I), and serum (J) samples from a mixture of the control and VPA-treated mice.</w:t>
      </w:r>
      <w:r>
        <w:rPr>
          <w:rFonts w:hint="eastAsia" w:ascii="Arial" w:hAnsi="Arial" w:cs="Arial"/>
          <w:sz w:val="20"/>
          <w:szCs w:val="20"/>
          <w:lang w:val="en-US" w:eastAsia="zh-CN"/>
        </w:rPr>
        <w:t xml:space="preserve"> The position marked in red is the position of the internal standard (heptadecanoic acid).</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993DA3"/>
    <w:rsid w:val="04941DE5"/>
    <w:rsid w:val="0D993DA3"/>
    <w:rsid w:val="1D9B55D1"/>
    <w:rsid w:val="2A066D19"/>
    <w:rsid w:val="41321956"/>
    <w:rsid w:val="436F275B"/>
    <w:rsid w:val="5C275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character" w:styleId="4">
    <w:name w:val="FollowedHyperlink"/>
    <w:basedOn w:val="3"/>
    <w:uiPriority w:val="0"/>
    <w:rPr>
      <w:color w:val="954F72"/>
      <w:u w:val="single"/>
    </w:rPr>
  </w:style>
  <w:style w:type="character" w:styleId="5">
    <w:name w:val="Hyperlink"/>
    <w:basedOn w:val="3"/>
    <w:uiPriority w:val="0"/>
    <w:rPr>
      <w:color w:val="0563C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2022-05-16T12:40:00Z</dcterms:created>
  <dc:creator>宙紫宥</dc:creator>
  <cp:lastModifiedBy>宙紫宥</cp:lastModifiedBy>
  <dcterms:modified xsi:type="dcterms:W3CDTF">2022-05-16T12:46:43Z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6C5D925D4571442C894CFFE762668A8E</vt:lpwstr>
  </property>
</Properties>
</file>