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4285" w14:textId="48C47C56" w:rsidR="00C15DF6" w:rsidRPr="00EB1B5B" w:rsidRDefault="00793B10" w:rsidP="00C15DF6">
      <w:pPr>
        <w:rPr>
          <w:rFonts w:ascii="Times New Roman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b/>
          <w:bCs/>
          <w:sz w:val="22"/>
        </w:rPr>
        <w:t>Supplemental Table 1</w:t>
      </w:r>
      <w:r w:rsidR="00C15DF6" w:rsidRPr="00462251">
        <w:rPr>
          <w:rFonts w:ascii="Times New Roman" w:eastAsiaTheme="minorEastAsia" w:hAnsi="Times New Roman" w:cs="Times New Roman"/>
          <w:b/>
          <w:bCs/>
          <w:sz w:val="22"/>
        </w:rPr>
        <w:t xml:space="preserve">. </w:t>
      </w:r>
      <w:r w:rsidR="00C15DF6" w:rsidRPr="00EB1B5B">
        <w:rPr>
          <w:rFonts w:ascii="Times New Roman" w:eastAsiaTheme="minorEastAsia" w:hAnsi="Times New Roman" w:cs="Times New Roman"/>
          <w:sz w:val="22"/>
        </w:rPr>
        <w:t>Surgical procedures and medications in addition to intraocular dexamethasone initiated at any point in the study.</w:t>
      </w:r>
    </w:p>
    <w:tbl>
      <w:tblPr>
        <w:tblStyle w:val="TableGrid1"/>
        <w:tblpPr w:leftFromText="180" w:rightFromText="180" w:vertAnchor="text" w:horzAnchor="margin" w:tblpX="36" w:tblpY="98"/>
        <w:tblW w:w="5327" w:type="pct"/>
        <w:tblLook w:val="0000" w:firstRow="0" w:lastRow="0" w:firstColumn="0" w:lastColumn="0" w:noHBand="0" w:noVBand="0"/>
      </w:tblPr>
      <w:tblGrid>
        <w:gridCol w:w="6261"/>
        <w:gridCol w:w="3700"/>
      </w:tblGrid>
      <w:tr w:rsidR="00C15DF6" w:rsidRPr="00462251" w14:paraId="5220F128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5986DA22" w14:textId="77777777" w:rsidR="00C15DF6" w:rsidRPr="00290176" w:rsidRDefault="00C15DF6" w:rsidP="00E1542D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57" w:type="pct"/>
            <w:vAlign w:val="center"/>
          </w:tcPr>
          <w:p w14:paraId="7D0EA078" w14:textId="77777777" w:rsidR="00290176" w:rsidRPr="00290176" w:rsidRDefault="00290176" w:rsidP="002901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b/>
                <w:bCs/>
                <w:color w:val="000000"/>
                <w:sz w:val="22"/>
              </w:rPr>
              <w:t>All Patients</w:t>
            </w:r>
          </w:p>
          <w:p w14:paraId="19D9C32A" w14:textId="352F1461" w:rsidR="00C15DF6" w:rsidRPr="00290176" w:rsidRDefault="00290176" w:rsidP="002901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b/>
                <w:bCs/>
                <w:color w:val="000000"/>
                <w:sz w:val="22"/>
              </w:rPr>
              <w:t>(N=527, 641 Study Eyes)</w:t>
            </w:r>
          </w:p>
        </w:tc>
      </w:tr>
      <w:tr w:rsidR="00290176" w:rsidRPr="00462251" w14:paraId="5B578D77" w14:textId="77777777" w:rsidTr="00290176">
        <w:trPr>
          <w:trHeight w:val="432"/>
        </w:trPr>
        <w:tc>
          <w:tcPr>
            <w:tcW w:w="5000" w:type="pct"/>
            <w:gridSpan w:val="2"/>
            <w:vAlign w:val="center"/>
          </w:tcPr>
          <w:p w14:paraId="54D06FA2" w14:textId="638180FF" w:rsidR="00290176" w:rsidRPr="00290176" w:rsidRDefault="00290176" w:rsidP="00B2554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b/>
                <w:bCs/>
                <w:color w:val="000000"/>
                <w:sz w:val="22"/>
              </w:rPr>
              <w:t>Surgery Type</w:t>
            </w:r>
          </w:p>
        </w:tc>
      </w:tr>
      <w:tr w:rsidR="00B25546" w:rsidRPr="00462251" w14:paraId="06B38BD0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22A1B1E3" w14:textId="3FFA8CF5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color w:val="000000"/>
                <w:sz w:val="22"/>
              </w:rPr>
              <w:t xml:space="preserve">Phacoemulsification and IOL implantation plus </w:t>
            </w:r>
            <w:proofErr w:type="spellStart"/>
            <w:r w:rsidRPr="00290176">
              <w:rPr>
                <w:rFonts w:ascii="Times New Roman" w:hAnsi="Times New Roman"/>
                <w:color w:val="000000"/>
                <w:sz w:val="22"/>
              </w:rPr>
              <w:t>Femto</w:t>
            </w:r>
            <w:proofErr w:type="spellEnd"/>
            <w:r w:rsidRPr="00290176">
              <w:rPr>
                <w:rFonts w:ascii="Times New Roman" w:hAnsi="Times New Roman"/>
                <w:color w:val="000000"/>
                <w:sz w:val="22"/>
              </w:rPr>
              <w:t xml:space="preserve"> (no MIGS)</w:t>
            </w:r>
          </w:p>
        </w:tc>
        <w:tc>
          <w:tcPr>
            <w:tcW w:w="1857" w:type="pct"/>
            <w:vAlign w:val="center"/>
          </w:tcPr>
          <w:p w14:paraId="12955A3D" w14:textId="77777777" w:rsidR="00B25546" w:rsidRPr="00290176" w:rsidRDefault="00B25546" w:rsidP="00B25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color w:val="000000"/>
                <w:sz w:val="22"/>
              </w:rPr>
              <w:t>565 (88.1%)</w:t>
            </w:r>
          </w:p>
        </w:tc>
      </w:tr>
      <w:tr w:rsidR="00B25546" w:rsidRPr="00462251" w14:paraId="303459AA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41F5CF95" w14:textId="234DA4DD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color w:val="000000"/>
                <w:sz w:val="22"/>
              </w:rPr>
              <w:t xml:space="preserve">Phacoemulsification and IOL implantation (no </w:t>
            </w:r>
            <w:proofErr w:type="spellStart"/>
            <w:r w:rsidRPr="00290176">
              <w:rPr>
                <w:rFonts w:ascii="Times New Roman" w:hAnsi="Times New Roman"/>
                <w:color w:val="000000"/>
                <w:sz w:val="22"/>
              </w:rPr>
              <w:t>Femto</w:t>
            </w:r>
            <w:proofErr w:type="spellEnd"/>
            <w:r w:rsidRPr="00290176">
              <w:rPr>
                <w:rFonts w:ascii="Times New Roman" w:hAnsi="Times New Roman"/>
                <w:color w:val="000000"/>
                <w:sz w:val="22"/>
              </w:rPr>
              <w:t>, no MIGS)</w:t>
            </w:r>
          </w:p>
        </w:tc>
        <w:tc>
          <w:tcPr>
            <w:tcW w:w="1857" w:type="pct"/>
            <w:vAlign w:val="center"/>
          </w:tcPr>
          <w:p w14:paraId="02FFF3B0" w14:textId="77777777" w:rsidR="00B25546" w:rsidRPr="00290176" w:rsidRDefault="00B25546" w:rsidP="00B25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color w:val="000000"/>
                <w:sz w:val="22"/>
              </w:rPr>
              <w:t>58 (9.0%)</w:t>
            </w:r>
          </w:p>
        </w:tc>
      </w:tr>
      <w:tr w:rsidR="00B25546" w:rsidRPr="00462251" w14:paraId="0DAB25F1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63B75C5F" w14:textId="74D8F0B9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color w:val="000000"/>
                <w:sz w:val="22"/>
              </w:rPr>
              <w:t xml:space="preserve">Phacoemulsification and IOL implantation plus MIGS (no </w:t>
            </w:r>
            <w:proofErr w:type="spellStart"/>
            <w:r w:rsidRPr="00290176">
              <w:rPr>
                <w:rFonts w:ascii="Times New Roman" w:hAnsi="Times New Roman"/>
                <w:color w:val="000000"/>
                <w:sz w:val="22"/>
              </w:rPr>
              <w:t>Femto</w:t>
            </w:r>
            <w:proofErr w:type="spellEnd"/>
            <w:r w:rsidRPr="00290176"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1857" w:type="pct"/>
            <w:vAlign w:val="center"/>
          </w:tcPr>
          <w:p w14:paraId="0E05C033" w14:textId="77777777" w:rsidR="00B25546" w:rsidRPr="00290176" w:rsidRDefault="00B25546" w:rsidP="00B25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color w:val="000000"/>
                <w:sz w:val="22"/>
              </w:rPr>
              <w:t>14 (2.2%)</w:t>
            </w:r>
          </w:p>
        </w:tc>
      </w:tr>
      <w:tr w:rsidR="00B25546" w:rsidRPr="00462251" w14:paraId="7F8AC168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7178D951" w14:textId="6D7582AC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color w:val="000000"/>
                <w:sz w:val="22"/>
              </w:rPr>
              <w:t xml:space="preserve">Phacoemulsification and IOL implantation plus MIGS and </w:t>
            </w:r>
            <w:proofErr w:type="spellStart"/>
            <w:r w:rsidRPr="00290176">
              <w:rPr>
                <w:rFonts w:ascii="Times New Roman" w:hAnsi="Times New Roman"/>
                <w:color w:val="000000"/>
                <w:sz w:val="22"/>
              </w:rPr>
              <w:t>Femto</w:t>
            </w:r>
            <w:proofErr w:type="spellEnd"/>
          </w:p>
        </w:tc>
        <w:tc>
          <w:tcPr>
            <w:tcW w:w="1857" w:type="pct"/>
            <w:vAlign w:val="center"/>
          </w:tcPr>
          <w:p w14:paraId="6ECB1252" w14:textId="77777777" w:rsidR="00B25546" w:rsidRPr="00290176" w:rsidRDefault="00B25546" w:rsidP="00B25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color w:val="000000"/>
                <w:sz w:val="22"/>
              </w:rPr>
              <w:t>4 (0.6%)</w:t>
            </w:r>
          </w:p>
        </w:tc>
      </w:tr>
      <w:tr w:rsidR="00B25546" w:rsidRPr="00462251" w14:paraId="44A5D05D" w14:textId="77777777" w:rsidTr="00B25546">
        <w:trPr>
          <w:trHeight w:val="432"/>
        </w:trPr>
        <w:tc>
          <w:tcPr>
            <w:tcW w:w="5000" w:type="pct"/>
            <w:gridSpan w:val="2"/>
            <w:vAlign w:val="center"/>
          </w:tcPr>
          <w:p w14:paraId="092AA919" w14:textId="36DE3F7C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b/>
                <w:bCs/>
                <w:color w:val="000000"/>
                <w:sz w:val="22"/>
              </w:rPr>
              <w:t>Concomitant Medication</w:t>
            </w:r>
            <w:r w:rsidRPr="00290176">
              <w:rPr>
                <w:rFonts w:ascii="Times New Roman" w:hAnsi="Times New Roman"/>
                <w:color w:val="000000"/>
                <w:sz w:val="22"/>
                <w:vertAlign w:val="superscript"/>
              </w:rPr>
              <w:t>[</w:t>
            </w:r>
            <w:r w:rsidR="008C7C9A">
              <w:rPr>
                <w:rFonts w:ascii="Times New Roman" w:hAnsi="Times New Roman"/>
                <w:color w:val="000000"/>
                <w:sz w:val="22"/>
                <w:vertAlign w:val="superscript"/>
              </w:rPr>
              <w:t>a</w:t>
            </w:r>
            <w:r w:rsidRPr="00290176">
              <w:rPr>
                <w:rFonts w:ascii="Times New Roman" w:hAnsi="Times New Roman"/>
                <w:color w:val="000000"/>
                <w:sz w:val="22"/>
                <w:vertAlign w:val="superscript"/>
              </w:rPr>
              <w:t>]</w:t>
            </w:r>
            <w:r w:rsidRPr="00290176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B25546" w:rsidRPr="00462251" w14:paraId="601115ED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2837670A" w14:textId="77777777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color w:val="000000"/>
                <w:sz w:val="22"/>
              </w:rPr>
              <w:t>No concomitant ocular anti-inflammatory medication</w:t>
            </w:r>
          </w:p>
        </w:tc>
        <w:tc>
          <w:tcPr>
            <w:tcW w:w="1857" w:type="pct"/>
            <w:vAlign w:val="center"/>
          </w:tcPr>
          <w:p w14:paraId="7078A9A5" w14:textId="77777777" w:rsidR="00B25546" w:rsidRPr="00290176" w:rsidRDefault="00B25546" w:rsidP="00B25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color w:val="000000"/>
                <w:sz w:val="22"/>
              </w:rPr>
              <w:t>150 (23.4%)</w:t>
            </w:r>
          </w:p>
        </w:tc>
      </w:tr>
      <w:tr w:rsidR="00B25546" w:rsidRPr="00462251" w14:paraId="68AC3661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0A831006" w14:textId="77777777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>Topical Ophthalmic NSAID</w:t>
            </w:r>
          </w:p>
        </w:tc>
        <w:tc>
          <w:tcPr>
            <w:tcW w:w="1857" w:type="pct"/>
          </w:tcPr>
          <w:p w14:paraId="610A715F" w14:textId="77777777" w:rsidR="00B25546" w:rsidRPr="00290176" w:rsidRDefault="00B25546" w:rsidP="00B25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>460 (71.8%)</w:t>
            </w:r>
          </w:p>
        </w:tc>
      </w:tr>
      <w:tr w:rsidR="00B25546" w:rsidRPr="00462251" w14:paraId="7E0DCFDB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31AF2485" w14:textId="4A2120F0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>Topical Ophthalmic Steroid</w:t>
            </w:r>
            <w:r w:rsidRPr="00290176">
              <w:rPr>
                <w:rFonts w:ascii="Times New Roman" w:hAnsi="Times New Roman"/>
                <w:sz w:val="22"/>
                <w:vertAlign w:val="superscript"/>
              </w:rPr>
              <w:t>[</w:t>
            </w:r>
            <w:r w:rsidR="008C7C9A">
              <w:rPr>
                <w:rFonts w:ascii="Times New Roman" w:hAnsi="Times New Roman"/>
                <w:sz w:val="22"/>
                <w:vertAlign w:val="superscript"/>
              </w:rPr>
              <w:t>b</w:t>
            </w:r>
            <w:r w:rsidRPr="00290176">
              <w:rPr>
                <w:rFonts w:ascii="Times New Roman" w:hAnsi="Times New Roman"/>
                <w:sz w:val="22"/>
                <w:vertAlign w:val="superscript"/>
              </w:rPr>
              <w:t>]</w:t>
            </w:r>
          </w:p>
        </w:tc>
        <w:tc>
          <w:tcPr>
            <w:tcW w:w="1857" w:type="pct"/>
          </w:tcPr>
          <w:p w14:paraId="2718D0C5" w14:textId="77777777" w:rsidR="00B25546" w:rsidRPr="00290176" w:rsidRDefault="00B25546" w:rsidP="00B25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>213 (33.2%)</w:t>
            </w:r>
          </w:p>
        </w:tc>
      </w:tr>
      <w:tr w:rsidR="00B25546" w:rsidRPr="00462251" w14:paraId="75B72336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72EC10E6" w14:textId="77777777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 xml:space="preserve">Intracameral phenylephrine/ketorolac (Omidria) </w:t>
            </w:r>
          </w:p>
        </w:tc>
        <w:tc>
          <w:tcPr>
            <w:tcW w:w="1857" w:type="pct"/>
          </w:tcPr>
          <w:p w14:paraId="655129A2" w14:textId="77777777" w:rsidR="00B25546" w:rsidRPr="00290176" w:rsidRDefault="00B25546" w:rsidP="00B25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>149 (23.2%)</w:t>
            </w:r>
          </w:p>
        </w:tc>
      </w:tr>
      <w:tr w:rsidR="00B25546" w:rsidRPr="00462251" w14:paraId="2F890FF3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0DCEB606" w14:textId="77777777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>Intracameral moxifloxacin or cefuroxime</w:t>
            </w:r>
          </w:p>
        </w:tc>
        <w:tc>
          <w:tcPr>
            <w:tcW w:w="1857" w:type="pct"/>
          </w:tcPr>
          <w:p w14:paraId="4E29AAC4" w14:textId="77777777" w:rsidR="00B25546" w:rsidRPr="00290176" w:rsidRDefault="00B25546" w:rsidP="00B25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>88 (13.7%)</w:t>
            </w:r>
          </w:p>
        </w:tc>
      </w:tr>
      <w:tr w:rsidR="00B25546" w:rsidRPr="00462251" w14:paraId="4E372363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3835A296" w14:textId="77777777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>Compounded antibiotic, steroid, and NSAID</w:t>
            </w:r>
          </w:p>
        </w:tc>
        <w:tc>
          <w:tcPr>
            <w:tcW w:w="1857" w:type="pct"/>
          </w:tcPr>
          <w:p w14:paraId="7CAB2F01" w14:textId="77777777" w:rsidR="00B25546" w:rsidRPr="00290176" w:rsidRDefault="00B25546" w:rsidP="00B25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>29 (4.5%)</w:t>
            </w:r>
          </w:p>
        </w:tc>
      </w:tr>
      <w:tr w:rsidR="00B25546" w:rsidRPr="00462251" w14:paraId="5EC7514D" w14:textId="77777777" w:rsidTr="00B25546">
        <w:trPr>
          <w:trHeight w:val="432"/>
        </w:trPr>
        <w:tc>
          <w:tcPr>
            <w:tcW w:w="3143" w:type="pct"/>
            <w:vAlign w:val="center"/>
          </w:tcPr>
          <w:p w14:paraId="345567B4" w14:textId="77777777" w:rsidR="00B25546" w:rsidRPr="00290176" w:rsidRDefault="00B25546" w:rsidP="00B255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>Compounded steroid and NSAID</w:t>
            </w:r>
          </w:p>
        </w:tc>
        <w:tc>
          <w:tcPr>
            <w:tcW w:w="1857" w:type="pct"/>
          </w:tcPr>
          <w:p w14:paraId="4B783CF5" w14:textId="77777777" w:rsidR="00B25546" w:rsidRPr="00290176" w:rsidRDefault="00B25546" w:rsidP="00B25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290176">
              <w:rPr>
                <w:rFonts w:ascii="Times New Roman" w:hAnsi="Times New Roman"/>
                <w:sz w:val="22"/>
              </w:rPr>
              <w:t>29 (4.5%)</w:t>
            </w:r>
          </w:p>
        </w:tc>
      </w:tr>
    </w:tbl>
    <w:p w14:paraId="1F86F00F" w14:textId="77777777" w:rsidR="00C15DF6" w:rsidRPr="00F71EED" w:rsidRDefault="00C15DF6" w:rsidP="00C15DF6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Cs w:val="24"/>
        </w:rPr>
      </w:pPr>
    </w:p>
    <w:p w14:paraId="16B4374F" w14:textId="1589C525" w:rsidR="00C15DF6" w:rsidRPr="00F71EED" w:rsidRDefault="00C15DF6" w:rsidP="00C15DF6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proofErr w:type="spellStart"/>
      <w:r w:rsidRPr="00F71EED">
        <w:rPr>
          <w:rFonts w:ascii="Times New Roman" w:eastAsiaTheme="minorEastAsia" w:hAnsi="Times New Roman" w:cs="Times New Roman"/>
          <w:color w:val="000000"/>
          <w:sz w:val="20"/>
          <w:szCs w:val="20"/>
        </w:rPr>
        <w:t>Femto</w:t>
      </w:r>
      <w:proofErr w:type="spellEnd"/>
      <w:r w:rsidR="002D5823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</w:t>
      </w:r>
      <w:r w:rsidRPr="00F71EED">
        <w:rPr>
          <w:rFonts w:ascii="Times New Roman" w:eastAsiaTheme="minorEastAsia" w:hAnsi="Times New Roman" w:cs="Times New Roman"/>
          <w:color w:val="000000"/>
          <w:sz w:val="20"/>
          <w:szCs w:val="20"/>
        </w:rPr>
        <w:t>femtosecond laser-assiste</w:t>
      </w:r>
      <w:r w:rsidR="002D5823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d;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</w:rPr>
        <w:t>IOL</w:t>
      </w:r>
      <w:r w:rsidR="002D5823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</w:rPr>
        <w:t>intraocular lens;</w:t>
      </w:r>
      <w:r w:rsidRPr="00F71EED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MIGS</w:t>
      </w:r>
      <w:r w:rsidR="002D5823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</w:t>
      </w:r>
      <w:r w:rsidRPr="00F71EED">
        <w:rPr>
          <w:rFonts w:ascii="Times New Roman" w:eastAsiaTheme="minorEastAsia" w:hAnsi="Times New Roman" w:cs="Times New Roman"/>
          <w:color w:val="000000"/>
          <w:sz w:val="20"/>
          <w:szCs w:val="20"/>
        </w:rPr>
        <w:t>minimally invasive glaucoma surgery</w:t>
      </w:r>
      <w:r w:rsidR="002D5823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; </w:t>
      </w:r>
      <w:r w:rsidRPr="00F71EED">
        <w:rPr>
          <w:rFonts w:ascii="Times New Roman" w:eastAsiaTheme="minorEastAsia" w:hAnsi="Times New Roman" w:cs="Times New Roman"/>
          <w:color w:val="000000"/>
          <w:sz w:val="20"/>
          <w:szCs w:val="20"/>
        </w:rPr>
        <w:t>NSAID</w:t>
      </w:r>
      <w:r w:rsidR="002D5823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</w:t>
      </w:r>
      <w:r w:rsidRPr="00F71EED">
        <w:rPr>
          <w:rFonts w:ascii="Times New Roman" w:eastAsiaTheme="minorEastAsia" w:hAnsi="Times New Roman" w:cs="Times New Roman"/>
          <w:color w:val="000000"/>
          <w:sz w:val="20"/>
          <w:szCs w:val="20"/>
        </w:rPr>
        <w:t>nonsteroidal anti-inflammatory drug</w:t>
      </w:r>
    </w:p>
    <w:p w14:paraId="1ABA8C98" w14:textId="77777777" w:rsidR="00C15DF6" w:rsidRPr="00F71EED" w:rsidRDefault="00C15DF6" w:rsidP="00C15DF6">
      <w:pPr>
        <w:autoSpaceDE w:val="0"/>
        <w:autoSpaceDN w:val="0"/>
        <w:rPr>
          <w:rFonts w:ascii="Times New Roman" w:eastAsiaTheme="minorEastAsia" w:hAnsi="Times New Roman" w:cs="Times New Roman"/>
          <w:sz w:val="20"/>
          <w:szCs w:val="20"/>
        </w:rPr>
      </w:pPr>
      <w:bookmarkStart w:id="0" w:name="IDX1"/>
      <w:bookmarkEnd w:id="0"/>
    </w:p>
    <w:p w14:paraId="69674961" w14:textId="679FEF75" w:rsidR="00C15DF6" w:rsidRPr="00F71EED" w:rsidRDefault="00B25546" w:rsidP="00C15DF6">
      <w:pPr>
        <w:autoSpaceDE w:val="0"/>
        <w:autoSpaceDN w:val="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[</w:t>
      </w:r>
      <w:r w:rsidR="002D08DF">
        <w:rPr>
          <w:rFonts w:ascii="Times New Roman" w:eastAsiaTheme="minorEastAsia" w:hAnsi="Times New Roman" w:cs="Times New Roman"/>
          <w:sz w:val="20"/>
          <w:szCs w:val="20"/>
        </w:rPr>
        <w:t>a</w:t>
      </w:r>
      <w:r>
        <w:rPr>
          <w:rFonts w:ascii="Times New Roman" w:eastAsiaTheme="minorEastAsia" w:hAnsi="Times New Roman" w:cs="Times New Roman"/>
          <w:sz w:val="20"/>
          <w:szCs w:val="20"/>
        </w:rPr>
        <w:t>]</w:t>
      </w:r>
      <w:r w:rsidR="002D08DF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C15DF6" w:rsidRPr="00F71EED">
        <w:rPr>
          <w:rFonts w:ascii="Times New Roman" w:eastAsiaTheme="minorEastAsia" w:hAnsi="Times New Roman" w:cs="Times New Roman"/>
          <w:sz w:val="20"/>
          <w:szCs w:val="20"/>
        </w:rPr>
        <w:t>For each treatment category, patients reporting more than one treatment (brand/generic name) are counted only once</w:t>
      </w:r>
      <w:r w:rsidR="002D5823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  <w:r w:rsidR="00C15DF6" w:rsidRPr="00F71EED">
        <w:rPr>
          <w:rFonts w:ascii="Times New Roman" w:eastAsiaTheme="minorEastAsia" w:hAnsi="Times New Roman" w:cs="Times New Roman"/>
          <w:sz w:val="20"/>
          <w:szCs w:val="20"/>
        </w:rPr>
        <w:t>Percentages were calculated by dividing the results in a given category by the number of eyes with surgery.</w:t>
      </w:r>
    </w:p>
    <w:p w14:paraId="3A77018E" w14:textId="77777777" w:rsidR="00C15DF6" w:rsidRPr="00F71EED" w:rsidRDefault="00C15DF6" w:rsidP="00C15DF6">
      <w:pPr>
        <w:autoSpaceDE w:val="0"/>
        <w:autoSpaceDN w:val="0"/>
        <w:rPr>
          <w:rFonts w:ascii="Times New Roman" w:eastAsiaTheme="minorEastAsia" w:hAnsi="Times New Roman" w:cs="Times New Roman"/>
          <w:sz w:val="20"/>
          <w:szCs w:val="20"/>
        </w:rPr>
      </w:pPr>
    </w:p>
    <w:p w14:paraId="4B92EB4F" w14:textId="5AEB0EAA" w:rsidR="00C15DF6" w:rsidRDefault="00C15DF6" w:rsidP="00B25546">
      <w:pPr>
        <w:autoSpaceDE w:val="0"/>
        <w:autoSpaceDN w:val="0"/>
      </w:pPr>
      <w:r w:rsidRPr="00F71EED">
        <w:rPr>
          <w:rFonts w:ascii="Times New Roman" w:eastAsiaTheme="minorEastAsia" w:hAnsi="Times New Roman" w:cs="Times New Roman"/>
          <w:sz w:val="20"/>
          <w:szCs w:val="20"/>
        </w:rPr>
        <w:t>[</w:t>
      </w:r>
      <w:r w:rsidR="002D08DF">
        <w:rPr>
          <w:rFonts w:ascii="Times New Roman" w:eastAsiaTheme="minorEastAsia" w:hAnsi="Times New Roman" w:cs="Times New Roman"/>
          <w:sz w:val="20"/>
          <w:szCs w:val="20"/>
        </w:rPr>
        <w:t>b</w:t>
      </w:r>
      <w:r w:rsidRPr="00F71EED">
        <w:rPr>
          <w:rFonts w:ascii="Times New Roman" w:eastAsiaTheme="minorEastAsia" w:hAnsi="Times New Roman" w:cs="Times New Roman"/>
          <w:sz w:val="20"/>
          <w:szCs w:val="20"/>
        </w:rPr>
        <w:t xml:space="preserve">] Topical ophthalmic steroids include dexamethasone, difluprednate, </w:t>
      </w:r>
      <w:proofErr w:type="spellStart"/>
      <w:r w:rsidRPr="00F71EED">
        <w:rPr>
          <w:rFonts w:ascii="Times New Roman" w:eastAsiaTheme="minorEastAsia" w:hAnsi="Times New Roman" w:cs="Times New Roman"/>
          <w:sz w:val="20"/>
          <w:szCs w:val="20"/>
        </w:rPr>
        <w:t>fluorometholone</w:t>
      </w:r>
      <w:proofErr w:type="spellEnd"/>
      <w:r w:rsidRPr="00F71EED">
        <w:rPr>
          <w:rFonts w:ascii="Times New Roman" w:eastAsiaTheme="minorEastAsia" w:hAnsi="Times New Roman" w:cs="Times New Roman"/>
          <w:sz w:val="20"/>
          <w:szCs w:val="20"/>
        </w:rPr>
        <w:t xml:space="preserve">, loteprednol etabonate, prednisolone, and </w:t>
      </w:r>
      <w:proofErr w:type="spellStart"/>
      <w:r w:rsidRPr="00F71EED">
        <w:rPr>
          <w:rFonts w:ascii="Times New Roman" w:eastAsiaTheme="minorEastAsia" w:hAnsi="Times New Roman" w:cs="Times New Roman"/>
          <w:sz w:val="20"/>
          <w:szCs w:val="20"/>
        </w:rPr>
        <w:t>rimexolone</w:t>
      </w:r>
      <w:proofErr w:type="spellEnd"/>
      <w:r w:rsidR="002D08DF">
        <w:rPr>
          <w:rFonts w:ascii="Times New Roman" w:eastAsiaTheme="minorEastAsia" w:hAnsi="Times New Roman" w:cs="Times New Roman"/>
          <w:sz w:val="20"/>
          <w:szCs w:val="20"/>
        </w:rPr>
        <w:t>.</w:t>
      </w:r>
    </w:p>
    <w:sectPr w:rsidR="00C15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F6"/>
    <w:rsid w:val="00086913"/>
    <w:rsid w:val="00093326"/>
    <w:rsid w:val="000A03B6"/>
    <w:rsid w:val="00290176"/>
    <w:rsid w:val="002D08DF"/>
    <w:rsid w:val="002D5823"/>
    <w:rsid w:val="003674D1"/>
    <w:rsid w:val="00513F0C"/>
    <w:rsid w:val="005444C7"/>
    <w:rsid w:val="00793B10"/>
    <w:rsid w:val="008C7C9A"/>
    <w:rsid w:val="009944FA"/>
    <w:rsid w:val="00AC33F6"/>
    <w:rsid w:val="00B25546"/>
    <w:rsid w:val="00C15DF6"/>
    <w:rsid w:val="00CB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2BC4"/>
  <w15:chartTrackingRefBased/>
  <w15:docId w15:val="{78022B16-7776-49B9-A7DD-07CB0AC6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F6"/>
    <w:pPr>
      <w:spacing w:after="0" w:line="240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15DF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meyer</dc:creator>
  <cp:keywords/>
  <dc:description/>
  <cp:lastModifiedBy>Jennifer Zweibel</cp:lastModifiedBy>
  <cp:revision>3</cp:revision>
  <dcterms:created xsi:type="dcterms:W3CDTF">2022-05-20T14:49:00Z</dcterms:created>
  <dcterms:modified xsi:type="dcterms:W3CDTF">2022-05-20T14:50:00Z</dcterms:modified>
</cp:coreProperties>
</file>