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3"/>
        <w:spacing w:after="240"/>
      </w:pPr>
      <w:bookmarkStart w:id="0" w:name="_Hlk88495142"/>
      <w:bookmarkEnd w:id="0"/>
      <w:r>
        <w:t>Supplementary Material</w:t>
      </w:r>
    </w:p>
    <w:p>
      <w:pPr>
        <w:pStyle w:val="4"/>
        <w:numPr>
          <w:ilvl w:val="1"/>
          <w:numId w:val="0"/>
        </w:numPr>
      </w:pPr>
      <w:r>
        <w:t>Supplementary Table 1</w:t>
      </w:r>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66"/>
        <w:gridCol w:w="4238"/>
        <w:gridCol w:w="1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Borders>
              <w:top w:val="single" w:color="auto" w:sz="4" w:space="0"/>
              <w:bottom w:val="single" w:color="auto" w:sz="4" w:space="0"/>
            </w:tcBorders>
          </w:tcPr>
          <w:p>
            <w:pPr>
              <w:spacing w:before="0" w:after="0" w:line="360" w:lineRule="auto"/>
              <w:rPr>
                <w:shd w:val="pct10" w:color="auto" w:fill="FFFFFF"/>
              </w:rPr>
            </w:pPr>
            <w:r>
              <w:rPr>
                <w:shd w:val="pct10" w:color="auto" w:fill="FFFFFF"/>
              </w:rPr>
              <w:t>Antibodies and Reagents</w:t>
            </w:r>
          </w:p>
        </w:tc>
        <w:tc>
          <w:tcPr>
            <w:tcW w:w="4238" w:type="dxa"/>
            <w:tcBorders>
              <w:top w:val="single" w:color="auto" w:sz="4" w:space="0"/>
              <w:bottom w:val="single" w:color="auto" w:sz="4" w:space="0"/>
            </w:tcBorders>
          </w:tcPr>
          <w:p>
            <w:pPr>
              <w:spacing w:before="0" w:after="0" w:line="360" w:lineRule="auto"/>
              <w:rPr>
                <w:bCs/>
                <w:shd w:val="pct10" w:color="auto" w:fill="FFFFFF"/>
              </w:rPr>
            </w:pPr>
            <w:r>
              <w:rPr>
                <w:bCs/>
                <w:shd w:val="pct10" w:color="auto" w:fill="FFFFFF"/>
              </w:rPr>
              <w:t>Manufacturer, Country, Batch number</w:t>
            </w:r>
          </w:p>
        </w:tc>
        <w:tc>
          <w:tcPr>
            <w:tcW w:w="1973" w:type="dxa"/>
            <w:tcBorders>
              <w:top w:val="single" w:color="auto" w:sz="4" w:space="0"/>
              <w:bottom w:val="single" w:color="auto" w:sz="4" w:space="0"/>
            </w:tcBorders>
          </w:tcPr>
          <w:p>
            <w:pPr>
              <w:spacing w:before="0" w:after="0" w:line="360" w:lineRule="auto"/>
              <w:rPr>
                <w:bCs/>
                <w:shd w:val="pct10" w:color="auto" w:fill="FFFFFF"/>
              </w:rPr>
            </w:pPr>
            <w:r>
              <w:rPr>
                <w:bCs/>
                <w:shd w:val="pct10" w:color="auto" w:fill="FFFFFF"/>
              </w:rPr>
              <w:t>Concentration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Borders>
              <w:top w:val="single" w:color="auto" w:sz="4" w:space="0"/>
            </w:tcBorders>
          </w:tcPr>
          <w:p>
            <w:pPr>
              <w:spacing w:before="0" w:after="0" w:line="360" w:lineRule="auto"/>
              <w:rPr>
                <w:bCs/>
              </w:rPr>
            </w:pPr>
            <w:r>
              <w:t>Roswell Park Memorial Institute 1640 (RPMI-1640)</w:t>
            </w:r>
          </w:p>
        </w:tc>
        <w:tc>
          <w:tcPr>
            <w:tcW w:w="4238" w:type="dxa"/>
            <w:tcBorders>
              <w:top w:val="single" w:color="auto" w:sz="4" w:space="0"/>
            </w:tcBorders>
          </w:tcPr>
          <w:p>
            <w:pPr>
              <w:spacing w:before="0" w:after="0" w:line="360" w:lineRule="auto"/>
              <w:rPr>
                <w:bCs/>
              </w:rPr>
            </w:pPr>
            <w:r>
              <w:t>Gibco, USA, Lot: 8121248</w:t>
            </w:r>
          </w:p>
        </w:tc>
        <w:tc>
          <w:tcPr>
            <w:tcW w:w="1973" w:type="dxa"/>
            <w:tcBorders>
              <w:top w:val="single" w:color="auto" w:sz="4" w:space="0"/>
            </w:tcBorders>
          </w:tcPr>
          <w:p>
            <w:pPr>
              <w:spacing w:before="0" w:after="0" w:line="360" w:lineRule="auto"/>
              <w:rPr>
                <w:bCs/>
              </w:rPr>
            </w:pPr>
            <w:r>
              <w:rPr>
                <w:rFonts w:hint="eastAsia"/>
                <w:bC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bCs/>
              </w:rPr>
            </w:pPr>
            <w:bookmarkStart w:id="1" w:name="_Hlk88036467"/>
            <w:r>
              <w:t>Dulbecco’s modified Eagle’s medium (DMEM)</w:t>
            </w:r>
            <w:bookmarkEnd w:id="1"/>
          </w:p>
        </w:tc>
        <w:tc>
          <w:tcPr>
            <w:tcW w:w="4238" w:type="dxa"/>
          </w:tcPr>
          <w:p>
            <w:pPr>
              <w:spacing w:before="0" w:after="0" w:line="360" w:lineRule="auto"/>
              <w:rPr>
                <w:bCs/>
              </w:rPr>
            </w:pPr>
            <w:r>
              <w:t>Gibco, USA, Lot: 8121032</w:t>
            </w:r>
          </w:p>
        </w:tc>
        <w:tc>
          <w:tcPr>
            <w:tcW w:w="1973" w:type="dxa"/>
          </w:tcPr>
          <w:p>
            <w:pPr>
              <w:spacing w:before="0" w:after="0" w:line="360" w:lineRule="auto"/>
              <w:rPr>
                <w:bCs/>
              </w:rPr>
            </w:pPr>
            <w:r>
              <w:rPr>
                <w:rFonts w:hint="eastAsia"/>
                <w:bC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3566" w:type="dxa"/>
          </w:tcPr>
          <w:p>
            <w:pPr>
              <w:spacing w:before="0" w:after="0" w:line="360" w:lineRule="auto"/>
            </w:pPr>
            <w:r>
              <w:t>Fetal bovine serum (FBS)</w:t>
            </w:r>
          </w:p>
        </w:tc>
        <w:tc>
          <w:tcPr>
            <w:tcW w:w="4238" w:type="dxa"/>
          </w:tcPr>
          <w:p>
            <w:pPr>
              <w:spacing w:before="0" w:after="0" w:line="360" w:lineRule="auto"/>
            </w:pPr>
            <w:r>
              <w:t>Gibco, USA, Lot: 42F1376K</w:t>
            </w:r>
          </w:p>
        </w:tc>
        <w:tc>
          <w:tcPr>
            <w:tcW w:w="1973" w:type="dxa"/>
          </w:tcPr>
          <w:p>
            <w:pPr>
              <w:spacing w:before="0" w:after="0" w:line="360" w:lineRule="auto"/>
              <w:rPr>
                <w:bCs/>
              </w:rPr>
            </w:pPr>
            <w:r>
              <w:rPr>
                <w:rFonts w:hint="eastAsia"/>
                <w:bC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rFonts w:eastAsia="宋体" w:cs="Times New Roman"/>
                <w:szCs w:val="24"/>
                <w:lang w:eastAsia="zh-CN"/>
              </w:rPr>
            </w:pPr>
            <w:r>
              <w:rPr>
                <w:rFonts w:eastAsia="宋体" w:cs="Times New Roman"/>
                <w:szCs w:val="24"/>
              </w:rPr>
              <w:t>Penicillin/streptomycin</w:t>
            </w:r>
          </w:p>
        </w:tc>
        <w:tc>
          <w:tcPr>
            <w:tcW w:w="4238" w:type="dxa"/>
          </w:tcPr>
          <w:p>
            <w:pPr>
              <w:spacing w:before="0" w:after="0" w:line="360" w:lineRule="auto"/>
            </w:pPr>
            <w:r>
              <w:t xml:space="preserve">Gibco, USA, </w:t>
            </w:r>
            <w:r>
              <w:rPr>
                <w:rFonts w:hint="eastAsia"/>
                <w:lang w:eastAsia="zh-CN"/>
              </w:rPr>
              <w:t>Lot:</w:t>
            </w:r>
            <w:r>
              <w:rPr>
                <w:lang w:eastAsia="zh-CN"/>
              </w:rPr>
              <w:t xml:space="preserve"> 2321125</w:t>
            </w:r>
          </w:p>
        </w:tc>
        <w:tc>
          <w:tcPr>
            <w:tcW w:w="1973" w:type="dxa"/>
          </w:tcPr>
          <w:p>
            <w:pPr>
              <w:spacing w:before="0" w:after="0" w:line="360" w:lineRule="auto"/>
              <w:rPr>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rFonts w:eastAsia="宋体" w:cs="Times New Roman"/>
                <w:szCs w:val="24"/>
              </w:rPr>
            </w:pPr>
            <w:r>
              <w:rPr>
                <w:rFonts w:hint="eastAsia" w:eastAsia="宋体" w:cs="Times New Roman"/>
                <w:szCs w:val="24"/>
                <w:lang w:eastAsia="zh-CN"/>
              </w:rPr>
              <w:t>GMyc-</w:t>
            </w:r>
            <w:r>
              <w:rPr>
                <w:rFonts w:eastAsia="宋体" w:cs="Times New Roman"/>
                <w:szCs w:val="24"/>
              </w:rPr>
              <w:t xml:space="preserve">PCR Mycoplasma </w:t>
            </w:r>
            <w:r>
              <w:rPr>
                <w:rFonts w:hint="eastAsia" w:eastAsia="宋体" w:cs="Times New Roman"/>
                <w:szCs w:val="24"/>
                <w:lang w:eastAsia="zh-CN"/>
              </w:rPr>
              <w:t>Test</w:t>
            </w:r>
            <w:r>
              <w:rPr>
                <w:rFonts w:eastAsia="宋体" w:cs="Times New Roman"/>
                <w:szCs w:val="24"/>
                <w:lang w:eastAsia="zh-CN"/>
              </w:rPr>
              <w:t xml:space="preserve"> </w:t>
            </w:r>
            <w:r>
              <w:rPr>
                <w:rFonts w:eastAsia="宋体" w:cs="Times New Roman"/>
                <w:szCs w:val="24"/>
              </w:rPr>
              <w:t>Kit</w:t>
            </w:r>
          </w:p>
        </w:tc>
        <w:tc>
          <w:tcPr>
            <w:tcW w:w="4238" w:type="dxa"/>
          </w:tcPr>
          <w:p>
            <w:pPr>
              <w:spacing w:before="0" w:after="0" w:line="360" w:lineRule="auto"/>
              <w:rPr>
                <w:lang w:eastAsia="zh-CN"/>
              </w:rPr>
            </w:pPr>
            <w:r>
              <w:rPr>
                <w:rFonts w:hint="eastAsia"/>
                <w:lang w:eastAsia="zh-CN"/>
              </w:rPr>
              <w:t>YEASEN,</w:t>
            </w:r>
            <w:r>
              <w:rPr>
                <w:lang w:eastAsia="zh-CN"/>
              </w:rPr>
              <w:t xml:space="preserve"> </w:t>
            </w:r>
            <w:bookmarkStart w:id="2" w:name="OLE_LINK2"/>
            <w:bookmarkStart w:id="3" w:name="OLE_LINK1"/>
            <w:r>
              <w:rPr>
                <w:lang w:eastAsia="zh-CN"/>
              </w:rPr>
              <w:t>China</w:t>
            </w:r>
            <w:bookmarkEnd w:id="2"/>
            <w:bookmarkEnd w:id="3"/>
            <w:r>
              <w:rPr>
                <w:lang w:eastAsia="zh-CN"/>
              </w:rPr>
              <w:t>, Lot: G5110070</w:t>
            </w:r>
          </w:p>
        </w:tc>
        <w:tc>
          <w:tcPr>
            <w:tcW w:w="1973" w:type="dxa"/>
          </w:tcPr>
          <w:p>
            <w:pPr>
              <w:spacing w:before="0" w:after="0" w:line="360" w:lineRule="auto"/>
              <w:rPr>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lang w:eastAsia="zh-CN"/>
              </w:rPr>
            </w:pPr>
            <w:r>
              <w:rPr>
                <w:lang w:eastAsia="zh-CN"/>
              </w:rPr>
              <w:t xml:space="preserve">Plasmid vectors for </w:t>
            </w:r>
            <w:r>
              <w:rPr>
                <w:i/>
                <w:iCs/>
                <w:lang w:eastAsia="zh-CN"/>
              </w:rPr>
              <w:t>DNTTIP2</w:t>
            </w:r>
          </w:p>
        </w:tc>
        <w:tc>
          <w:tcPr>
            <w:tcW w:w="4238" w:type="dxa"/>
          </w:tcPr>
          <w:p>
            <w:pPr>
              <w:spacing w:before="0" w:after="0" w:line="360" w:lineRule="auto"/>
              <w:rPr>
                <w:lang w:eastAsia="zh-CN"/>
              </w:rPr>
            </w:pPr>
            <w:r>
              <w:rPr>
                <w:rFonts w:hint="eastAsia"/>
                <w:lang w:eastAsia="zh-CN"/>
              </w:rPr>
              <w:t>GeneChem</w:t>
            </w:r>
            <w:r>
              <w:rPr>
                <w:lang w:eastAsia="zh-CN"/>
              </w:rPr>
              <w:t>, China, Lot</w:t>
            </w:r>
            <w:r>
              <w:rPr>
                <w:rFonts w:hint="eastAsia"/>
                <w:lang w:eastAsia="zh-CN"/>
              </w:rPr>
              <w:t>:</w:t>
            </w:r>
            <w:r>
              <w:rPr>
                <w:lang w:eastAsia="zh-CN"/>
              </w:rPr>
              <w:t xml:space="preserve"> </w:t>
            </w:r>
            <w:r>
              <w:rPr>
                <w:rFonts w:hint="eastAsia"/>
                <w:lang w:eastAsia="zh-CN"/>
              </w:rPr>
              <w:t>GIEE0304606</w:t>
            </w:r>
          </w:p>
        </w:tc>
        <w:tc>
          <w:tcPr>
            <w:tcW w:w="1973" w:type="dxa"/>
          </w:tcPr>
          <w:p>
            <w:pPr>
              <w:spacing w:before="0" w:after="0" w:line="360" w:lineRule="auto"/>
              <w:rPr>
                <w:bCs/>
                <w:highlight w:val="yellow"/>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pPr>
            <w:r>
              <w:t xml:space="preserve">Puromycin </w:t>
            </w:r>
          </w:p>
        </w:tc>
        <w:tc>
          <w:tcPr>
            <w:tcW w:w="4238" w:type="dxa"/>
          </w:tcPr>
          <w:p>
            <w:pPr>
              <w:spacing w:before="0" w:after="0" w:line="360" w:lineRule="auto"/>
            </w:pPr>
            <w:r>
              <w:t>Beyotime Biotechnology, China</w:t>
            </w:r>
            <w:r>
              <w:rPr>
                <w:rFonts w:hint="eastAsia"/>
              </w:rPr>
              <w:t>,</w:t>
            </w:r>
            <w:r>
              <w:t xml:space="preserve"> Lot: 041321210517</w:t>
            </w:r>
          </w:p>
        </w:tc>
        <w:tc>
          <w:tcPr>
            <w:tcW w:w="1973" w:type="dxa"/>
          </w:tcPr>
          <w:p>
            <w:pPr>
              <w:spacing w:before="0" w:after="0" w:line="360" w:lineRule="auto"/>
            </w:pPr>
            <w:r>
              <w:t>1.5 μg/mL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pPr>
            <w:r>
              <w:t>Lipofectamine 3000</w:t>
            </w:r>
          </w:p>
        </w:tc>
        <w:tc>
          <w:tcPr>
            <w:tcW w:w="4238" w:type="dxa"/>
          </w:tcPr>
          <w:p>
            <w:pPr>
              <w:spacing w:before="0" w:after="0" w:line="360" w:lineRule="auto"/>
            </w:pPr>
            <w:r>
              <w:rPr>
                <w:bCs/>
              </w:rPr>
              <w:t>Invitrogen, USA, Lot:</w:t>
            </w:r>
            <w:r>
              <w:t xml:space="preserve"> </w:t>
            </w:r>
            <w:r>
              <w:rPr>
                <w:bCs/>
              </w:rPr>
              <w:t>2395298</w:t>
            </w:r>
          </w:p>
        </w:tc>
        <w:tc>
          <w:tcPr>
            <w:tcW w:w="1973" w:type="dxa"/>
          </w:tcPr>
          <w:p>
            <w:pPr>
              <w:spacing w:before="0" w:after="0" w:line="360" w:lineRule="auto"/>
              <w:rPr>
                <w:lang w:eastAsia="zh-CN"/>
              </w:rPr>
            </w:pPr>
            <w:r>
              <w:rPr>
                <w:rFonts w:hint="eastAsia"/>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pPr>
            <w:r>
              <w:t>Opti-MEM</w:t>
            </w:r>
          </w:p>
        </w:tc>
        <w:tc>
          <w:tcPr>
            <w:tcW w:w="4238" w:type="dxa"/>
          </w:tcPr>
          <w:p>
            <w:pPr>
              <w:spacing w:before="0" w:after="0" w:line="360" w:lineRule="auto"/>
            </w:pPr>
            <w:r>
              <w:t xml:space="preserve">Gibco, USA, </w:t>
            </w:r>
            <w:r>
              <w:rPr>
                <w:rFonts w:hint="eastAsia"/>
                <w:lang w:eastAsia="zh-CN"/>
              </w:rPr>
              <w:t>Lot:</w:t>
            </w:r>
            <w:r>
              <w:rPr>
                <w:lang w:eastAsia="zh-CN"/>
              </w:rPr>
              <w:t xml:space="preserve"> 2276923</w:t>
            </w:r>
          </w:p>
        </w:tc>
        <w:tc>
          <w:tcPr>
            <w:tcW w:w="1973" w:type="dxa"/>
          </w:tcPr>
          <w:p>
            <w:pPr>
              <w:spacing w:before="0" w:after="0" w:line="360" w:lineRule="auto"/>
              <w:rPr>
                <w:lang w:eastAsia="zh-CN"/>
              </w:rPr>
            </w:pPr>
            <w:r>
              <w:rPr>
                <w:rFonts w:hint="eastAsia"/>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pPr>
            <w:r>
              <w:t>Anti-DNTTIP2 Antibody</w:t>
            </w:r>
          </w:p>
        </w:tc>
        <w:tc>
          <w:tcPr>
            <w:tcW w:w="4238" w:type="dxa"/>
          </w:tcPr>
          <w:p>
            <w:pPr>
              <w:spacing w:before="0" w:after="0" w:line="360" w:lineRule="auto"/>
            </w:pPr>
            <w:r>
              <w:rPr>
                <w:bCs/>
              </w:rPr>
              <w:t xml:space="preserve">ABclonal, </w:t>
            </w:r>
            <w:r>
              <w:rPr>
                <w:lang w:eastAsia="zh-CN"/>
              </w:rPr>
              <w:t>China</w:t>
            </w:r>
            <w:r>
              <w:rPr>
                <w:bCs/>
              </w:rPr>
              <w:t>, Lot:</w:t>
            </w:r>
            <w:r>
              <w:t xml:space="preserve"> </w:t>
            </w:r>
            <w:r>
              <w:rPr>
                <w:bCs/>
              </w:rPr>
              <w:t>A16120</w:t>
            </w:r>
          </w:p>
        </w:tc>
        <w:tc>
          <w:tcPr>
            <w:tcW w:w="1973" w:type="dxa"/>
          </w:tcPr>
          <w:p>
            <w:pPr>
              <w:spacing w:before="0" w:after="0" w:line="360" w:lineRule="auto"/>
            </w:pPr>
            <w:r>
              <w:t>WB: 1:1000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pPr>
            <w:r>
              <w:rPr>
                <w:bCs/>
              </w:rPr>
              <w:t xml:space="preserve">Anti-β-actin </w:t>
            </w:r>
            <w:r>
              <w:t>Antibody</w:t>
            </w:r>
          </w:p>
        </w:tc>
        <w:tc>
          <w:tcPr>
            <w:tcW w:w="4238" w:type="dxa"/>
          </w:tcPr>
          <w:p>
            <w:pPr>
              <w:spacing w:before="0" w:after="0" w:line="360" w:lineRule="auto"/>
            </w:pPr>
            <w:r>
              <w:rPr>
                <w:bCs/>
              </w:rPr>
              <w:t>Invitrogen, USA, Lot: RI2265993</w:t>
            </w:r>
          </w:p>
        </w:tc>
        <w:tc>
          <w:tcPr>
            <w:tcW w:w="1973" w:type="dxa"/>
          </w:tcPr>
          <w:p>
            <w:pPr>
              <w:spacing w:before="0" w:after="0" w:line="360" w:lineRule="auto"/>
              <w:rPr>
                <w:bCs/>
              </w:rPr>
            </w:pPr>
            <w:r>
              <w:rPr>
                <w:rFonts w:hint="eastAsia"/>
                <w:bCs/>
                <w:lang w:eastAsia="zh-CN"/>
              </w:rPr>
              <w:t>WB</w:t>
            </w:r>
            <w:r>
              <w:rPr>
                <w:bCs/>
                <w:lang w:eastAsia="zh-CN"/>
              </w:rPr>
              <w:t xml:space="preserve">: </w:t>
            </w:r>
            <w:r>
              <w:rPr>
                <w:rFonts w:hint="eastAsia"/>
                <w:bCs/>
              </w:rPr>
              <w:t>1</w:t>
            </w:r>
            <w:r>
              <w:rPr>
                <w:bCs/>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bCs/>
                <w:lang w:eastAsia="zh-CN"/>
              </w:rPr>
            </w:pPr>
            <w:r>
              <w:rPr>
                <w:rFonts w:hint="eastAsia"/>
                <w:bCs/>
                <w:lang w:eastAsia="zh-CN"/>
              </w:rPr>
              <w:t>M</w:t>
            </w:r>
            <w:r>
              <w:rPr>
                <w:bCs/>
                <w:lang w:eastAsia="zh-CN"/>
              </w:rPr>
              <w:t>atrigel Matrix basement membrane</w:t>
            </w:r>
          </w:p>
        </w:tc>
        <w:tc>
          <w:tcPr>
            <w:tcW w:w="4238" w:type="dxa"/>
          </w:tcPr>
          <w:p>
            <w:pPr>
              <w:spacing w:before="0" w:after="0" w:line="360" w:lineRule="auto"/>
              <w:rPr>
                <w:bCs/>
                <w:lang w:eastAsia="zh-CN"/>
              </w:rPr>
            </w:pPr>
            <w:r>
              <w:rPr>
                <w:rFonts w:hint="eastAsia"/>
                <w:bCs/>
                <w:lang w:eastAsia="zh-CN"/>
              </w:rPr>
              <w:t>C</w:t>
            </w:r>
            <w:r>
              <w:rPr>
                <w:bCs/>
                <w:lang w:eastAsia="zh-CN"/>
              </w:rPr>
              <w:t>orning</w:t>
            </w:r>
            <w:r>
              <w:rPr>
                <w:rFonts w:hint="eastAsia"/>
                <w:bCs/>
                <w:lang w:eastAsia="zh-CN"/>
              </w:rPr>
              <w:t>,</w:t>
            </w:r>
            <w:r>
              <w:rPr>
                <w:bCs/>
                <w:lang w:eastAsia="zh-CN"/>
              </w:rPr>
              <w:t xml:space="preserve"> USA, Lot:1074003</w:t>
            </w:r>
          </w:p>
        </w:tc>
        <w:tc>
          <w:tcPr>
            <w:tcW w:w="1973" w:type="dxa"/>
          </w:tcPr>
          <w:p>
            <w:pPr>
              <w:spacing w:before="0" w:after="0" w:line="360" w:lineRule="auto"/>
              <w:rPr>
                <w:bCs/>
                <w:lang w:eastAsia="zh-CN"/>
              </w:rPr>
            </w:pPr>
            <w:r>
              <w:rPr>
                <w:rFonts w:hint="eastAsia"/>
                <w:bCs/>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bCs/>
              </w:rPr>
            </w:pPr>
            <w:r>
              <w:rPr>
                <w:bCs/>
              </w:rPr>
              <w:t>0.2% TritonX-100</w:t>
            </w:r>
          </w:p>
        </w:tc>
        <w:tc>
          <w:tcPr>
            <w:tcW w:w="4238" w:type="dxa"/>
          </w:tcPr>
          <w:p>
            <w:pPr>
              <w:spacing w:before="0" w:after="0" w:line="360" w:lineRule="auto"/>
              <w:rPr>
                <w:bCs/>
              </w:rPr>
            </w:pPr>
            <w:r>
              <w:rPr>
                <w:bCs/>
              </w:rPr>
              <w:t>Proteintech, China, Lot: 61202011</w:t>
            </w:r>
          </w:p>
        </w:tc>
        <w:tc>
          <w:tcPr>
            <w:tcW w:w="1973" w:type="dxa"/>
          </w:tcPr>
          <w:p>
            <w:pPr>
              <w:spacing w:before="0" w:after="0" w:line="360" w:lineRule="auto"/>
              <w:rPr>
                <w:bCs/>
              </w:rPr>
            </w:pPr>
            <w:r>
              <w:rPr>
                <w:rFonts w:hint="eastAsia"/>
                <w:bC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bCs/>
              </w:rPr>
            </w:pPr>
            <w:r>
              <w:rPr>
                <w:bCs/>
              </w:rPr>
              <w:t>Nuclei were stained using 4',6-diamidino-2-phenylindole (DAPI)</w:t>
            </w:r>
          </w:p>
        </w:tc>
        <w:tc>
          <w:tcPr>
            <w:tcW w:w="4238" w:type="dxa"/>
          </w:tcPr>
          <w:p>
            <w:pPr>
              <w:spacing w:before="0" w:after="0" w:line="360" w:lineRule="auto"/>
              <w:rPr>
                <w:bCs/>
              </w:rPr>
            </w:pPr>
            <w:r>
              <w:t>Beyotime Biotechnology, China</w:t>
            </w:r>
            <w:r>
              <w:rPr>
                <w:rFonts w:hint="eastAsia"/>
              </w:rPr>
              <w:t>,</w:t>
            </w:r>
            <w:r>
              <w:t xml:space="preserve"> Lot: 091620210520</w:t>
            </w:r>
          </w:p>
        </w:tc>
        <w:tc>
          <w:tcPr>
            <w:tcW w:w="1973" w:type="dxa"/>
          </w:tcPr>
          <w:p>
            <w:pPr>
              <w:spacing w:before="0" w:after="0" w:line="360" w:lineRule="auto"/>
              <w:rPr>
                <w:bCs/>
              </w:rPr>
            </w:pPr>
            <w:r>
              <w:rPr>
                <w:rFonts w:hint="eastAsia"/>
                <w:bC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bCs/>
                <w:lang w:eastAsia="zh-CN"/>
              </w:rPr>
            </w:pPr>
            <w:r>
              <w:t>phorbol 12-myristate 13-acetate (PMA)</w:t>
            </w:r>
          </w:p>
        </w:tc>
        <w:tc>
          <w:tcPr>
            <w:tcW w:w="4238" w:type="dxa"/>
          </w:tcPr>
          <w:p>
            <w:pPr>
              <w:spacing w:before="0" w:after="0" w:line="360" w:lineRule="auto"/>
              <w:rPr>
                <w:lang w:eastAsia="zh-CN"/>
              </w:rPr>
            </w:pPr>
            <w:r>
              <w:t>Sigma-Aldrich, USA, Lot: SLBX8899</w:t>
            </w:r>
          </w:p>
        </w:tc>
        <w:tc>
          <w:tcPr>
            <w:tcW w:w="1973" w:type="dxa"/>
          </w:tcPr>
          <w:p>
            <w:pPr>
              <w:spacing w:before="0" w:after="0" w:line="360" w:lineRule="auto"/>
              <w:rPr>
                <w:bCs/>
                <w:lang w:eastAsia="zh-CN"/>
              </w:rPr>
            </w:pPr>
            <w:r>
              <w:t>10 ng/mL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bCs/>
              </w:rPr>
            </w:pPr>
            <w:r>
              <w:t>anti-CD163 polyclonal antibodies</w:t>
            </w:r>
          </w:p>
        </w:tc>
        <w:tc>
          <w:tcPr>
            <w:tcW w:w="4238" w:type="dxa"/>
          </w:tcPr>
          <w:p>
            <w:pPr>
              <w:spacing w:before="0" w:after="0" w:line="360" w:lineRule="auto"/>
              <w:rPr>
                <w:lang w:eastAsia="zh-CN"/>
              </w:rPr>
            </w:pPr>
            <w:r>
              <w:t>Proteintech, China, Lot: 00091171</w:t>
            </w:r>
          </w:p>
        </w:tc>
        <w:tc>
          <w:tcPr>
            <w:tcW w:w="1973" w:type="dxa"/>
          </w:tcPr>
          <w:p>
            <w:pPr>
              <w:spacing w:before="0" w:after="0" w:line="360" w:lineRule="auto"/>
              <w:rPr>
                <w:bCs/>
                <w:lang w:eastAsia="zh-CN"/>
              </w:rPr>
            </w:pPr>
            <w:r>
              <w:t>1:1000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bCs/>
              </w:rPr>
            </w:pPr>
            <w:r>
              <w:t>anti-CD206 polyclonal antibodies</w:t>
            </w:r>
          </w:p>
        </w:tc>
        <w:tc>
          <w:tcPr>
            <w:tcW w:w="4238" w:type="dxa"/>
          </w:tcPr>
          <w:p>
            <w:pPr>
              <w:spacing w:before="0" w:after="0" w:line="360" w:lineRule="auto"/>
              <w:rPr>
                <w:lang w:eastAsia="zh-CN"/>
              </w:rPr>
            </w:pPr>
            <w:r>
              <w:t>Proteintech, China, Lot: 00089604</w:t>
            </w:r>
          </w:p>
        </w:tc>
        <w:tc>
          <w:tcPr>
            <w:tcW w:w="1973" w:type="dxa"/>
          </w:tcPr>
          <w:p>
            <w:pPr>
              <w:spacing w:before="0" w:after="0" w:line="360" w:lineRule="auto"/>
              <w:rPr>
                <w:bCs/>
                <w:lang w:eastAsia="zh-CN"/>
              </w:rPr>
            </w:pPr>
            <w:r>
              <w:t>1:1000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bCs/>
              </w:rPr>
            </w:pPr>
            <w:r>
              <w:rPr>
                <w:rFonts w:cs="Times New Roman"/>
                <w:bCs/>
              </w:rPr>
              <w:t>Calcein-acetoxymethyl ester (calcein-AM)</w:t>
            </w:r>
          </w:p>
        </w:tc>
        <w:tc>
          <w:tcPr>
            <w:tcW w:w="4238" w:type="dxa"/>
          </w:tcPr>
          <w:p>
            <w:pPr>
              <w:spacing w:before="0" w:after="0" w:line="360" w:lineRule="auto"/>
              <w:rPr>
                <w:lang w:eastAsia="zh-CN"/>
              </w:rPr>
            </w:pPr>
            <w:r>
              <w:rPr>
                <w:rFonts w:hint="eastAsia"/>
                <w:lang w:eastAsia="zh-CN"/>
              </w:rPr>
              <w:t>Solarbio</w:t>
            </w:r>
            <w:r>
              <w:rPr>
                <w:lang w:eastAsia="zh-CN"/>
              </w:rPr>
              <w:t xml:space="preserve"> </w:t>
            </w:r>
            <w:r>
              <w:rPr>
                <w:rFonts w:hint="eastAsia"/>
                <w:lang w:eastAsia="zh-CN"/>
              </w:rPr>
              <w:t>LIFE</w:t>
            </w:r>
            <w:r>
              <w:rPr>
                <w:lang w:eastAsia="zh-CN"/>
              </w:rPr>
              <w:t xml:space="preserve"> </w:t>
            </w:r>
            <w:r>
              <w:rPr>
                <w:rFonts w:hint="eastAsia"/>
                <w:lang w:eastAsia="zh-CN"/>
              </w:rPr>
              <w:t>SCIENCES</w:t>
            </w:r>
            <w:r>
              <w:rPr>
                <w:lang w:eastAsia="zh-CN"/>
              </w:rPr>
              <w:t>, China, Lot: 20210810</w:t>
            </w:r>
          </w:p>
        </w:tc>
        <w:tc>
          <w:tcPr>
            <w:tcW w:w="1973" w:type="dxa"/>
          </w:tcPr>
          <w:p>
            <w:pPr>
              <w:spacing w:before="0" w:after="0" w:line="360" w:lineRule="auto"/>
              <w:rPr>
                <w:bCs/>
                <w:lang w:eastAsia="zh-CN"/>
              </w:rPr>
            </w:pPr>
            <w:r>
              <w:rPr>
                <w:rFonts w:hint="eastAsia"/>
                <w:bCs/>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bCs/>
              </w:rPr>
            </w:pPr>
            <w:r>
              <w:rPr>
                <w:bCs/>
              </w:rPr>
              <w:t xml:space="preserve">Alexa Fluor 488 AffiniPure goat anti-mouse IgG (H+L) </w:t>
            </w:r>
          </w:p>
        </w:tc>
        <w:tc>
          <w:tcPr>
            <w:tcW w:w="4238" w:type="dxa"/>
          </w:tcPr>
          <w:p>
            <w:pPr>
              <w:spacing w:before="0" w:after="0" w:line="360" w:lineRule="auto"/>
              <w:rPr>
                <w:bCs/>
              </w:rPr>
            </w:pPr>
            <w:r>
              <w:rPr>
                <w:bCs/>
              </w:rPr>
              <w:t>FcMACS, China, Lot: 136908</w:t>
            </w:r>
          </w:p>
        </w:tc>
        <w:tc>
          <w:tcPr>
            <w:tcW w:w="1973" w:type="dxa"/>
          </w:tcPr>
          <w:p>
            <w:pPr>
              <w:spacing w:before="0" w:after="0" w:line="360" w:lineRule="auto"/>
              <w:rPr>
                <w:bCs/>
              </w:rPr>
            </w:pPr>
            <w:r>
              <w:rPr>
                <w:rFonts w:hint="eastAsia"/>
                <w:bCs/>
              </w:rPr>
              <w:t>1</w:t>
            </w:r>
            <w:r>
              <w:rPr>
                <w:bCs/>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Pr>
          <w:p>
            <w:pPr>
              <w:spacing w:before="0" w:after="0" w:line="360" w:lineRule="auto"/>
              <w:rPr>
                <w:bCs/>
              </w:rPr>
            </w:pPr>
            <w:r>
              <w:rPr>
                <w:bCs/>
              </w:rPr>
              <w:t xml:space="preserve">Goat anti-mouse IgG (H+L) CoraLite594 </w:t>
            </w:r>
          </w:p>
        </w:tc>
        <w:tc>
          <w:tcPr>
            <w:tcW w:w="4238" w:type="dxa"/>
          </w:tcPr>
          <w:p>
            <w:pPr>
              <w:spacing w:before="0" w:after="0" w:line="360" w:lineRule="auto"/>
              <w:rPr>
                <w:bCs/>
              </w:rPr>
            </w:pPr>
            <w:r>
              <w:rPr>
                <w:bCs/>
              </w:rPr>
              <w:t>Proteintech, China, Lot: 20000154</w:t>
            </w:r>
          </w:p>
        </w:tc>
        <w:tc>
          <w:tcPr>
            <w:tcW w:w="1973" w:type="dxa"/>
          </w:tcPr>
          <w:p>
            <w:pPr>
              <w:spacing w:before="0" w:after="0" w:line="360" w:lineRule="auto"/>
              <w:rPr>
                <w:bCs/>
              </w:rPr>
            </w:pPr>
            <w:r>
              <w:rPr>
                <w:rFonts w:hint="eastAsia"/>
                <w:bCs/>
              </w:rPr>
              <w:t>1</w:t>
            </w:r>
            <w:r>
              <w:rPr>
                <w:bCs/>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6" w:type="dxa"/>
            <w:tcBorders>
              <w:bottom w:val="single" w:color="auto" w:sz="4" w:space="0"/>
            </w:tcBorders>
          </w:tcPr>
          <w:p>
            <w:pPr>
              <w:spacing w:before="0" w:after="0" w:line="360" w:lineRule="auto"/>
              <w:rPr>
                <w:bCs/>
              </w:rPr>
            </w:pPr>
            <w:r>
              <w:rPr>
                <w:bCs/>
              </w:rPr>
              <w:t xml:space="preserve">Goat anti-rabbit IgG (H+L) R-PE conjugate </w:t>
            </w:r>
          </w:p>
        </w:tc>
        <w:tc>
          <w:tcPr>
            <w:tcW w:w="4238" w:type="dxa"/>
            <w:tcBorders>
              <w:bottom w:val="single" w:color="auto" w:sz="4" w:space="0"/>
            </w:tcBorders>
          </w:tcPr>
          <w:p>
            <w:pPr>
              <w:spacing w:before="0" w:after="0" w:line="360" w:lineRule="auto"/>
              <w:rPr>
                <w:bCs/>
              </w:rPr>
            </w:pPr>
            <w:r>
              <w:rPr>
                <w:bCs/>
              </w:rPr>
              <w:t>Proteintech, China, Lot: 20000129</w:t>
            </w:r>
          </w:p>
        </w:tc>
        <w:tc>
          <w:tcPr>
            <w:tcW w:w="1973" w:type="dxa"/>
            <w:tcBorders>
              <w:bottom w:val="single" w:color="auto" w:sz="4" w:space="0"/>
            </w:tcBorders>
          </w:tcPr>
          <w:p>
            <w:pPr>
              <w:spacing w:before="0" w:after="0" w:line="360" w:lineRule="auto"/>
              <w:rPr>
                <w:bCs/>
              </w:rPr>
            </w:pPr>
            <w:r>
              <w:rPr>
                <w:rFonts w:hint="eastAsia"/>
                <w:bCs/>
              </w:rPr>
              <w:t>1</w:t>
            </w:r>
            <w:r>
              <w:rPr>
                <w:bCs/>
              </w:rPr>
              <w:t>:1000</w:t>
            </w:r>
          </w:p>
        </w:tc>
      </w:tr>
    </w:tbl>
    <w:p>
      <w:pPr>
        <w:pStyle w:val="2"/>
        <w:numPr>
          <w:ilvl w:val="0"/>
          <w:numId w:val="0"/>
        </w:numPr>
      </w:pPr>
      <w:r>
        <w:rPr>
          <w:rFonts w:hint="eastAsia" w:eastAsiaTheme="minorEastAsia"/>
          <w:lang w:eastAsia="zh-CN"/>
        </w:rPr>
        <w:t>M</w:t>
      </w:r>
      <w:r>
        <w:rPr>
          <w:rFonts w:eastAsiaTheme="minorEastAsia"/>
          <w:lang w:eastAsia="zh-CN"/>
        </w:rPr>
        <w:t>ethods</w:t>
      </w:r>
    </w:p>
    <w:p>
      <w:pPr>
        <w:pStyle w:val="4"/>
        <w:numPr>
          <w:ilvl w:val="0"/>
          <w:numId w:val="0"/>
        </w:numPr>
        <w:ind w:left="567" w:hanging="567"/>
      </w:pPr>
      <w:r>
        <w:t xml:space="preserve">DNTTIP2 RNAi </w:t>
      </w:r>
      <w:r>
        <w:rPr>
          <w:rFonts w:hint="eastAsia"/>
        </w:rPr>
        <w:t>and</w:t>
      </w:r>
      <w:r>
        <w:t xml:space="preserve"> overexpression</w:t>
      </w:r>
      <w:r>
        <w:rPr>
          <w:rFonts w:hint="eastAsia"/>
        </w:rPr>
        <w:t xml:space="preserve"> </w:t>
      </w:r>
      <w:r>
        <w:t>preparation</w:t>
      </w:r>
    </w:p>
    <w:p>
      <w:pPr>
        <w:rPr>
          <w:rFonts w:eastAsia="微软雅黑" w:cs="Times New Roman"/>
          <w:b/>
          <w:color w:val="000000"/>
          <w:szCs w:val="24"/>
        </w:rPr>
      </w:pPr>
      <w:r>
        <w:rPr>
          <w:rFonts w:eastAsia="微软雅黑" w:cs="Times New Roman"/>
          <w:b/>
          <w:color w:val="000000"/>
          <w:szCs w:val="24"/>
        </w:rPr>
        <w:t>Gene information:</w:t>
      </w:r>
    </w:p>
    <w:tbl>
      <w:tblPr>
        <w:tblStyle w:val="2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3"/>
        <w:gridCol w:w="5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043" w:type="dxa"/>
            <w:shd w:val="clear" w:color="auto" w:fill="D9D9D9"/>
            <w:vAlign w:val="center"/>
          </w:tcPr>
          <w:p>
            <w:pPr>
              <w:spacing w:beforeLines="50" w:after="120" w:afterLines="50" w:line="0" w:lineRule="atLeast"/>
              <w:jc w:val="center"/>
              <w:rPr>
                <w:rFonts w:eastAsia="微软雅黑" w:cs="Times New Roman"/>
                <w:b/>
                <w:color w:val="000000"/>
                <w:szCs w:val="24"/>
                <w:lang w:eastAsia="zh-CN"/>
              </w:rPr>
            </w:pPr>
            <w:r>
              <w:rPr>
                <w:rFonts w:eastAsia="微软雅黑" w:cs="Times New Roman"/>
                <w:b/>
                <w:color w:val="000000"/>
                <w:szCs w:val="24"/>
                <w:lang w:eastAsia="zh-CN"/>
              </w:rPr>
              <w:t>Gene symbol</w:t>
            </w:r>
          </w:p>
        </w:tc>
        <w:tc>
          <w:tcPr>
            <w:tcW w:w="5029" w:type="dxa"/>
            <w:shd w:val="clear" w:color="auto" w:fill="D9D9D9"/>
          </w:tcPr>
          <w:p>
            <w:pPr>
              <w:spacing w:beforeLines="50" w:after="120" w:afterLines="50" w:line="0" w:lineRule="atLeast"/>
              <w:jc w:val="center"/>
              <w:rPr>
                <w:rFonts w:eastAsia="微软雅黑" w:cs="Times New Roman"/>
                <w:b/>
                <w:color w:val="000000"/>
                <w:szCs w:val="24"/>
              </w:rPr>
            </w:pPr>
            <w:r>
              <w:rPr>
                <w:rFonts w:eastAsia="微软雅黑" w:cs="Times New Roman"/>
                <w:b/>
                <w:color w:val="000000"/>
                <w:szCs w:val="24"/>
              </w:rPr>
              <w:t>GenBank_ID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043" w:type="dxa"/>
            <w:shd w:val="clear" w:color="auto" w:fill="auto"/>
          </w:tcPr>
          <w:p>
            <w:pPr>
              <w:spacing w:beforeLines="50" w:after="120" w:afterLines="50" w:line="0" w:lineRule="atLeast"/>
              <w:jc w:val="center"/>
              <w:rPr>
                <w:rFonts w:eastAsia="微软雅黑" w:cs="Times New Roman"/>
                <w:color w:val="000000"/>
                <w:szCs w:val="24"/>
              </w:rPr>
            </w:pPr>
            <w:r>
              <w:t>DNTTIP2</w:t>
            </w:r>
          </w:p>
        </w:tc>
        <w:tc>
          <w:tcPr>
            <w:tcW w:w="5029" w:type="dxa"/>
          </w:tcPr>
          <w:p>
            <w:pPr>
              <w:spacing w:beforeLines="50" w:after="120" w:afterLines="50" w:line="0" w:lineRule="atLeast"/>
              <w:ind w:firstLine="600" w:firstLineChars="250"/>
              <w:jc w:val="center"/>
              <w:rPr>
                <w:rFonts w:eastAsia="微软雅黑" w:cs="Times New Roman"/>
                <w:color w:val="000000"/>
                <w:szCs w:val="24"/>
              </w:rPr>
            </w:pPr>
            <w:r>
              <w:rPr>
                <w:rFonts w:eastAsia="微软雅黑" w:cs="Times New Roman"/>
                <w:color w:val="000000"/>
                <w:szCs w:val="24"/>
              </w:rPr>
              <w:t>NM_014597</w:t>
            </w:r>
          </w:p>
        </w:tc>
      </w:tr>
    </w:tbl>
    <w:p>
      <w:pPr>
        <w:rPr>
          <w:rFonts w:eastAsia="微软雅黑" w:cs="Times New Roman"/>
          <w:b/>
          <w:color w:val="000000"/>
          <w:szCs w:val="24"/>
        </w:rPr>
      </w:pPr>
      <w:r>
        <w:rPr>
          <w:rFonts w:eastAsia="微软雅黑" w:cs="Times New Roman"/>
          <w:b/>
          <w:color w:val="000000"/>
          <w:szCs w:val="24"/>
        </w:rPr>
        <w:t>Target information:</w:t>
      </w:r>
    </w:p>
    <w:tbl>
      <w:tblPr>
        <w:tblStyle w:val="21"/>
        <w:tblW w:w="7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1"/>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351" w:type="dxa"/>
            <w:shd w:val="clear" w:color="auto" w:fill="D9D9D9"/>
            <w:vAlign w:val="center"/>
          </w:tcPr>
          <w:p>
            <w:pPr>
              <w:spacing w:beforeLines="50" w:after="120" w:afterLines="50" w:line="0" w:lineRule="atLeast"/>
              <w:jc w:val="center"/>
              <w:rPr>
                <w:rFonts w:ascii="微软雅黑" w:hAnsi="微软雅黑" w:eastAsia="微软雅黑"/>
                <w:b/>
                <w:color w:val="000000"/>
                <w:sz w:val="18"/>
                <w:szCs w:val="21"/>
              </w:rPr>
            </w:pPr>
            <w:r>
              <w:rPr>
                <w:rFonts w:hint="eastAsia" w:ascii="微软雅黑" w:hAnsi="微软雅黑" w:eastAsia="微软雅黑"/>
                <w:b/>
                <w:color w:val="000000"/>
                <w:sz w:val="18"/>
                <w:szCs w:val="21"/>
              </w:rPr>
              <w:t>ID</w:t>
            </w:r>
          </w:p>
        </w:tc>
        <w:tc>
          <w:tcPr>
            <w:tcW w:w="4373" w:type="dxa"/>
            <w:shd w:val="clear" w:color="auto" w:fill="D9D9D9"/>
            <w:vAlign w:val="center"/>
          </w:tcPr>
          <w:p>
            <w:pPr>
              <w:spacing w:beforeLines="50" w:after="120" w:afterLines="50" w:line="0" w:lineRule="atLeast"/>
              <w:jc w:val="center"/>
              <w:rPr>
                <w:rFonts w:ascii="微软雅黑" w:hAnsi="微软雅黑" w:eastAsia="微软雅黑"/>
                <w:b/>
                <w:color w:val="000000"/>
                <w:sz w:val="18"/>
                <w:szCs w:val="21"/>
              </w:rPr>
            </w:pPr>
            <w:r>
              <w:rPr>
                <w:rFonts w:eastAsia="微软雅黑" w:cs="Times New Roman"/>
                <w:b/>
                <w:color w:val="000000"/>
                <w:szCs w:val="24"/>
              </w:rPr>
              <w:t>Target Sequence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351" w:type="dxa"/>
          </w:tcPr>
          <w:p>
            <w:pPr>
              <w:spacing w:beforeLines="50" w:after="120" w:afterLines="50" w:line="0" w:lineRule="atLeast"/>
              <w:jc w:val="center"/>
              <w:rPr>
                <w:rFonts w:ascii="微软雅黑" w:hAnsi="微软雅黑" w:eastAsia="微软雅黑"/>
                <w:color w:val="000000"/>
                <w:sz w:val="18"/>
                <w:szCs w:val="21"/>
              </w:rPr>
            </w:pPr>
            <w:r>
              <w:rPr>
                <w:rFonts w:ascii="微软雅黑" w:hAnsi="微软雅黑" w:eastAsia="微软雅黑"/>
                <w:color w:val="000000"/>
                <w:sz w:val="18"/>
                <w:szCs w:val="21"/>
              </w:rPr>
              <w:t>DNTTIP2-RNAi(105940-1)</w:t>
            </w:r>
          </w:p>
        </w:tc>
        <w:tc>
          <w:tcPr>
            <w:tcW w:w="4373" w:type="dxa"/>
            <w:shd w:val="clear" w:color="auto" w:fill="auto"/>
          </w:tcPr>
          <w:p>
            <w:pPr>
              <w:spacing w:beforeLines="50" w:after="120" w:afterLines="50" w:line="0" w:lineRule="atLeast"/>
              <w:jc w:val="center"/>
              <w:rPr>
                <w:rFonts w:ascii="微软雅黑" w:hAnsi="微软雅黑" w:eastAsia="微软雅黑"/>
                <w:color w:val="000000"/>
                <w:sz w:val="18"/>
                <w:szCs w:val="21"/>
              </w:rPr>
            </w:pPr>
            <w:r>
              <w:rPr>
                <w:rFonts w:ascii="微软雅黑" w:hAnsi="微软雅黑" w:eastAsia="微软雅黑"/>
                <w:color w:val="000000"/>
                <w:sz w:val="18"/>
                <w:szCs w:val="21"/>
              </w:rPr>
              <w:t>gcCGAAAGTAACTCCAACAAA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351" w:type="dxa"/>
          </w:tcPr>
          <w:p>
            <w:pPr>
              <w:spacing w:beforeLines="50" w:after="120" w:afterLines="50" w:line="0" w:lineRule="atLeast"/>
              <w:jc w:val="center"/>
              <w:rPr>
                <w:rFonts w:ascii="微软雅黑" w:hAnsi="微软雅黑" w:eastAsia="微软雅黑"/>
                <w:color w:val="000000"/>
                <w:sz w:val="18"/>
                <w:szCs w:val="21"/>
              </w:rPr>
            </w:pPr>
            <w:r>
              <w:rPr>
                <w:rFonts w:ascii="微软雅黑" w:hAnsi="微软雅黑" w:eastAsia="微软雅黑"/>
                <w:color w:val="000000"/>
                <w:sz w:val="18"/>
                <w:szCs w:val="21"/>
              </w:rPr>
              <w:t>DNTTIP2-RNAi(105941-11)</w:t>
            </w:r>
          </w:p>
        </w:tc>
        <w:tc>
          <w:tcPr>
            <w:tcW w:w="4373" w:type="dxa"/>
            <w:shd w:val="clear" w:color="auto" w:fill="auto"/>
          </w:tcPr>
          <w:p>
            <w:pPr>
              <w:spacing w:beforeLines="50" w:after="120" w:afterLines="50" w:line="0" w:lineRule="atLeast"/>
              <w:jc w:val="center"/>
              <w:rPr>
                <w:rFonts w:ascii="微软雅黑" w:hAnsi="微软雅黑" w:eastAsia="微软雅黑"/>
                <w:color w:val="000000"/>
                <w:sz w:val="18"/>
                <w:szCs w:val="21"/>
              </w:rPr>
            </w:pPr>
            <w:r>
              <w:rPr>
                <w:rFonts w:ascii="微软雅黑" w:hAnsi="微软雅黑" w:eastAsia="微软雅黑"/>
                <w:color w:val="000000"/>
                <w:sz w:val="18"/>
                <w:szCs w:val="21"/>
              </w:rPr>
              <w:t>ccTAAATAGCACAAAGGCTAA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351" w:type="dxa"/>
          </w:tcPr>
          <w:p>
            <w:pPr>
              <w:spacing w:beforeLines="50" w:after="120" w:afterLines="50" w:line="0" w:lineRule="atLeast"/>
              <w:jc w:val="center"/>
              <w:rPr>
                <w:rFonts w:ascii="微软雅黑" w:hAnsi="微软雅黑" w:eastAsia="微软雅黑"/>
                <w:color w:val="000000"/>
                <w:sz w:val="18"/>
                <w:szCs w:val="21"/>
              </w:rPr>
            </w:pPr>
            <w:r>
              <w:rPr>
                <w:rFonts w:ascii="微软雅黑" w:hAnsi="微软雅黑" w:eastAsia="微软雅黑"/>
                <w:color w:val="000000"/>
                <w:sz w:val="18"/>
                <w:szCs w:val="21"/>
              </w:rPr>
              <w:t>DNTTIP2-RNAi(105942-1)</w:t>
            </w:r>
          </w:p>
        </w:tc>
        <w:tc>
          <w:tcPr>
            <w:tcW w:w="4373" w:type="dxa"/>
            <w:shd w:val="clear" w:color="auto" w:fill="auto"/>
          </w:tcPr>
          <w:p>
            <w:pPr>
              <w:spacing w:beforeLines="50" w:after="120" w:afterLines="50" w:line="0" w:lineRule="atLeast"/>
              <w:jc w:val="center"/>
              <w:rPr>
                <w:rFonts w:ascii="微软雅黑" w:hAnsi="微软雅黑" w:eastAsia="微软雅黑"/>
                <w:color w:val="000000"/>
                <w:sz w:val="18"/>
                <w:szCs w:val="21"/>
              </w:rPr>
            </w:pPr>
            <w:r>
              <w:rPr>
                <w:rFonts w:ascii="微软雅黑" w:hAnsi="微软雅黑" w:eastAsia="微软雅黑"/>
                <w:color w:val="000000"/>
                <w:sz w:val="18"/>
                <w:szCs w:val="21"/>
              </w:rPr>
              <w:t>gcCAATGTTGAATCTCTTAAA</w:t>
            </w:r>
          </w:p>
        </w:tc>
      </w:tr>
    </w:tbl>
    <w:p>
      <w:pPr>
        <w:rPr>
          <w:rFonts w:eastAsia="微软雅黑" w:cs="Times New Roman"/>
          <w:b/>
          <w:color w:val="000000"/>
          <w:szCs w:val="24"/>
        </w:rPr>
      </w:pPr>
    </w:p>
    <w:p>
      <w:pPr>
        <w:spacing w:beforeLines="50" w:after="120" w:afterLines="50" w:line="0" w:lineRule="atLeast"/>
        <w:rPr>
          <w:rFonts w:eastAsia="微软雅黑" w:cs="Times New Roman"/>
          <w:b/>
          <w:color w:val="000000"/>
          <w:szCs w:val="24"/>
        </w:rPr>
      </w:pPr>
      <w:r>
        <w:rPr>
          <w:rFonts w:hint="eastAsia" w:eastAsia="微软雅黑" w:cs="Times New Roman"/>
          <w:b/>
          <w:color w:val="000000"/>
          <w:szCs w:val="24"/>
        </w:rPr>
        <w:t>shRNA</w:t>
      </w:r>
      <w:r>
        <w:rPr>
          <w:rFonts w:eastAsia="微软雅黑" w:cs="Times New Roman"/>
          <w:b/>
          <w:color w:val="000000"/>
          <w:szCs w:val="24"/>
        </w:rPr>
        <w:t xml:space="preserve"> Sequence</w:t>
      </w:r>
      <w:r>
        <w:rPr>
          <w:rFonts w:hint="eastAsia" w:eastAsia="微软雅黑" w:cs="Times New Roman"/>
          <w:b/>
          <w:color w:val="000000"/>
          <w:szCs w:val="24"/>
        </w:rPr>
        <w:t xml:space="preserve">： </w:t>
      </w:r>
    </w:p>
    <w:tbl>
      <w:tblPr>
        <w:tblStyle w:val="21"/>
        <w:tblW w:w="10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272"/>
        <w:gridCol w:w="2695"/>
        <w:gridCol w:w="1275"/>
        <w:gridCol w:w="2692"/>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shd w:val="clear" w:color="auto" w:fill="D9D9D9"/>
          </w:tcPr>
          <w:p>
            <w:pPr>
              <w:spacing w:beforeLines="50" w:after="120" w:afterLines="50" w:line="0" w:lineRule="atLeast"/>
              <w:jc w:val="center"/>
              <w:rPr>
                <w:rFonts w:ascii="微软雅黑" w:hAnsi="微软雅黑" w:eastAsia="微软雅黑"/>
                <w:b/>
                <w:color w:val="000000"/>
                <w:sz w:val="18"/>
                <w:szCs w:val="21"/>
              </w:rPr>
            </w:pPr>
            <w:r>
              <w:rPr>
                <w:rFonts w:hint="eastAsia" w:ascii="微软雅黑" w:hAnsi="微软雅黑" w:eastAsia="微软雅黑"/>
                <w:b/>
                <w:color w:val="000000"/>
                <w:sz w:val="18"/>
                <w:szCs w:val="21"/>
              </w:rPr>
              <w:t>ID</w:t>
            </w:r>
          </w:p>
        </w:tc>
        <w:tc>
          <w:tcPr>
            <w:tcW w:w="1272" w:type="dxa"/>
            <w:tcBorders>
              <w:top w:val="single" w:color="auto" w:sz="4" w:space="0"/>
              <w:left w:val="single" w:color="auto" w:sz="4" w:space="0"/>
              <w:bottom w:val="single" w:color="auto" w:sz="4" w:space="0"/>
              <w:right w:val="single" w:color="auto" w:sz="4" w:space="0"/>
            </w:tcBorders>
            <w:shd w:val="clear" w:color="auto" w:fill="D9D9D9"/>
          </w:tcPr>
          <w:p>
            <w:pPr>
              <w:spacing w:beforeLines="50" w:after="120" w:afterLines="50" w:line="0" w:lineRule="atLeast"/>
              <w:jc w:val="center"/>
              <w:rPr>
                <w:rFonts w:ascii="微软雅黑" w:hAnsi="微软雅黑" w:eastAsia="微软雅黑"/>
                <w:b/>
                <w:color w:val="000000"/>
                <w:sz w:val="18"/>
                <w:szCs w:val="21"/>
              </w:rPr>
            </w:pPr>
            <w:r>
              <w:rPr>
                <w:rFonts w:ascii="Verdana" w:hAnsi="Verdana" w:eastAsia="微软雅黑"/>
                <w:b/>
                <w:sz w:val="18"/>
              </w:rPr>
              <w:t>5’</w:t>
            </w:r>
          </w:p>
        </w:tc>
        <w:tc>
          <w:tcPr>
            <w:tcW w:w="2695" w:type="dxa"/>
            <w:tcBorders>
              <w:top w:val="single" w:color="auto" w:sz="4" w:space="0"/>
              <w:left w:val="single" w:color="auto" w:sz="4" w:space="0"/>
              <w:bottom w:val="single" w:color="auto" w:sz="4" w:space="0"/>
              <w:right w:val="single" w:color="auto" w:sz="4" w:space="0"/>
            </w:tcBorders>
            <w:shd w:val="clear" w:color="auto" w:fill="D9D9D9"/>
          </w:tcPr>
          <w:p>
            <w:pPr>
              <w:spacing w:beforeLines="50" w:after="120" w:afterLines="50" w:line="0" w:lineRule="atLeast"/>
              <w:jc w:val="center"/>
              <w:rPr>
                <w:rFonts w:ascii="微软雅黑" w:hAnsi="微软雅黑" w:eastAsia="微软雅黑"/>
                <w:b/>
                <w:color w:val="000000"/>
                <w:sz w:val="18"/>
                <w:szCs w:val="21"/>
              </w:rPr>
            </w:pPr>
            <w:r>
              <w:rPr>
                <w:rFonts w:hint="eastAsia" w:ascii="微软雅黑" w:hAnsi="微软雅黑" w:eastAsia="微软雅黑"/>
                <w:b/>
                <w:color w:val="000000"/>
                <w:sz w:val="18"/>
                <w:szCs w:val="21"/>
              </w:rPr>
              <w:t>stem</w:t>
            </w:r>
          </w:p>
        </w:tc>
        <w:tc>
          <w:tcPr>
            <w:tcW w:w="1275" w:type="dxa"/>
            <w:tcBorders>
              <w:top w:val="single" w:color="auto" w:sz="4" w:space="0"/>
              <w:left w:val="single" w:color="auto" w:sz="4" w:space="0"/>
              <w:bottom w:val="single" w:color="auto" w:sz="4" w:space="0"/>
              <w:right w:val="single" w:color="auto" w:sz="4" w:space="0"/>
            </w:tcBorders>
            <w:shd w:val="clear" w:color="auto" w:fill="D9D9D9"/>
          </w:tcPr>
          <w:p>
            <w:pPr>
              <w:spacing w:beforeLines="50" w:after="120" w:afterLines="50" w:line="0" w:lineRule="atLeast"/>
              <w:jc w:val="center"/>
              <w:rPr>
                <w:rFonts w:ascii="微软雅黑" w:hAnsi="微软雅黑" w:eastAsia="微软雅黑"/>
                <w:b/>
                <w:color w:val="000000"/>
                <w:sz w:val="18"/>
                <w:szCs w:val="21"/>
              </w:rPr>
            </w:pPr>
            <w:r>
              <w:rPr>
                <w:rFonts w:hint="eastAsia" w:ascii="微软雅黑" w:hAnsi="微软雅黑" w:eastAsia="微软雅黑"/>
                <w:b/>
                <w:color w:val="000000"/>
                <w:sz w:val="18"/>
                <w:szCs w:val="21"/>
              </w:rPr>
              <w:t>loop</w:t>
            </w:r>
          </w:p>
        </w:tc>
        <w:tc>
          <w:tcPr>
            <w:tcW w:w="2692" w:type="dxa"/>
            <w:tcBorders>
              <w:top w:val="single" w:color="auto" w:sz="4" w:space="0"/>
              <w:left w:val="single" w:color="auto" w:sz="4" w:space="0"/>
              <w:bottom w:val="single" w:color="auto" w:sz="4" w:space="0"/>
              <w:right w:val="single" w:color="auto" w:sz="4" w:space="0"/>
            </w:tcBorders>
            <w:shd w:val="clear" w:color="auto" w:fill="D9D9D9"/>
          </w:tcPr>
          <w:p>
            <w:pPr>
              <w:spacing w:beforeLines="50" w:after="120" w:afterLines="50" w:line="0" w:lineRule="atLeast"/>
              <w:jc w:val="center"/>
              <w:rPr>
                <w:rFonts w:ascii="微软雅黑" w:hAnsi="微软雅黑" w:eastAsia="微软雅黑"/>
                <w:b/>
                <w:color w:val="000000"/>
                <w:sz w:val="18"/>
                <w:szCs w:val="21"/>
              </w:rPr>
            </w:pPr>
            <w:r>
              <w:rPr>
                <w:rFonts w:hint="eastAsia" w:ascii="微软雅黑" w:hAnsi="微软雅黑" w:eastAsia="微软雅黑"/>
                <w:b/>
                <w:color w:val="000000"/>
                <w:sz w:val="18"/>
                <w:szCs w:val="21"/>
              </w:rPr>
              <w:t>stem</w:t>
            </w:r>
          </w:p>
        </w:tc>
        <w:tc>
          <w:tcPr>
            <w:tcW w:w="848" w:type="dxa"/>
            <w:tcBorders>
              <w:top w:val="single" w:color="auto" w:sz="4" w:space="0"/>
              <w:left w:val="single" w:color="auto" w:sz="4" w:space="0"/>
              <w:bottom w:val="single" w:color="auto" w:sz="4" w:space="0"/>
              <w:right w:val="single" w:color="auto" w:sz="4" w:space="0"/>
            </w:tcBorders>
            <w:shd w:val="clear" w:color="auto" w:fill="D9D9D9"/>
          </w:tcPr>
          <w:p>
            <w:pPr>
              <w:spacing w:beforeLines="50" w:after="120" w:afterLines="50" w:line="0" w:lineRule="atLeast"/>
              <w:jc w:val="center"/>
              <w:rPr>
                <w:rFonts w:ascii="微软雅黑" w:hAnsi="微软雅黑" w:eastAsia="微软雅黑"/>
                <w:b/>
                <w:color w:val="000000"/>
                <w:sz w:val="18"/>
                <w:szCs w:val="21"/>
              </w:rPr>
            </w:pPr>
            <w:r>
              <w:rPr>
                <w:rFonts w:ascii="Verdana" w:hAnsi="Verdana" w:eastAsia="微软雅黑"/>
                <w:b/>
                <w:sz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DNTTIP2-RNAi(105940-1)-a</w:t>
            </w:r>
          </w:p>
        </w:tc>
        <w:tc>
          <w:tcPr>
            <w:tcW w:w="127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Ccgg</w:t>
            </w:r>
          </w:p>
        </w:tc>
        <w:tc>
          <w:tcPr>
            <w:tcW w:w="269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gcCGAAAGTAACTCCAACAAA</w:t>
            </w:r>
          </w:p>
        </w:tc>
        <w:tc>
          <w:tcPr>
            <w:tcW w:w="127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CTCGAG</w:t>
            </w:r>
          </w:p>
        </w:tc>
        <w:tc>
          <w:tcPr>
            <w:tcW w:w="269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TTTGTTGGAGTTACTTTCGGC</w:t>
            </w:r>
          </w:p>
        </w:tc>
        <w:tc>
          <w:tcPr>
            <w:tcW w:w="848"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TTTTTg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DNTTIP2-RNAi(105940-1)-b</w:t>
            </w:r>
          </w:p>
        </w:tc>
        <w:tc>
          <w:tcPr>
            <w:tcW w:w="127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aattcaaaaa</w:t>
            </w:r>
          </w:p>
        </w:tc>
        <w:tc>
          <w:tcPr>
            <w:tcW w:w="269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gcCGAAAGTAACTCCAACAAA</w:t>
            </w:r>
          </w:p>
        </w:tc>
        <w:tc>
          <w:tcPr>
            <w:tcW w:w="127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CTCGAG</w:t>
            </w:r>
          </w:p>
        </w:tc>
        <w:tc>
          <w:tcPr>
            <w:tcW w:w="269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TTTGTTGGAGTTACTTTCGGC</w:t>
            </w:r>
          </w:p>
        </w:tc>
        <w:tc>
          <w:tcPr>
            <w:tcW w:w="848"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DNTTIP2-RNAi(105941-11)-a</w:t>
            </w:r>
          </w:p>
        </w:tc>
        <w:tc>
          <w:tcPr>
            <w:tcW w:w="127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Ccgg</w:t>
            </w:r>
          </w:p>
        </w:tc>
        <w:tc>
          <w:tcPr>
            <w:tcW w:w="269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ccTAAATAGCACAAAGGCTAA</w:t>
            </w:r>
          </w:p>
        </w:tc>
        <w:tc>
          <w:tcPr>
            <w:tcW w:w="127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CTCGAG</w:t>
            </w:r>
          </w:p>
        </w:tc>
        <w:tc>
          <w:tcPr>
            <w:tcW w:w="269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TTAGCCTTTGTGCTATTTAGG</w:t>
            </w:r>
          </w:p>
        </w:tc>
        <w:tc>
          <w:tcPr>
            <w:tcW w:w="848"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TTTTTg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DNTTIP2-RNAi(105941-11)-b</w:t>
            </w:r>
          </w:p>
        </w:tc>
        <w:tc>
          <w:tcPr>
            <w:tcW w:w="127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aattcaaaaa</w:t>
            </w:r>
          </w:p>
        </w:tc>
        <w:tc>
          <w:tcPr>
            <w:tcW w:w="269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ccTAAATAGCACAAAGGCTAA</w:t>
            </w:r>
          </w:p>
        </w:tc>
        <w:tc>
          <w:tcPr>
            <w:tcW w:w="127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CTCGAG</w:t>
            </w:r>
          </w:p>
        </w:tc>
        <w:tc>
          <w:tcPr>
            <w:tcW w:w="269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TTAGCCTTTGTGCTATTTAGG</w:t>
            </w:r>
          </w:p>
        </w:tc>
        <w:tc>
          <w:tcPr>
            <w:tcW w:w="848"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DNTTIP2-RNAi(105942-1)-a</w:t>
            </w:r>
          </w:p>
        </w:tc>
        <w:tc>
          <w:tcPr>
            <w:tcW w:w="127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Ccgg</w:t>
            </w:r>
          </w:p>
        </w:tc>
        <w:tc>
          <w:tcPr>
            <w:tcW w:w="269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gcCAATGTTGAATCTCTTAAA</w:t>
            </w:r>
          </w:p>
        </w:tc>
        <w:tc>
          <w:tcPr>
            <w:tcW w:w="127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CTCGAG</w:t>
            </w:r>
          </w:p>
        </w:tc>
        <w:tc>
          <w:tcPr>
            <w:tcW w:w="269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TTTAAGAGATTCAACATTGGC</w:t>
            </w:r>
          </w:p>
        </w:tc>
        <w:tc>
          <w:tcPr>
            <w:tcW w:w="848"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TTTTTg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DNTTIP2-RNAi(105942-1)-b</w:t>
            </w:r>
          </w:p>
        </w:tc>
        <w:tc>
          <w:tcPr>
            <w:tcW w:w="127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aattcaaaaa</w:t>
            </w:r>
          </w:p>
        </w:tc>
        <w:tc>
          <w:tcPr>
            <w:tcW w:w="269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gcCAATGTTGAATCTCTTAAA</w:t>
            </w:r>
          </w:p>
        </w:tc>
        <w:tc>
          <w:tcPr>
            <w:tcW w:w="1275"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CTCGAG</w:t>
            </w:r>
          </w:p>
        </w:tc>
        <w:tc>
          <w:tcPr>
            <w:tcW w:w="2692"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r>
              <w:rPr>
                <w:rFonts w:ascii="微软雅黑" w:hAnsi="微软雅黑" w:eastAsia="微软雅黑"/>
                <w:sz w:val="18"/>
                <w:szCs w:val="21"/>
              </w:rPr>
              <w:t>TTTAAGAGATTCAACATTGGC</w:t>
            </w:r>
          </w:p>
        </w:tc>
        <w:tc>
          <w:tcPr>
            <w:tcW w:w="848" w:type="dxa"/>
            <w:tcBorders>
              <w:top w:val="single" w:color="auto" w:sz="4" w:space="0"/>
              <w:left w:val="single" w:color="auto" w:sz="4" w:space="0"/>
              <w:bottom w:val="single" w:color="auto" w:sz="4" w:space="0"/>
              <w:right w:val="single" w:color="auto" w:sz="4" w:space="0"/>
            </w:tcBorders>
          </w:tcPr>
          <w:p>
            <w:pPr>
              <w:spacing w:beforeLines="50" w:after="120" w:afterLines="50" w:line="0" w:lineRule="atLeast"/>
              <w:jc w:val="center"/>
              <w:rPr>
                <w:rFonts w:ascii="微软雅黑" w:hAnsi="微软雅黑" w:eastAsia="微软雅黑"/>
                <w:sz w:val="18"/>
                <w:szCs w:val="21"/>
              </w:rPr>
            </w:pPr>
          </w:p>
        </w:tc>
      </w:tr>
    </w:tbl>
    <w:p>
      <w:pPr>
        <w:spacing w:beforeLines="50" w:after="120" w:afterLines="50" w:line="0" w:lineRule="atLeast"/>
        <w:rPr>
          <w:rFonts w:eastAsia="微软雅黑" w:cs="Times New Roman"/>
          <w:b/>
          <w:color w:val="000000"/>
          <w:szCs w:val="24"/>
        </w:rPr>
      </w:pPr>
    </w:p>
    <w:p>
      <w:pPr>
        <w:spacing w:line="400" w:lineRule="exact"/>
        <w:ind w:left="485" w:leftChars="202" w:firstLine="2"/>
        <w:rPr>
          <w:rFonts w:eastAsia="微软雅黑" w:cs="Times New Roman"/>
          <w:b/>
          <w:color w:val="000000"/>
          <w:szCs w:val="24"/>
        </w:rPr>
      </w:pPr>
      <w:bookmarkStart w:id="4" w:name="_Hlk86860023"/>
      <w:r>
        <w:rPr>
          <w:rFonts w:eastAsia="微软雅黑" w:cs="Times New Roman"/>
          <w:b/>
          <w:color w:val="000000"/>
          <w:szCs w:val="24"/>
        </w:rPr>
        <w:t>Plasmid name</w:t>
      </w:r>
      <w:bookmarkEnd w:id="4"/>
      <w:r>
        <w:rPr>
          <w:rFonts w:eastAsia="微软雅黑" w:cs="Times New Roman"/>
          <w:b/>
          <w:color w:val="000000"/>
          <w:szCs w:val="24"/>
        </w:rPr>
        <w:t> ：</w:t>
      </w:r>
      <w:r>
        <w:rPr>
          <w:rFonts w:eastAsia="微软雅黑" w:cs="Times New Roman"/>
          <w:color w:val="000000"/>
          <w:szCs w:val="24"/>
        </w:rPr>
        <w:t>GV493</w:t>
      </w:r>
    </w:p>
    <w:p>
      <w:pPr>
        <w:spacing w:line="400" w:lineRule="exact"/>
        <w:ind w:left="485" w:leftChars="202" w:firstLine="2"/>
        <w:rPr>
          <w:rFonts w:eastAsia="微软雅黑" w:cs="Times New Roman"/>
          <w:bCs/>
          <w:color w:val="000000"/>
          <w:szCs w:val="24"/>
        </w:rPr>
      </w:pPr>
      <w:r>
        <w:rPr>
          <w:rFonts w:eastAsia="微软雅黑" w:cs="Times New Roman"/>
          <w:b/>
          <w:color w:val="000000"/>
          <w:szCs w:val="24"/>
        </w:rPr>
        <w:t>Element’s order：</w:t>
      </w:r>
      <w:r>
        <w:rPr>
          <w:rFonts w:eastAsia="微软雅黑" w:cs="Times New Roman"/>
          <w:bCs/>
          <w:color w:val="000000"/>
          <w:szCs w:val="24"/>
        </w:rPr>
        <w:t>hU6-MCS-CBh-gcGFP-IRES-puromycin</w:t>
      </w:r>
    </w:p>
    <w:p>
      <w:pPr>
        <w:spacing w:line="400" w:lineRule="exact"/>
        <w:ind w:left="485" w:leftChars="202" w:firstLine="2"/>
        <w:rPr>
          <w:rFonts w:eastAsia="微软雅黑" w:cs="Times New Roman"/>
          <w:color w:val="000000"/>
          <w:szCs w:val="24"/>
        </w:rPr>
      </w:pPr>
      <w:r>
        <w:rPr>
          <w:rFonts w:eastAsia="微软雅黑" w:cs="Times New Roman"/>
          <w:b/>
          <w:color w:val="000000"/>
          <w:szCs w:val="24"/>
        </w:rPr>
        <w:t>Negative control number：</w:t>
      </w:r>
      <w:r>
        <w:rPr>
          <w:rFonts w:eastAsia="微软雅黑" w:cs="Times New Roman"/>
          <w:color w:val="000000"/>
          <w:szCs w:val="24"/>
        </w:rPr>
        <w:t>CON313</w:t>
      </w:r>
    </w:p>
    <w:p>
      <w:pPr>
        <w:spacing w:line="400" w:lineRule="exact"/>
        <w:ind w:left="485" w:leftChars="202" w:firstLine="2"/>
        <w:rPr>
          <w:rFonts w:eastAsia="微软雅黑"/>
          <w:b/>
          <w:color w:val="000000"/>
          <w:sz w:val="20"/>
          <w:szCs w:val="21"/>
        </w:rPr>
      </w:pPr>
      <w:r>
        <w:rPr>
          <w:rFonts w:hint="eastAsia" w:ascii="微软雅黑" w:hAnsi="微软雅黑" w:eastAsia="微软雅黑" w:cs="Times New Roman"/>
          <w:b/>
          <w:bCs/>
          <w:sz w:val="20"/>
          <w:szCs w:val="21"/>
        </w:rPr>
        <w:drawing>
          <wp:anchor distT="0" distB="0" distL="114300" distR="114300" simplePos="0" relativeHeight="251660288" behindDoc="0" locked="0" layoutInCell="1" allowOverlap="1">
            <wp:simplePos x="0" y="0"/>
            <wp:positionH relativeFrom="column">
              <wp:posOffset>309245</wp:posOffset>
            </wp:positionH>
            <wp:positionV relativeFrom="paragraph">
              <wp:posOffset>582295</wp:posOffset>
            </wp:positionV>
            <wp:extent cx="3482975" cy="2719070"/>
            <wp:effectExtent l="0" t="0" r="3175" b="508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srcRect/>
                    <a:stretch>
                      <a:fillRect/>
                    </a:stretch>
                  </pic:blipFill>
                  <pic:spPr>
                    <a:xfrm>
                      <a:off x="0" y="0"/>
                      <a:ext cx="3482975" cy="2719070"/>
                    </a:xfrm>
                    <a:prstGeom prst="rect">
                      <a:avLst/>
                    </a:prstGeom>
                    <a:noFill/>
                    <a:ln>
                      <a:noFill/>
                    </a:ln>
                  </pic:spPr>
                </pic:pic>
              </a:graphicData>
            </a:graphic>
          </wp:anchor>
        </w:drawing>
      </w:r>
      <w:r>
        <w:rPr>
          <w:rFonts w:eastAsia="微软雅黑" w:cs="Times New Roman"/>
          <w:b/>
          <w:color w:val="000000"/>
          <w:szCs w:val="24"/>
        </w:rPr>
        <w:t>Negative control insert sequence：</w:t>
      </w:r>
      <w:r>
        <w:rPr>
          <w:rFonts w:eastAsia="微软雅黑"/>
          <w:color w:val="000000"/>
          <w:sz w:val="20"/>
          <w:szCs w:val="21"/>
        </w:rPr>
        <w:t>TTCTCCGAACGTGTCACGT</w:t>
      </w:r>
    </w:p>
    <w:p>
      <w:pPr>
        <w:spacing w:line="400" w:lineRule="exact"/>
        <w:ind w:left="485" w:leftChars="202" w:firstLine="2"/>
        <w:rPr>
          <w:rFonts w:eastAsia="微软雅黑" w:cs="Times New Roman"/>
          <w:b/>
          <w:color w:val="000000"/>
          <w:szCs w:val="24"/>
        </w:rPr>
      </w:pPr>
    </w:p>
    <w:p>
      <w:pPr>
        <w:spacing w:line="400" w:lineRule="exact"/>
        <w:ind w:left="485" w:leftChars="202" w:firstLine="2"/>
        <w:rPr>
          <w:rFonts w:eastAsia="微软雅黑" w:cs="Times New Roman"/>
          <w:b/>
          <w:color w:val="000000"/>
          <w:szCs w:val="24"/>
        </w:rPr>
      </w:pPr>
    </w:p>
    <w:p>
      <w:pPr>
        <w:spacing w:line="400" w:lineRule="exact"/>
        <w:ind w:left="485" w:leftChars="202" w:firstLine="2"/>
        <w:rPr>
          <w:rFonts w:eastAsia="微软雅黑" w:cs="Times New Roman"/>
          <w:b/>
          <w:color w:val="000000"/>
          <w:szCs w:val="24"/>
        </w:rPr>
      </w:pPr>
    </w:p>
    <w:p>
      <w:pPr>
        <w:jc w:val="center"/>
      </w:pPr>
    </w:p>
    <w:p>
      <w:pPr>
        <w:widowControl w:val="0"/>
        <w:spacing w:before="0" w:after="0" w:line="360" w:lineRule="auto"/>
        <w:rPr>
          <w:rFonts w:eastAsia="微软雅黑" w:cs="Times New Roman"/>
          <w:b/>
          <w:szCs w:val="24"/>
        </w:rPr>
      </w:pPr>
      <w:r>
        <w:rPr>
          <w:rFonts w:eastAsia="微软雅黑" w:cs="Times New Roman"/>
          <w:b/>
          <w:szCs w:val="24"/>
        </w:rPr>
        <w:t xml:space="preserve">Overexpression </w:t>
      </w:r>
      <w:r>
        <w:rPr>
          <w:rFonts w:eastAsia="微软雅黑" w:cs="Times New Roman"/>
          <w:b/>
          <w:color w:val="000000"/>
          <w:szCs w:val="24"/>
        </w:rPr>
        <w:t>Plasmid</w:t>
      </w:r>
      <w:r>
        <w:rPr>
          <w:rFonts w:eastAsia="微软雅黑" w:cs="Times New Roman"/>
          <w:b/>
          <w:szCs w:val="24"/>
        </w:rPr>
        <w:t xml:space="preserve"> </w:t>
      </w:r>
      <w:r>
        <w:rPr>
          <w:rFonts w:eastAsia="微软雅黑" w:cs="Times New Roman"/>
          <w:b/>
          <w:color w:val="000000"/>
          <w:szCs w:val="24"/>
        </w:rPr>
        <w:t>information</w:t>
      </w:r>
      <w:r>
        <w:rPr>
          <w:rFonts w:eastAsia="微软雅黑" w:cs="Times New Roman"/>
          <w:b/>
          <w:szCs w:val="24"/>
        </w:rPr>
        <w:t xml:space="preserve">： </w:t>
      </w:r>
    </w:p>
    <w:p>
      <w:pPr>
        <w:rPr>
          <w:rStyle w:val="56"/>
          <w:rFonts w:eastAsia="微软雅黑" w:cs="Times New Roman"/>
          <w:b w:val="0"/>
          <w:sz w:val="24"/>
          <w:szCs w:val="24"/>
        </w:rPr>
      </w:pPr>
      <w:r>
        <w:rPr>
          <w:rFonts w:cs="Times New Roman"/>
          <w:b/>
          <w:color w:val="000000"/>
          <w:szCs w:val="24"/>
        </w:rPr>
        <w:t>Plasmid name：</w:t>
      </w:r>
      <w:r>
        <w:rPr>
          <w:rStyle w:val="56"/>
          <w:rFonts w:eastAsia="微软雅黑" w:cs="Times New Roman"/>
          <w:b w:val="0"/>
          <w:color w:val="000000"/>
          <w:sz w:val="24"/>
          <w:szCs w:val="24"/>
        </w:rPr>
        <w:t>GV657</w:t>
      </w:r>
    </w:p>
    <w:p>
      <w:pPr>
        <w:pStyle w:val="11"/>
        <w:spacing w:line="360" w:lineRule="auto"/>
        <w:jc w:val="left"/>
        <w:rPr>
          <w:rStyle w:val="56"/>
          <w:rFonts w:ascii="Times New Roman" w:hAnsi="Times New Roman"/>
          <w:b w:val="0"/>
          <w:bCs w:val="0"/>
          <w:sz w:val="24"/>
          <w:szCs w:val="24"/>
          <w:lang w:val="en-US"/>
        </w:rPr>
      </w:pPr>
      <w:r>
        <w:rPr>
          <w:rFonts w:ascii="Times New Roman" w:hAnsi="Times New Roman" w:eastAsia="微软雅黑"/>
          <w:b/>
          <w:sz w:val="24"/>
          <w:szCs w:val="24"/>
        </w:rPr>
        <w:t xml:space="preserve">Element’s </w:t>
      </w:r>
      <w:r>
        <w:rPr>
          <w:rFonts w:ascii="Times New Roman" w:hAnsi="Times New Roman" w:eastAsia="微软雅黑"/>
          <w:b/>
          <w:sz w:val="24"/>
          <w:szCs w:val="24"/>
          <w:lang w:eastAsia="en-US"/>
        </w:rPr>
        <w:t>order</w:t>
      </w:r>
      <w:r>
        <w:rPr>
          <w:rStyle w:val="56"/>
          <w:rFonts w:hint="eastAsia" w:ascii="微软雅黑" w:hAnsi="微软雅黑" w:eastAsia="微软雅黑"/>
          <w:b w:val="0"/>
          <w:sz w:val="20"/>
          <w:szCs w:val="21"/>
        </w:rPr>
        <w:t>：</w:t>
      </w:r>
      <w:r>
        <w:rPr>
          <w:rStyle w:val="56"/>
          <w:rFonts w:ascii="Times New Roman" w:hAnsi="Times New Roman"/>
          <w:b w:val="0"/>
          <w:bCs w:val="0"/>
          <w:sz w:val="24"/>
          <w:szCs w:val="24"/>
        </w:rPr>
        <w:t>CMV enhancer-MCS-3flag-polyA-EF1A-zsGreen-sv40-puromycin</w:t>
      </w:r>
    </w:p>
    <w:p>
      <w:pPr>
        <w:rPr>
          <w:rStyle w:val="56"/>
          <w:rFonts w:eastAsia="宋体" w:cs="Times New Roman"/>
          <w:b w:val="0"/>
          <w:bCs w:val="0"/>
          <w:color w:val="000000"/>
          <w:sz w:val="24"/>
          <w:szCs w:val="24"/>
        </w:rPr>
      </w:pPr>
      <w:r>
        <w:rPr>
          <w:rFonts w:cs="Times New Roman"/>
          <w:b/>
          <w:color w:val="000000"/>
          <w:szCs w:val="24"/>
        </w:rPr>
        <w:t>The cloning site</w:t>
      </w:r>
      <w:r>
        <w:rPr>
          <w:rFonts w:hint="eastAsia" w:cs="Times New Roman"/>
          <w:b/>
          <w:color w:val="000000"/>
          <w:szCs w:val="24"/>
          <w:lang w:eastAsia="zh-CN"/>
        </w:rPr>
        <w:t>:</w:t>
      </w:r>
      <w:r>
        <w:rPr>
          <w:rFonts w:cs="Times New Roman"/>
          <w:b/>
          <w:color w:val="000000"/>
          <w:szCs w:val="24"/>
          <w:lang w:eastAsia="zh-CN"/>
        </w:rPr>
        <w:t xml:space="preserve"> </w:t>
      </w:r>
      <w:r>
        <w:rPr>
          <w:rStyle w:val="56"/>
          <w:rFonts w:eastAsia="宋体" w:cs="Times New Roman"/>
          <w:b w:val="0"/>
          <w:bCs w:val="0"/>
          <w:color w:val="000000"/>
          <w:sz w:val="24"/>
          <w:szCs w:val="24"/>
        </w:rPr>
        <w:t>BamHI / KpnI</w:t>
      </w:r>
    </w:p>
    <w:p>
      <w:pPr>
        <w:rPr>
          <w:rFonts w:eastAsia="微软雅黑"/>
          <w:color w:val="000000"/>
          <w:sz w:val="20"/>
          <w:szCs w:val="21"/>
        </w:rPr>
      </w:pPr>
      <w:r>
        <w:rPr>
          <w:rFonts w:cs="Times New Roman"/>
          <w:b/>
          <w:color w:val="000000"/>
          <w:szCs w:val="24"/>
        </w:rPr>
        <w:t>Control number</w:t>
      </w:r>
      <w:r>
        <w:rPr>
          <w:rFonts w:hint="eastAsia" w:cs="Times New Roman"/>
          <w:b/>
          <w:color w:val="000000"/>
          <w:szCs w:val="24"/>
        </w:rPr>
        <w:t>：</w:t>
      </w:r>
      <w:r>
        <w:rPr>
          <w:rFonts w:eastAsia="微软雅黑"/>
          <w:color w:val="000000"/>
          <w:sz w:val="20"/>
          <w:szCs w:val="21"/>
        </w:rPr>
        <w:t>CON468</w:t>
      </w:r>
    </w:p>
    <w:p>
      <w:pPr>
        <w:rPr>
          <w:rFonts w:cs="Times New Roman"/>
          <w:b/>
          <w:color w:val="000000"/>
          <w:szCs w:val="24"/>
        </w:rPr>
      </w:pPr>
      <w:r>
        <w:rPr>
          <w:rFonts w:cs="Times New Roman"/>
          <w:b/>
          <w:color w:val="000000"/>
          <w:szCs w:val="24"/>
        </w:rPr>
        <w:t>The positive clones sequencing results were analyzed</w:t>
      </w:r>
    </w:p>
    <w:p>
      <w:pPr>
        <w:tabs>
          <w:tab w:val="left" w:pos="3126"/>
        </w:tabs>
        <w:rPr>
          <w:rFonts w:cs="Times New Roman"/>
          <w:b/>
          <w:color w:val="000000"/>
          <w:szCs w:val="24"/>
        </w:rPr>
      </w:pPr>
      <w:r>
        <w:rPr>
          <w:rFonts w:cs="Times New Roman"/>
          <w:b/>
          <w:color w:val="000000"/>
          <w:szCs w:val="24"/>
        </w:rPr>
        <w:t>The comparison results were shown as follows</w:t>
      </w:r>
      <w:r>
        <w:rPr>
          <w:rFonts w:hint="eastAsia" w:cs="Times New Roman"/>
          <w:b/>
          <w:color w:val="000000"/>
          <w:szCs w:val="24"/>
        </w:rPr>
        <w:t>：</w:t>
      </w:r>
    </w:p>
    <w:p>
      <w:r>
        <w:t>TGCAGAATTCCACCACACTGGACTAGT</w:t>
      </w:r>
      <w:r>
        <w:rPr>
          <w:u w:val="single"/>
        </w:rPr>
        <w:t>GGATCC</w:t>
      </w:r>
      <w:r>
        <w:t>CGCCACC</w:t>
      </w:r>
      <w:r>
        <w:rPr>
          <w:color w:val="FF0000"/>
        </w:rPr>
        <w:t>ATGGTGGTTACCAGATCTGCACGGGCTAAGGCCAGCATCCAAGCCGCGTCGGCTGAAAGTTCCGGGCAAAAGAGTTTTGCTGCTAATGGGATTCAAGCGCATCCAGAAAGTAGTACTGGATCTGATGCCCGAACTACTGCTGAATCACAGACCACTGGGAAGCAAAGTTTAATCCCTAGAACTCCTAAAGCTAGAAAGAGGAAGAGCAGAACTACAGGCTCACTACCAAAGGGGACTGAACCATCTACGGATGGAGAAACCTCTGAGGCAGAGTCAAATTATTCTGTGTCTGAGCACCATGATACCATTTTAAGGGTAACTAGGAGAAGGCAGATCTTAATTGCATGCTCCCCAGTGTCCAGTGTTAGGAAAAAGCCGAAAGTAACTCCAACAAAGGAGTCTTACACTGAAGAAATAGTGTCTGAAGCAGAATCTCATGTTTCAGGTATTTCTAGAATTGTGCTTCCTACAGAAAAAACTACAGGAGCCAGAAGAAGTAAGGCTAAATCTCTGACAGATCCAAGCCAAGAATCTCATACAGAAGCTATATCTGATGCTGAGACATCAAGCTCAGACATTTCATTCTCTGGAATTGCAACTAGAAGAACCAGGAGTATGCAGAGGAAATTAAAGGCACAAACTGAAAAGAAAGATAGTAAGATTGTACCAGGAAATGAGAAACAGATCGTGGGTACACCTGTGAATTCAGAGGATTCAGATACCAGACAAACTTCCCATTTACAAGCAAGATCTCTTTCTGAGATAAATAAGCCAAATTTCTATAATAATGACTTTGATGATGATTTCTCCCACAGAAGTTCAGAAAATATATTAACAGTGCACGAACAGGCCAATGTTGAATCTCTTAAAGAAACAAAACAGAATTGTAAGGATTTGGATGAAGATGCCAATGGAATAACAGATGAGGGGAAAGAAATTAATGAGAAAAGTTCTCAGCTGAAGAATCTTTCTGAACTTCAGGACACTAGCCTTCAACAGTTAGTTTCTCAGAGACATTCAACCCCCCAAAATAAAAATGCTGTATCAGTGCACTCTAATCTGAACTCTGAGGCTGTAATGAAATCATTAACTCAAACATTTGCAACTGTGGAAGTAGGCAGATGGAATAACAACAAAAAGAGCCCCATAAAAGCAAGTGACTTGACAAAGTTTGGTGATTGTGGTGGTAGTGATGATGAAGAAGAGTCCACAGTTATAAGTGTCAGTGAAGACATGAACAGTGAAGGGAATGTAGATTTTGAATGTGATACCAAACTATACACGTCTGCGCCCAACACATCTCAGGGTAAAGATAATTCTGTCTTACTAGTTCTCAGCAGTGATGAAAGCCAACAGTCTGAAAACAGTGAGAATGAAGAGGATACTTTATGTTTTGTTGAAAATAGTGGCCAAAGGGAGTCATTAAGTGGAGACACAGGAAGTCTGTCATGTGACAATGCATTGTTTGTAATTGACACAACTCCTGGAATGAGTGCTGATAAAAATTTTTACTTGGAAGAGGAAGACAAGGCAAGTGAGGTTGCCATTGAGGAAGAAAAAGAAGAGGAAGAGGATGAAAAAAGTGAAGAAGATTCATCAGACCATGACGAAAATGAAGATGAGTTTAGTGATGAAGAAGACTTCCTAAATAGCACAAAGGCTAAACTTCTGAAGTTGACAAGCAGCAGCATAGACCCTGGTCTGAGTATCAAGCAGTTGGGTGGTTTGTATATTAATTTTAATGCAGATAAACTACAGTCTAACAAGAGAACCCTAACACAGATCAAGGAGAAAAAGAAAAATGAGCTTCTGCAGAAAGCCGTCATTACACCTGATTTTGAAAAAAACCACTGTGTTCCACCATATAGTGAATCAAAGTATCAACTTCAGAAAAAACGCAGAAAAGAACGACAAAAAACAGCAGGGGATGGCTGGTTTGGTATGAAAGCTCCAGAAATGACAAATGAACTGAAAAATGATCTCAAAGCACTGAAGATGAGAGCCAGCATGGACCCGAAAAGATTTTACAAGAAAAATGATAGAGATGGCTTCCCCAAGTACTTCCAGATTGGAACCATTGTTGACAATCCAGCTGATTTCTACCATTCACGAATTCCCAAGAAGCAAAGGAAAAGAACTATTGTGGAAGAACTGCTGGCTGATTCTGAATTCAGAAGATACAACCGAAGGAAGTACTCAGAGATCATGGCTGAAAAAGCAGCAAATGCAGCAGGAAAAAAGTTCCGAAAGAAGAAGAAATTTCGCAAT</w:t>
      </w:r>
      <w:r>
        <w:t>TC</w:t>
      </w:r>
      <w:r>
        <w:rPr>
          <w:u w:val="single"/>
        </w:rPr>
        <w:t>GGTACC</w:t>
      </w:r>
      <w:r>
        <w:t>AAGCTTAAGTGACTACAAGGATGACGATGACAAGGATTACAAAGACGACGATGATAAGGACTATAAGGATGATGACGACAAATCTAGATAGTTAATTAAACCGGTAATAAAATATCTTTATTTTCATTACATCTGTGTGTTGGTTTTTTGTGTGAATCGATAGTACTAACATACGCTCTCCATCAAAACAAAACGAAACAAAACAAACTAGCAAAATAGGCTGTCCCCAGTGCAAGT</w:t>
      </w:r>
    </w:p>
    <w:p/>
    <w:p>
      <w:pPr>
        <w:tabs>
          <w:tab w:val="left" w:pos="567"/>
        </w:tabs>
        <w:spacing w:before="240" w:after="200"/>
        <w:ind w:left="567" w:hanging="567"/>
        <w:outlineLvl w:val="1"/>
        <w:rPr>
          <w:rFonts w:eastAsia="Cambria" w:cs="Times New Roman"/>
          <w:b/>
          <w:bCs/>
          <w:szCs w:val="24"/>
        </w:rPr>
      </w:pPr>
      <w:r>
        <w:rPr>
          <w:rFonts w:eastAsia="Cambria" w:cs="Times New Roman"/>
          <w:b/>
          <w:bCs/>
          <w:szCs w:val="24"/>
        </w:rPr>
        <w:t>Colony-formation assay</w:t>
      </w:r>
    </w:p>
    <w:p>
      <w:pPr>
        <w:spacing w:line="360" w:lineRule="auto"/>
        <w:rPr>
          <w:rFonts w:cs="Times New Roman"/>
          <w:bCs/>
        </w:rPr>
      </w:pPr>
      <w:r>
        <w:rPr>
          <w:rFonts w:cs="Times New Roman"/>
          <w:bCs/>
        </w:rPr>
        <w:t xml:space="preserve">Five hundred cells were seeded in a 6-well plate and cultured for about 14 days. Colonies (&gt;5 cells per colony) were stained with 0.5% crystal violet at room temperature (20-25°C) for 10 min and </w:t>
      </w:r>
      <w:r>
        <w:rPr>
          <w:rFonts w:hint="eastAsia" w:cs="Times New Roman"/>
          <w:bCs/>
          <w:lang w:eastAsia="zh-CN"/>
        </w:rPr>
        <w:t>c</w:t>
      </w:r>
      <w:r>
        <w:rPr>
          <w:rFonts w:cs="Times New Roman"/>
          <w:bCs/>
        </w:rPr>
        <w:t>olony numbers were determined under compound light microscopy (Olympus BX53, Japan).</w:t>
      </w:r>
      <w:r>
        <w:t xml:space="preserve"> </w:t>
      </w:r>
    </w:p>
    <w:p>
      <w:pPr>
        <w:numPr>
          <w:ilvl w:val="1"/>
          <w:numId w:val="0"/>
        </w:numPr>
        <w:tabs>
          <w:tab w:val="left" w:pos="567"/>
        </w:tabs>
        <w:spacing w:before="240" w:after="200"/>
        <w:ind w:left="567" w:hanging="567"/>
        <w:outlineLvl w:val="1"/>
        <w:rPr>
          <w:rFonts w:eastAsia="Cambria" w:cs="Times New Roman"/>
          <w:b/>
          <w:szCs w:val="24"/>
        </w:rPr>
      </w:pPr>
      <w:r>
        <w:rPr>
          <w:rFonts w:eastAsia="Cambria" w:cs="Times New Roman"/>
          <w:b/>
          <w:szCs w:val="24"/>
        </w:rPr>
        <w:t>Wound healing assay</w:t>
      </w:r>
    </w:p>
    <w:p>
      <w:pPr>
        <w:spacing w:line="360" w:lineRule="auto"/>
        <w:rPr>
          <w:rFonts w:cs="Times New Roman"/>
          <w:bCs/>
        </w:rPr>
      </w:pPr>
      <w:r>
        <w:rPr>
          <w:rFonts w:cs="Times New Roman"/>
          <w:bCs/>
        </w:rPr>
        <w:t>U251/GFP and U87MG/GFP cells were used in a wound-healing assay to measure migration ability. The cells were seeded in 6-well plates at a density of 4 × 10</w:t>
      </w:r>
      <w:r>
        <w:rPr>
          <w:rFonts w:cs="Times New Roman"/>
          <w:bCs/>
          <w:vertAlign w:val="superscript"/>
        </w:rPr>
        <w:t>5</w:t>
      </w:r>
      <w:r>
        <w:rPr>
          <w:rFonts w:cs="Times New Roman"/>
          <w:bCs/>
        </w:rPr>
        <w:t xml:space="preserve"> cells per well and grown to confluence for 24 h in serum-free medium. After removal of the medium, the cell layer was scratched with a 10 μL pipette tip. Wound-healing was examined under an an inverted fluorescence microscope (Olympus CKX-41, Japan) (×200 magnification) after 12, 24, and 48 h.</w:t>
      </w:r>
    </w:p>
    <w:p>
      <w:pPr>
        <w:tabs>
          <w:tab w:val="left" w:pos="567"/>
        </w:tabs>
        <w:spacing w:before="240" w:after="200"/>
        <w:ind w:left="567" w:hanging="567"/>
        <w:outlineLvl w:val="1"/>
        <w:rPr>
          <w:rFonts w:eastAsia="Cambria" w:cs="Times New Roman"/>
          <w:b/>
          <w:szCs w:val="24"/>
        </w:rPr>
      </w:pPr>
      <w:r>
        <w:rPr>
          <w:rFonts w:eastAsia="Cambria" w:cs="Times New Roman"/>
          <w:b/>
          <w:szCs w:val="24"/>
        </w:rPr>
        <w:t>Transwell assay</w:t>
      </w:r>
    </w:p>
    <w:p>
      <w:pPr>
        <w:spacing w:line="360" w:lineRule="auto"/>
        <w:rPr>
          <w:rFonts w:cs="Times New Roman"/>
          <w:bCs/>
        </w:rPr>
      </w:pPr>
      <w:r>
        <w:rPr>
          <w:rFonts w:cs="Times New Roman"/>
          <w:bCs/>
        </w:rPr>
        <w:t xml:space="preserve">Fifty thousand cells in 200 μL of serum-free DMEM seeded in the </w:t>
      </w:r>
      <w:r>
        <w:rPr>
          <w:rFonts w:hint="eastAsia" w:cs="Times New Roman"/>
          <w:bCs/>
        </w:rPr>
        <w:t>upper</w:t>
      </w:r>
      <w:r>
        <w:rPr>
          <w:rFonts w:cs="Times New Roman"/>
          <w:bCs/>
        </w:rPr>
        <w:t xml:space="preserve"> chamber of the 24-well 8-µm Transwell chambers. 500 μl 10% FBS medium as a chemoattractant in the lower chamber. The Transwell chambers were coated with Matrigel.</w:t>
      </w:r>
      <w:r>
        <w:rPr>
          <w:rFonts w:hint="eastAsia" w:cs="Times New Roman"/>
          <w:bCs/>
        </w:rPr>
        <w:t xml:space="preserve"> </w:t>
      </w:r>
      <w:r>
        <w:rPr>
          <w:rFonts w:cs="Times New Roman"/>
          <w:bCs/>
        </w:rPr>
        <w:t>After 24 h of co-culture, the upper chambers of Transwell chambers were washed with 1% phosphate buffer (PBS), followed by fixation in 4% paraformaldehyde and a 15 min staining with 0.1% crystalline violet. The number of cells that had invaded the lower chambers was imaged using a light microscope (200x magnification, Olympus BX53, Japan) and measured using ImageJ.</w:t>
      </w:r>
    </w:p>
    <w:p>
      <w:pPr>
        <w:numPr>
          <w:ilvl w:val="1"/>
          <w:numId w:val="0"/>
        </w:numPr>
        <w:tabs>
          <w:tab w:val="left" w:pos="567"/>
        </w:tabs>
        <w:spacing w:before="240" w:after="200"/>
        <w:ind w:left="567" w:hanging="567"/>
        <w:outlineLvl w:val="1"/>
        <w:rPr>
          <w:rFonts w:eastAsia="Cambria" w:cs="Times New Roman"/>
          <w:b/>
          <w:szCs w:val="24"/>
        </w:rPr>
      </w:pPr>
      <w:r>
        <w:rPr>
          <w:rFonts w:eastAsia="Cambria" w:cs="Times New Roman"/>
          <w:b/>
          <w:szCs w:val="24"/>
        </w:rPr>
        <w:t>Immunofluorescence staining</w:t>
      </w:r>
    </w:p>
    <w:p>
      <w:pPr>
        <w:spacing w:line="360" w:lineRule="auto"/>
        <w:jc w:val="both"/>
        <w:rPr>
          <w:rFonts w:cs="Times New Roman"/>
          <w:bCs/>
        </w:rPr>
      </w:pPr>
      <w:r>
        <w:rPr>
          <w:bCs/>
        </w:rPr>
        <w:t>Cells were seeded on coverslips, fixed in chilled methanol for 10 min, and permeabilized with 0.1% Triton X-100 for 10 min at room temperature. After blocking (10% BSA in PBS), the coverslips were incubated with primary antibody overnight (4 °C), followed by incubation with the corresponding secondary antibodies. Nuclei were counterstained with DAPI (3 min in the dark) and the slides were washed in PBS and sealed with a solution containing a fluorescence quencher. Slides were examined and imaged under a fluorescence microscope.</w:t>
      </w:r>
      <w:r>
        <w:rPr>
          <w:rFonts w:cs="Times New Roman"/>
          <w:bCs/>
        </w:rPr>
        <w:t xml:space="preserve"> It was visualized with Olympus, BX60-32FB2-A03 upright epifluorescence microscopy (400x magnification) and two different kinds of Individual filters were used for capturing images using an Olympus, DP50 camera.</w:t>
      </w:r>
    </w:p>
    <w:p>
      <w:pPr>
        <w:tabs>
          <w:tab w:val="left" w:pos="567"/>
        </w:tabs>
        <w:spacing w:before="240" w:after="200"/>
        <w:outlineLvl w:val="1"/>
        <w:rPr>
          <w:rFonts w:eastAsia="Cambria" w:cs="Times New Roman"/>
          <w:b/>
          <w:szCs w:val="24"/>
        </w:rPr>
      </w:pPr>
      <w:r>
        <w:rPr>
          <w:rFonts w:eastAsia="Cambria" w:cs="Times New Roman"/>
          <w:b/>
          <w:szCs w:val="24"/>
        </w:rPr>
        <w:t>Xenograft tumor model</w:t>
      </w:r>
    </w:p>
    <w:p>
      <w:pPr>
        <w:spacing w:line="360" w:lineRule="auto"/>
        <w:jc w:val="both"/>
        <w:rPr>
          <w:rFonts w:cs="Times New Roman"/>
          <w:bCs/>
        </w:rPr>
      </w:pPr>
      <w:r>
        <w:rPr>
          <w:rFonts w:cs="Times New Roman"/>
          <w:bCs/>
        </w:rPr>
        <w:t>Animals were handled</w:t>
      </w:r>
      <w:r>
        <w:t xml:space="preserve"> </w:t>
      </w:r>
      <w:r>
        <w:rPr>
          <w:rFonts w:cs="Times New Roman"/>
          <w:bCs/>
        </w:rPr>
        <w:t>and received humane care followed with the Guide for the Care and Use of Laboratory Animals</w:t>
      </w:r>
      <w:r>
        <w:rPr>
          <w:rFonts w:cs="Times New Roman"/>
          <w:bCs/>
        </w:rPr>
        <w:fldChar w:fldCharType="begin"/>
      </w:r>
      <w:r>
        <w:rPr>
          <w:rFonts w:cs="Times New Roman"/>
          <w:bCs/>
        </w:rPr>
        <w:instrText xml:space="preserve"> ADDIN EN.CITE &lt;EndNote&gt;&lt;Cite&gt;&lt;Author&gt;National Research Council Committee for the Update of the Guide for the&lt;/Author&gt;&lt;Year&gt;2011&lt;/Year&gt;&lt;RecNum&gt;514&lt;/RecNum&gt;&lt;DisplayText&gt;[1]&lt;/DisplayText&gt;&lt;record&gt;&lt;rec-number&gt;514&lt;/rec-number&gt;&lt;foreign-keys&gt;&lt;key app="EN" db-id="za59e2ee85ffwte505jpvfe6szxw9w55rdv5" timestamp="1640757080"&gt;514&lt;/key&gt;&lt;/foreign-keys&gt;&lt;ref-type name="Book Section"&gt;5&lt;/ref-type&gt;&lt;contributors&gt;&lt;authors&gt;&lt;author&gt;National Research Council Committee for the Update of the Guide for the, Care&lt;/author&gt;&lt;author&gt;Use of Laboratory, Animals&lt;/author&gt;&lt;/authors&gt;&lt;/contributors&gt;&lt;titles&gt;&lt;title&gt;The National Academies Collection: Reports funded by National Institutes of Health&lt;/title&gt;&lt;secondary-title&gt;Guide for the Care and Use of Laboratory Animals&lt;/secondary-title&gt;&lt;/titles&gt;&lt;dates&gt;&lt;year&gt;2011&lt;/year&gt;&lt;/dates&gt;&lt;pub-location&gt;Washington (DC)&lt;/pub-location&gt;&lt;publisher&gt;National Academies Press (US)&amp;#xD;Copyright © 2011, National Academy of Sciences.&lt;/publisher&gt;&lt;accession-num&gt;21595115&lt;/accession-num&gt;&lt;urls&gt;&lt;/urls&gt;&lt;electronic-resource-num&gt;10.17226/12910&lt;/electronic-resource-num&gt;&lt;language&gt;eng&lt;/language&gt;&lt;/record&gt;&lt;/Cite&gt;&lt;/EndNote&gt;</w:instrText>
      </w:r>
      <w:r>
        <w:rPr>
          <w:rFonts w:cs="Times New Roman"/>
          <w:bCs/>
        </w:rPr>
        <w:fldChar w:fldCharType="separate"/>
      </w:r>
      <w:r>
        <w:rPr>
          <w:rFonts w:cs="Times New Roman"/>
          <w:bCs/>
        </w:rPr>
        <w:t>[1]</w:t>
      </w:r>
      <w:r>
        <w:rPr>
          <w:rFonts w:cs="Times New Roman"/>
          <w:bCs/>
        </w:rPr>
        <w:fldChar w:fldCharType="end"/>
      </w:r>
      <w:r>
        <w:rPr>
          <w:rFonts w:cs="Times New Roman"/>
          <w:bCs/>
        </w:rPr>
        <w:t xml:space="preserve">. The animal experimental protocol </w:t>
      </w:r>
      <w:r>
        <w:rPr>
          <w:rFonts w:hint="eastAsia" w:cs="Times New Roman"/>
          <w:bCs/>
        </w:rPr>
        <w:t>(</w:t>
      </w:r>
      <w:r>
        <w:rPr>
          <w:rFonts w:cs="Times New Roman"/>
          <w:bCs/>
        </w:rPr>
        <w:t xml:space="preserve">ethics number: </w:t>
      </w:r>
      <w:r>
        <w:rPr>
          <w:rFonts w:hint="eastAsia" w:cs="Times New Roman"/>
          <w:bCs/>
        </w:rPr>
        <w:t>2021-10-029)</w:t>
      </w:r>
      <w:r>
        <w:rPr>
          <w:rFonts w:cs="Times New Roman"/>
          <w:bCs/>
        </w:rPr>
        <w:t xml:space="preserve"> was</w:t>
      </w:r>
      <w:r>
        <w:rPr>
          <w:rFonts w:hint="eastAsia" w:cs="Times New Roman"/>
          <w:bCs/>
        </w:rPr>
        <w:t xml:space="preserve"> approved by the ethics committee of the Jiangsu Province Hospital of Chinese Medicine</w:t>
      </w:r>
      <w:r>
        <w:rPr>
          <w:rFonts w:cs="Times New Roman"/>
          <w:bCs/>
        </w:rPr>
        <w:t xml:space="preserve"> which conformed to the principles of animal protection, animal welfare and ethics</w:t>
      </w:r>
      <w:r>
        <w:rPr>
          <w:rFonts w:hint="eastAsia" w:cs="Times New Roman"/>
          <w:bCs/>
        </w:rPr>
        <w:t xml:space="preserve">. </w:t>
      </w:r>
      <w:r>
        <w:rPr>
          <w:rFonts w:cs="Times New Roman"/>
          <w:bCs/>
        </w:rPr>
        <w:t xml:space="preserve">Four-week-old male BALB/c nude mice (15g </w:t>
      </w:r>
      <w:r>
        <w:rPr>
          <w:rFonts w:hint="eastAsia" w:cs="Times New Roman"/>
          <w:bCs/>
        </w:rPr>
        <w:t>-20</w:t>
      </w:r>
      <w:r>
        <w:rPr>
          <w:rFonts w:cs="Times New Roman"/>
          <w:bCs/>
        </w:rPr>
        <w:t xml:space="preserve"> g) were</w:t>
      </w:r>
      <w:r>
        <w:t xml:space="preserve"> </w:t>
      </w:r>
      <w:r>
        <w:rPr>
          <w:rFonts w:cs="Times New Roman"/>
          <w:bCs/>
        </w:rPr>
        <w:t xml:space="preserve">employed (A total of 24 mice were randomly divided into 4 equal groups). They </w:t>
      </w:r>
      <w:r>
        <w:rPr>
          <w:rFonts w:hint="eastAsia" w:cs="Times New Roman"/>
          <w:bCs/>
        </w:rPr>
        <w:t>were obtained from the Beijing Institute of Biomedicine (Beijing, China)</w:t>
      </w:r>
      <w:r>
        <w:rPr>
          <w:rFonts w:cs="Times New Roman"/>
          <w:bCs/>
        </w:rPr>
        <w:t xml:space="preserve"> (Permission No. SYXK2019-0010)</w:t>
      </w:r>
      <w:r>
        <w:rPr>
          <w:rFonts w:hint="eastAsia" w:cs="Times New Roman"/>
          <w:bCs/>
        </w:rPr>
        <w:t xml:space="preserve"> </w:t>
      </w:r>
      <w:r>
        <w:rPr>
          <w:rFonts w:cs="Times New Roman"/>
          <w:bCs/>
        </w:rPr>
        <w:t>U251 cells transfected with sh-</w:t>
      </w:r>
      <w:r>
        <w:rPr>
          <w:rFonts w:cs="Times New Roman"/>
          <w:bCs/>
          <w:i/>
          <w:iCs/>
        </w:rPr>
        <w:t>DNTTIP2</w:t>
      </w:r>
      <w:r>
        <w:rPr>
          <w:rFonts w:cs="Times New Roman"/>
          <w:bCs/>
        </w:rPr>
        <w:t>, oe-</w:t>
      </w:r>
      <w:r>
        <w:rPr>
          <w:rFonts w:cs="Times New Roman"/>
          <w:bCs/>
          <w:i/>
          <w:iCs/>
        </w:rPr>
        <w:t>DNTTIP2</w:t>
      </w:r>
      <w:r>
        <w:rPr>
          <w:rFonts w:cs="Times New Roman"/>
          <w:bCs/>
        </w:rPr>
        <w:t>, as well as NC cells (1 × 10</w:t>
      </w:r>
      <w:r>
        <w:rPr>
          <w:rFonts w:cs="Times New Roman"/>
          <w:bCs/>
          <w:vertAlign w:val="superscript"/>
        </w:rPr>
        <w:t>7</w:t>
      </w:r>
      <w:r>
        <w:rPr>
          <w:rFonts w:cs="Times New Roman"/>
          <w:bCs/>
        </w:rPr>
        <w:t xml:space="preserve"> cell/mouse) were injected subcutaneously into the right armpit region (n = 6 per group). The presence of tumors was visible after seven days. Tumor diameters (maximum and minimum) were measured twice a week. The mice were euthanized after 35 days and the sera and tumors were excised. Tumor volumes were calculated as V = 1/2ab</w:t>
      </w:r>
      <w:r>
        <w:rPr>
          <w:rFonts w:cs="Times New Roman"/>
          <w:bCs/>
          <w:vertAlign w:val="superscript"/>
        </w:rPr>
        <w:t>2</w:t>
      </w:r>
      <w:r>
        <w:rPr>
          <w:rFonts w:cs="Times New Roman"/>
          <w:bCs/>
        </w:rPr>
        <w:t>, and tumor growth curves were drawn.</w:t>
      </w:r>
    </w:p>
    <w:p>
      <w:pPr>
        <w:tabs>
          <w:tab w:val="left" w:pos="567"/>
        </w:tabs>
        <w:spacing w:before="240" w:after="200"/>
        <w:outlineLvl w:val="1"/>
        <w:rPr>
          <w:rFonts w:eastAsia="Cambria" w:cs="Times New Roman"/>
          <w:b/>
          <w:szCs w:val="24"/>
        </w:rPr>
      </w:pPr>
      <w:r>
        <w:rPr>
          <w:rFonts w:eastAsia="Cambria" w:cs="Times New Roman"/>
          <w:b/>
          <w:szCs w:val="24"/>
        </w:rPr>
        <w:t xml:space="preserve">Phorbol-12-myristate 13-acetate </w:t>
      </w:r>
      <w:r>
        <w:rPr>
          <w:rFonts w:hint="eastAsia" w:eastAsia="Cambria" w:cs="Times New Roman"/>
          <w:b/>
          <w:szCs w:val="24"/>
        </w:rPr>
        <w:t>(</w:t>
      </w:r>
      <w:r>
        <w:rPr>
          <w:rFonts w:eastAsia="Cambria" w:cs="Times New Roman"/>
          <w:b/>
          <w:szCs w:val="24"/>
        </w:rPr>
        <w:t>PMA) induction scheme selection</w:t>
      </w:r>
    </w:p>
    <w:p>
      <w:pPr>
        <w:spacing w:line="360" w:lineRule="auto"/>
        <w:jc w:val="both"/>
        <w:rPr>
          <w:rFonts w:cs="Times New Roman"/>
          <w:bCs/>
        </w:rPr>
      </w:pPr>
      <w:r>
        <w:rPr>
          <w:rFonts w:cs="Times New Roman"/>
          <w:bCs/>
        </w:rPr>
        <w:t>The THP-1 cell line is a human leukemia cell-derived monocyte line capable of acquiring phenotypic and functional characteristics similar to those of the primary the macrophages upon PMA stimulation</w:t>
      </w:r>
      <w:r>
        <w:rPr>
          <w:rFonts w:cs="Times New Roman"/>
          <w:bCs/>
        </w:rPr>
        <w:fldChar w:fldCharType="begin">
          <w:fldData xml:space="preserve">PEVuZE5vdGU+PENpdGU+PEF1dGhvcj5DaGFucHV0PC9BdXRob3I+PFllYXI+MjAxNDwvWWVhcj48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</w:fldData>
        </w:fldChar>
      </w:r>
      <w:r>
        <w:rPr>
          <w:rFonts w:cs="Times New Roman"/>
          <w:bCs/>
        </w:rPr>
        <w:instrText xml:space="preserve"> ADDIN EN.CITE </w:instrText>
      </w:r>
      <w:r>
        <w:rPr>
          <w:rFonts w:cs="Times New Roman"/>
          <w:bCs/>
        </w:rPr>
        <w:fldChar w:fldCharType="begin">
          <w:fldData xml:space="preserve">PEVuZE5vdGU+PENpdGU+PEF1dGhvcj5DaGFucHV0PC9BdXRob3I+PFllYXI+MjAxNDwvWWVhcj48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</w:fldData>
        </w:fldChar>
      </w:r>
      <w:r>
        <w:rPr>
          <w:rFonts w:cs="Times New Roman"/>
          <w:bCs/>
        </w:rPr>
        <w:instrText xml:space="preserve"> ADDIN EN.CITE.DATA </w:instrText>
      </w:r>
      <w:r>
        <w:rPr>
          <w:rFonts w:cs="Times New Roman"/>
          <w:bCs/>
        </w:rPr>
        <w:fldChar w:fldCharType="end"/>
      </w:r>
      <w:r>
        <w:rPr>
          <w:rFonts w:cs="Times New Roman"/>
          <w:bCs/>
        </w:rPr>
        <w:fldChar w:fldCharType="separate"/>
      </w:r>
      <w:r>
        <w:rPr>
          <w:rFonts w:cs="Times New Roman"/>
          <w:bCs/>
        </w:rPr>
        <w:t>[2, 3]</w:t>
      </w:r>
      <w:r>
        <w:rPr>
          <w:rFonts w:cs="Times New Roman"/>
          <w:bCs/>
        </w:rPr>
        <w:fldChar w:fldCharType="end"/>
      </w:r>
      <w:r>
        <w:rPr>
          <w:rFonts w:cs="Times New Roman"/>
          <w:bCs/>
        </w:rPr>
        <w:t>. It is currently the most widely used in vitro model of human-derived macrophages. It has been proven that 5 ng/mL PMA treatment can cause THP-1 monocytes to differentiate into macrophages</w:t>
      </w:r>
      <w:r>
        <w:rPr>
          <w:rFonts w:cs="Times New Roman"/>
          <w:bCs/>
        </w:rPr>
        <w:fldChar w:fldCharType="begin">
          <w:fldData xml:space="preserve">PEVuZE5vdGU+PENpdGU+PEF1dGhvcj5EYWlnbmVhdWx0PC9BdXRob3I+PFllYXI+MjAxMDwvWWVh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YWJici0xPjwvYWx0LXBlcmlvZGljYWw+PHBhZ2VzPmU4NjY4PC9wYWdlcz48dm9sdW1lPjU8L3Zv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</w:fldData>
        </w:fldChar>
      </w:r>
      <w:r>
        <w:rPr>
          <w:rFonts w:cs="Times New Roman"/>
          <w:bCs/>
        </w:rPr>
        <w:instrText xml:space="preserve"> ADDIN EN.CITE </w:instrText>
      </w:r>
      <w:r>
        <w:rPr>
          <w:rFonts w:cs="Times New Roman"/>
          <w:bCs/>
        </w:rPr>
        <w:fldChar w:fldCharType="begin">
          <w:fldData xml:space="preserve">PEVuZE5vdGU+PENpdGU+PEF1dGhvcj5EYWlnbmVhdWx0PC9BdXRob3I+PFllYXI+MjAxMDwvWWVh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YWJici0xPjwvYWx0LXBlcmlvZGljYWw+PHBhZ2VzPmU4NjY4PC9wYWdlcz48dm9sdW1lPjU8L3Zv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</w:fldData>
        </w:fldChar>
      </w:r>
      <w:r>
        <w:rPr>
          <w:rFonts w:cs="Times New Roman"/>
          <w:bCs/>
        </w:rPr>
        <w:instrText xml:space="preserve"> ADDIN EN.CITE.DATA </w:instrText>
      </w:r>
      <w:r>
        <w:rPr>
          <w:rFonts w:cs="Times New Roman"/>
          <w:bCs/>
        </w:rPr>
        <w:fldChar w:fldCharType="end"/>
      </w:r>
      <w:r>
        <w:rPr>
          <w:rFonts w:cs="Times New Roman"/>
          <w:bCs/>
        </w:rPr>
        <w:fldChar w:fldCharType="separate"/>
      </w:r>
      <w:r>
        <w:rPr>
          <w:rFonts w:cs="Times New Roman"/>
          <w:bCs/>
        </w:rPr>
        <w:t>[4]</w:t>
      </w:r>
      <w:r>
        <w:rPr>
          <w:rFonts w:cs="Times New Roman"/>
          <w:bCs/>
        </w:rPr>
        <w:fldChar w:fldCharType="end"/>
      </w:r>
      <w:r>
        <w:rPr>
          <w:rFonts w:cs="Times New Roman"/>
          <w:bCs/>
        </w:rPr>
        <w:t>. In addition, it has been presumed by many researchers that the higher the PMA concentration makes it easier for the differentiated macrophages to transform into the M1 subtype. Therefore, a low-concentration induction protocol was chosen for this study. Due to various inter-laboratory variations, the initial induction with 5 ng/mL PMA for 48 h resulted in the adherence of only about 60% of the THP-1 cells to the wall. Since 95% of THP-1 cells differentiated and adhered to the wall under this treatment condition, subsequently, after many adjustments, 10 ng/mL for 48 h was selected as the induction model.</w:t>
      </w:r>
    </w:p>
    <w:p>
      <w:pPr>
        <w:tabs>
          <w:tab w:val="left" w:pos="567"/>
        </w:tabs>
        <w:spacing w:before="240" w:after="200"/>
        <w:ind w:left="567" w:hanging="567"/>
        <w:outlineLvl w:val="1"/>
        <w:rPr>
          <w:rFonts w:eastAsia="Cambria" w:cs="Times New Roman"/>
          <w:b/>
          <w:szCs w:val="24"/>
        </w:rPr>
      </w:pPr>
      <w:r>
        <w:rPr>
          <w:rFonts w:eastAsia="Cambria" w:cs="Times New Roman"/>
          <w:b/>
          <w:szCs w:val="24"/>
        </w:rPr>
        <w:t>Statistical analysis</w:t>
      </w:r>
    </w:p>
    <w:p>
      <w:pPr>
        <w:spacing w:line="360" w:lineRule="auto"/>
        <w:ind w:firstLine="480" w:firstLineChars="200"/>
        <w:rPr>
          <w:rFonts w:cs="Times New Roman"/>
          <w:bCs/>
        </w:rPr>
      </w:pPr>
      <w:r>
        <w:rPr>
          <w:rFonts w:cs="Times New Roman"/>
          <w:bCs/>
        </w:rPr>
        <w:t xml:space="preserve">Data are expressed as means ± </w:t>
      </w:r>
      <w:r>
        <w:rPr>
          <w:rFonts w:hint="eastAsia" w:cs="Times New Roman"/>
          <w:bCs/>
        </w:rPr>
        <w:t>(</w:t>
      </w:r>
      <w:r>
        <w:rPr>
          <w:rFonts w:cs="Times New Roman"/>
          <w:bCs/>
        </w:rPr>
        <w:t xml:space="preserve">SEM). Comparisons between two groups and multiple groups were assessed by t-tests and one-way analysis of variance (ANOVA), respectively. All data were analyzed with SPSS 29.0 (IBM Corp., Armonk, NY, USA) and illustrated using GraphPad Prism 8.0 (GraphPad Software, Inc., USA). All experiments were carried out thrice, independently. ****P &lt; 0.0001, ***P &lt; 0.001, **P &lt; 0.01 and *P &lt; 0.05 were defined to be statistically significant. </w:t>
      </w:r>
    </w:p>
    <w:p>
      <w:pPr>
        <w:spacing w:line="360" w:lineRule="auto"/>
        <w:ind w:firstLine="480" w:firstLineChars="200"/>
        <w:rPr>
          <w:rFonts w:cs="Times New Roman"/>
          <w:bCs/>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r>
        <w:rPr>
          <w:rFonts w:eastAsia="Cambria" w:cs="Times New Roman"/>
          <w:b/>
          <w:szCs w:val="24"/>
        </w:rPr>
        <w:t>Supplementary Figure</w:t>
      </w:r>
    </w:p>
    <w:p>
      <w:pPr>
        <w:tabs>
          <w:tab w:val="left" w:pos="567"/>
        </w:tabs>
        <w:spacing w:before="240" w:after="200"/>
        <w:ind w:left="567" w:hanging="567"/>
        <w:outlineLvl w:val="1"/>
        <w:rPr>
          <w:rFonts w:cs="Times New Roman"/>
          <w:bCs/>
        </w:rPr>
      </w:pPr>
      <w:r>
        <w:rPr>
          <w:rFonts w:cs="Times New Roman"/>
          <w:bCs/>
        </w:rPr>
        <w:drawing>
          <wp:inline distT="0" distB="0" distL="0" distR="0">
            <wp:extent cx="6208395" cy="367855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3678555"/>
                    </a:xfrm>
                    <a:prstGeom prst="rect">
                      <a:avLst/>
                    </a:prstGeom>
                  </pic:spPr>
                </pic:pic>
              </a:graphicData>
            </a:graphic>
          </wp:inline>
        </w:drawing>
      </w:r>
    </w:p>
    <w:p>
      <w:pPr>
        <w:tabs>
          <w:tab w:val="left" w:pos="567"/>
        </w:tabs>
        <w:spacing w:before="240" w:after="200"/>
        <w:ind w:left="567" w:hanging="567"/>
        <w:outlineLvl w:val="1"/>
        <w:rPr>
          <w:rFonts w:cs="Times New Roman"/>
          <w:bCs/>
        </w:rPr>
      </w:pPr>
    </w:p>
    <w:p>
      <w:pPr>
        <w:spacing w:line="360" w:lineRule="auto"/>
        <w:rPr>
          <w:rFonts w:ascii="Times New Roman" w:hAnsi="Times New Roman" w:cs="Times New Roman"/>
          <w:sz w:val="24"/>
          <w:szCs w:val="24"/>
        </w:rPr>
      </w:pPr>
      <w:r>
        <w:rPr>
          <w:rFonts w:cs="Times New Roman"/>
          <w:b/>
        </w:rPr>
        <w:t xml:space="preserve">Figure S1 </w:t>
      </w:r>
      <w:r>
        <w:rPr>
          <w:rFonts w:hint="eastAsia" w:cs="Times New Roman"/>
          <w:szCs w:val="24"/>
        </w:rPr>
        <w:t>(</w:t>
      </w:r>
      <w:r>
        <w:rPr>
          <w:rFonts w:cs="Times New Roman"/>
          <w:szCs w:val="24"/>
        </w:rPr>
        <w:t>A)</w:t>
      </w:r>
      <w:r>
        <w:rPr>
          <w:rFonts w:hint="eastAsia" w:eastAsia="宋体" w:cs="宋体"/>
        </w:rPr>
        <w:t xml:space="preserve"> Kaplan-Meier survival analysis based on TCGA</w:t>
      </w:r>
      <w:r>
        <w:rPr>
          <w:rFonts w:eastAsia="宋体" w:cs="宋体"/>
        </w:rPr>
        <w:t>-Liver hepatocellular carcinoma (LIHC). (B)</w:t>
      </w:r>
      <w:r>
        <w:rPr>
          <w:rFonts w:cs="Times New Roman"/>
          <w:szCs w:val="24"/>
        </w:rPr>
        <w:t>The relationship between DNTTIP1/2 expression status and clinicopathological characteristics in LIHC.</w:t>
      </w:r>
      <w:r>
        <w:rPr>
          <w:rFonts w:hint="eastAsia" w:cs="Times New Roman"/>
          <w:szCs w:val="24"/>
          <w:lang w:val="en-US" w:eastAsia="zh-CN"/>
        </w:rPr>
        <w:t xml:space="preserve"> </w:t>
      </w:r>
      <w:r>
        <w:rPr>
          <w:rFonts w:ascii="Times New Roman" w:hAnsi="Times New Roman" w:cs="Times New Roman"/>
          <w:sz w:val="24"/>
          <w:szCs w:val="24"/>
        </w:rPr>
        <w:t>NS: not significant, *P &lt; 0.05, **P &lt; 0.01, ***P &lt; 0.001</w:t>
      </w:r>
      <w:bookmarkStart w:id="5" w:name="_GoBack"/>
    </w:p>
    <w:bookmarkEnd w:id="5"/>
    <w:p>
      <w:pPr>
        <w:spacing w:line="360" w:lineRule="auto"/>
        <w:rPr>
          <w:rFonts w:hint="eastAsia" w:cs="Times New Roman" w:eastAsiaTheme="minorEastAsia"/>
          <w:szCs w:val="24"/>
          <w:lang w:val="en-US" w:eastAsia="zh-CN"/>
        </w:rPr>
      </w:pPr>
    </w:p>
    <w:p>
      <w:pPr>
        <w:tabs>
          <w:tab w:val="left" w:pos="567"/>
        </w:tabs>
        <w:spacing w:before="240" w:after="200"/>
        <w:ind w:left="567" w:hanging="567"/>
        <w:outlineLvl w:val="1"/>
        <w:rPr>
          <w:rFonts w:cs="Times New Roman"/>
          <w:b/>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tabs>
          <w:tab w:val="left" w:pos="567"/>
        </w:tabs>
        <w:spacing w:before="240" w:after="200"/>
        <w:ind w:left="567" w:hanging="567"/>
        <w:outlineLvl w:val="1"/>
        <w:rPr>
          <w:rFonts w:eastAsia="Cambria" w:cs="Times New Roman"/>
          <w:b/>
          <w:szCs w:val="24"/>
        </w:rPr>
      </w:pPr>
    </w:p>
    <w:p>
      <w:pPr>
        <w:spacing w:line="360" w:lineRule="auto"/>
        <w:ind w:firstLine="480" w:firstLineChars="200"/>
        <w:rPr>
          <w:rFonts w:cs="Times New Roman"/>
          <w:bCs/>
        </w:rPr>
      </w:pPr>
      <w:r>
        <w:rPr>
          <w:rFonts w:cs="Times New Roman"/>
          <w:bCs/>
        </w:rPr>
        <w:drawing>
          <wp:anchor distT="0" distB="0" distL="114300" distR="114300" simplePos="0" relativeHeight="251662336" behindDoc="0" locked="0" layoutInCell="1" allowOverlap="1">
            <wp:simplePos x="0" y="0"/>
            <wp:positionH relativeFrom="page">
              <wp:posOffset>1709420</wp:posOffset>
            </wp:positionH>
            <wp:positionV relativeFrom="paragraph">
              <wp:posOffset>635</wp:posOffset>
            </wp:positionV>
            <wp:extent cx="4664710" cy="5571490"/>
            <wp:effectExtent l="0" t="0" r="254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4710" cy="5571490"/>
                    </a:xfrm>
                    <a:prstGeom prst="rect">
                      <a:avLst/>
                    </a:prstGeom>
                  </pic:spPr>
                </pic:pic>
              </a:graphicData>
            </a:graphic>
          </wp:anchor>
        </w:drawing>
      </w:r>
    </w:p>
    <w:p>
      <w:pPr>
        <w:spacing w:line="360" w:lineRule="auto"/>
        <w:ind w:firstLine="480" w:firstLineChars="200"/>
        <w:rPr>
          <w:rFonts w:cs="Times New Roman"/>
          <w:bCs/>
        </w:rPr>
      </w:pPr>
      <w:r>
        <w:rPr>
          <w:rFonts w:eastAsia="Cambria" w:cs="Times New Roman"/>
          <w:b/>
          <w:szCs w:val="24"/>
        </w:rPr>
        <w:t xml:space="preserve">Figure S2 </w:t>
      </w:r>
      <w:r>
        <w:rPr>
          <w:rFonts w:cs="Times New Roman"/>
          <w:bCs/>
        </w:rPr>
        <w:t xml:space="preserve">DNTTIP1/2 expression in the different glioma subtypes based on Chinese Glioma Genome Atlas (CGGA) datasets. </w:t>
      </w:r>
    </w:p>
    <w:p>
      <w:pPr>
        <w:spacing w:line="360" w:lineRule="auto"/>
        <w:ind w:firstLine="480" w:firstLineChars="200"/>
        <w:rPr>
          <w:rFonts w:cs="Times New Roman"/>
          <w:bCs/>
        </w:rPr>
      </w:pPr>
      <w:r>
        <w:rPr>
          <w:rFonts w:cs="Times New Roman"/>
          <w:bCs/>
        </w:rPr>
        <w:t>(A) DNTTIP1/2 expression was correlated with patient age, (B) DNTTIP1/2 expression level was independent of gender, (C) Comparison of DNTTIP1/2 expression in IDH wild-type and mutant samples, (D) DNTTIP1/2 expression in gliomas of different grades (WHO II, III, and IV).(E) Comparison of DNTTIP1/2 expression in LGG, Glioblastoma (GBM), pathological criteria (WHO grade II and III), 1p19 co-deletion, isocitrate dehydrogenase (IDH) status, (F) Comparison of DNTTIP1/2 expression in the non-1p/19q and1p/19q co-deletion samples.</w:t>
      </w:r>
    </w:p>
    <w:p>
      <w:pPr>
        <w:spacing w:line="360" w:lineRule="auto"/>
        <w:jc w:val="center"/>
        <w:rPr>
          <w:rFonts w:cs="Times New Roman"/>
          <w:bCs/>
        </w:rPr>
      </w:pPr>
      <w:r>
        <w:rPr>
          <w:rFonts w:cs="Times New Roman"/>
          <w:bCs/>
        </w:rPr>
        <w:drawing>
          <wp:inline distT="0" distB="0" distL="0" distR="0">
            <wp:extent cx="4438650" cy="428561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9221" cy="4285753"/>
                    </a:xfrm>
                    <a:prstGeom prst="rect">
                      <a:avLst/>
                    </a:prstGeom>
                  </pic:spPr>
                </pic:pic>
              </a:graphicData>
            </a:graphic>
          </wp:inline>
        </w:drawing>
      </w:r>
    </w:p>
    <w:p>
      <w:pPr>
        <w:spacing w:line="360" w:lineRule="auto"/>
        <w:ind w:firstLine="480" w:firstLineChars="200"/>
        <w:rPr>
          <w:rFonts w:cs="Times New Roman"/>
          <w:bCs/>
        </w:rPr>
      </w:pPr>
      <w:r>
        <w:rPr>
          <w:rFonts w:eastAsia="Cambria" w:cs="Times New Roman"/>
          <w:b/>
          <w:szCs w:val="24"/>
        </w:rPr>
        <w:t>Figure S3.</w:t>
      </w:r>
      <w:r>
        <w:rPr>
          <w:rFonts w:cs="Times New Roman"/>
          <w:bCs/>
        </w:rPr>
        <w:t xml:space="preserve"> Kaplan-Meier survival curves to analyze relationships between DNTTIP1/2 expression and patient outcomes from data from Chinese Glioma Genome Atlas (CGGA).</w:t>
      </w:r>
    </w:p>
    <w:p>
      <w:pPr>
        <w:spacing w:line="360" w:lineRule="auto"/>
        <w:ind w:firstLine="480" w:firstLineChars="200"/>
        <w:rPr>
          <w:rFonts w:cs="Times New Roman"/>
          <w:bCs/>
        </w:rPr>
      </w:pPr>
      <w:r>
        <w:rPr>
          <w:rFonts w:cs="Times New Roman"/>
          <w:bCs/>
        </w:rPr>
        <w:drawing>
          <wp:anchor distT="0" distB="0" distL="114300" distR="114300" simplePos="0" relativeHeight="251661312" behindDoc="0" locked="0" layoutInCell="1" allowOverlap="1">
            <wp:simplePos x="0" y="0"/>
            <wp:positionH relativeFrom="page">
              <wp:align>center</wp:align>
            </wp:positionH>
            <wp:positionV relativeFrom="paragraph">
              <wp:posOffset>946785</wp:posOffset>
            </wp:positionV>
            <wp:extent cx="4420870" cy="6228080"/>
            <wp:effectExtent l="0" t="0" r="0" b="127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stretch>
                      <a:fillRect/>
                    </a:stretch>
                  </pic:blipFill>
                  <pic:spPr>
                    <a:xfrm>
                      <a:off x="0" y="0"/>
                      <a:ext cx="4420870" cy="6228080"/>
                    </a:xfrm>
                    <a:prstGeom prst="rect">
                      <a:avLst/>
                    </a:prstGeom>
                  </pic:spPr>
                </pic:pic>
              </a:graphicData>
            </a:graphic>
          </wp:anchor>
        </w:drawing>
      </w:r>
      <w:r>
        <w:rPr>
          <w:rFonts w:cs="Times New Roman"/>
          <w:bCs/>
        </w:rPr>
        <w:t>(A) Kaplan-Meier survival curves were plotted based on DNTTIP1/2 expression in the primary or recurrent glioma in CGGA dataset. (A): All WHO grades survival; (B): Grade II survival; (C) Grade III survival; (D): Grade IV survival.</w:t>
      </w:r>
    </w:p>
    <w:p>
      <w:pPr>
        <w:spacing w:line="360" w:lineRule="auto"/>
        <w:ind w:firstLine="480" w:firstLineChars="200"/>
        <w:rPr>
          <w:rFonts w:cs="Times New Roman"/>
          <w:bCs/>
        </w:rPr>
      </w:pPr>
    </w:p>
    <w:p>
      <w:pPr>
        <w:spacing w:line="360" w:lineRule="auto"/>
        <w:ind w:firstLine="480" w:firstLineChars="200"/>
        <w:rPr>
          <w:rFonts w:cs="Times New Roman"/>
          <w:bCs/>
        </w:rPr>
      </w:pPr>
      <w:r>
        <w:rPr>
          <w:rFonts w:eastAsia="Cambria" w:cs="Times New Roman"/>
          <w:b/>
          <w:szCs w:val="24"/>
        </w:rPr>
        <w:t>Figure S4.</w:t>
      </w:r>
      <w:r>
        <w:rPr>
          <w:rFonts w:cs="Times New Roman"/>
          <w:bCs/>
        </w:rPr>
        <w:t xml:space="preserve"> Immunohistochemical staining of DNTTIP2 in LGG and normal brain tissue based on Human Protein Atlas data.</w:t>
      </w:r>
    </w:p>
    <w:p>
      <w:pPr>
        <w:spacing w:line="360" w:lineRule="auto"/>
        <w:ind w:firstLine="480" w:firstLineChars="200"/>
        <w:rPr>
          <w:rFonts w:cs="Times New Roman"/>
          <w:bCs/>
        </w:rPr>
      </w:pPr>
      <w:r>
        <w:rPr>
          <w:rFonts w:cs="Times New Roman"/>
          <w:bCs/>
        </w:rPr>
        <w:drawing>
          <wp:anchor distT="0" distB="0" distL="114300" distR="114300" simplePos="0" relativeHeight="251664384" behindDoc="0" locked="0" layoutInCell="1" allowOverlap="1">
            <wp:simplePos x="0" y="0"/>
            <wp:positionH relativeFrom="column">
              <wp:posOffset>1292225</wp:posOffset>
            </wp:positionH>
            <wp:positionV relativeFrom="paragraph">
              <wp:posOffset>939800</wp:posOffset>
            </wp:positionV>
            <wp:extent cx="3591560" cy="5147945"/>
            <wp:effectExtent l="0" t="0" r="889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1560" cy="5147945"/>
                    </a:xfrm>
                    <a:prstGeom prst="rect">
                      <a:avLst/>
                    </a:prstGeom>
                  </pic:spPr>
                </pic:pic>
              </a:graphicData>
            </a:graphic>
          </wp:anchor>
        </w:drawing>
      </w:r>
      <w:r>
        <w:rPr>
          <w:rFonts w:cs="Times New Roman"/>
          <w:bCs/>
        </w:rPr>
        <w:t>(A) DNTTIP2 protein expression in LGG was determined using the Human Protein Atlas database. (B) Data from the Human Protein Atlas data demonstrated that DNTTIP2 protein were not detected or low expressed in normal brain tissues.</w:t>
      </w:r>
    </w:p>
    <w:p>
      <w:pPr>
        <w:spacing w:line="360" w:lineRule="auto"/>
        <w:ind w:firstLine="480" w:firstLineChars="200"/>
        <w:rPr>
          <w:rFonts w:cs="Times New Roman"/>
          <w:bCs/>
        </w:rPr>
      </w:pPr>
    </w:p>
    <w:p>
      <w:pPr>
        <w:spacing w:line="360" w:lineRule="auto"/>
        <w:ind w:firstLine="480" w:firstLineChars="200"/>
        <w:rPr>
          <w:rFonts w:cs="Times New Roman"/>
          <w:szCs w:val="24"/>
        </w:rPr>
      </w:pPr>
      <w:r>
        <w:rPr>
          <w:rFonts w:eastAsia="Cambria" w:cs="Times New Roman"/>
          <w:b/>
          <w:szCs w:val="24"/>
        </w:rPr>
        <w:t>Figure S5</w:t>
      </w:r>
      <w:r>
        <w:rPr>
          <w:rFonts w:hint="eastAsia" w:eastAsia="Cambria" w:cs="Times New Roman"/>
          <w:b/>
          <w:szCs w:val="24"/>
        </w:rPr>
        <w:t>.</w:t>
      </w:r>
      <w:r>
        <w:rPr>
          <w:rFonts w:eastAsia="Cambria" w:cs="Times New Roman"/>
          <w:b/>
          <w:szCs w:val="24"/>
        </w:rPr>
        <w:t xml:space="preserve"> </w:t>
      </w:r>
      <w:r>
        <w:rPr>
          <w:rFonts w:cs="Times New Roman"/>
          <w:szCs w:val="24"/>
        </w:rPr>
        <w:t>The differentially enriched genesets correlated with</w:t>
      </w:r>
      <w:r>
        <w:rPr>
          <w:rFonts w:cs="Times New Roman"/>
          <w:i/>
          <w:iCs/>
          <w:szCs w:val="24"/>
        </w:rPr>
        <w:t xml:space="preserve"> DNTTIP2</w:t>
      </w:r>
      <w:r>
        <w:rPr>
          <w:rFonts w:cs="Times New Roman"/>
          <w:szCs w:val="24"/>
        </w:rPr>
        <w:t xml:space="preserve"> expression were studied through the Gene Set Variation Analysis (GSVA) algorithm. </w:t>
      </w:r>
    </w:p>
    <w:p>
      <w:pPr>
        <w:spacing w:line="360" w:lineRule="auto"/>
        <w:ind w:firstLine="480" w:firstLineChars="200"/>
        <w:rPr>
          <w:rFonts w:cs="Times New Roman"/>
          <w:szCs w:val="24"/>
        </w:rPr>
      </w:pPr>
      <w:r>
        <w:rPr>
          <w:rFonts w:cs="Times New Roman"/>
          <w:szCs w:val="24"/>
        </w:rPr>
        <w:t>(A, B) Heatmap displaying the hierarchical clustering of enrichment scores obtained through GSVA based on the enrichment degree profile of the datasets. A: TCGA; B: CCGA</w:t>
      </w:r>
    </w:p>
    <w:p>
      <w:pPr>
        <w:spacing w:line="360" w:lineRule="auto"/>
        <w:ind w:firstLine="480" w:firstLineChars="200"/>
        <w:rPr>
          <w:rFonts w:cs="Times New Roman"/>
          <w:bCs/>
        </w:rPr>
      </w:pPr>
      <w:r>
        <w:rPr>
          <w:rFonts w:cs="Times New Roman"/>
          <w:bCs/>
        </w:rPr>
        <w:drawing>
          <wp:anchor distT="0" distB="0" distL="114300" distR="114300" simplePos="0" relativeHeight="251663360" behindDoc="0" locked="0" layoutInCell="1" allowOverlap="1">
            <wp:simplePos x="0" y="0"/>
            <wp:positionH relativeFrom="column">
              <wp:posOffset>95885</wp:posOffset>
            </wp:positionH>
            <wp:positionV relativeFrom="paragraph">
              <wp:posOffset>235585</wp:posOffset>
            </wp:positionV>
            <wp:extent cx="6134100" cy="793369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4100" cy="7933690"/>
                    </a:xfrm>
                    <a:prstGeom prst="rect">
                      <a:avLst/>
                    </a:prstGeom>
                  </pic:spPr>
                </pic:pic>
              </a:graphicData>
            </a:graphic>
          </wp:anchor>
        </w:drawing>
      </w:r>
    </w:p>
    <w:p>
      <w:pPr>
        <w:spacing w:line="360" w:lineRule="auto"/>
        <w:ind w:firstLine="480" w:firstLineChars="200"/>
        <w:rPr>
          <w:rFonts w:cs="Times New Roman"/>
          <w:bCs/>
        </w:rPr>
      </w:pPr>
    </w:p>
    <w:p>
      <w:pPr>
        <w:widowControl w:val="0"/>
        <w:spacing w:before="0" w:after="0" w:line="360" w:lineRule="auto"/>
        <w:ind w:firstLine="480" w:firstLineChars="200"/>
        <w:jc w:val="both"/>
        <w:rPr>
          <w:rFonts w:eastAsia="等线" w:cs="Times New Roman"/>
          <w:kern w:val="2"/>
          <w:szCs w:val="24"/>
          <w:lang w:eastAsia="zh-CN"/>
        </w:rPr>
      </w:pPr>
      <w:r>
        <w:rPr>
          <w:rFonts w:eastAsia="Cambria" w:cs="Times New Roman"/>
          <w:b/>
          <w:szCs w:val="24"/>
        </w:rPr>
        <w:t>Figure S6</w:t>
      </w:r>
      <w:r>
        <w:rPr>
          <w:rFonts w:hint="eastAsia" w:eastAsia="Cambria" w:cs="Times New Roman"/>
          <w:b/>
          <w:szCs w:val="24"/>
        </w:rPr>
        <w:t>.</w:t>
      </w:r>
      <w:r>
        <w:rPr>
          <w:rFonts w:eastAsia="Cambria" w:cs="Times New Roman"/>
          <w:b/>
          <w:szCs w:val="24"/>
        </w:rPr>
        <w:t xml:space="preserve"> </w:t>
      </w:r>
      <w:r>
        <w:rPr>
          <w:rFonts w:eastAsia="等线" w:cs="Times New Roman"/>
          <w:kern w:val="2"/>
          <w:szCs w:val="24"/>
          <w:lang w:eastAsia="zh-CN"/>
        </w:rPr>
        <w:t>Analysis of</w:t>
      </w:r>
      <w:r>
        <w:rPr>
          <w:rFonts w:eastAsia="等线" w:cs="Times New Roman"/>
          <w:i/>
          <w:iCs/>
          <w:kern w:val="2"/>
          <w:szCs w:val="24"/>
          <w:lang w:eastAsia="zh-CN"/>
        </w:rPr>
        <w:t xml:space="preserve"> </w:t>
      </w:r>
      <w:r>
        <w:rPr>
          <w:rFonts w:eastAsia="等线" w:cs="Times New Roman"/>
          <w:i/>
          <w:kern w:val="2"/>
          <w:lang w:eastAsia="zh-CN"/>
        </w:rPr>
        <w:t>DNTTIP2</w:t>
      </w:r>
      <w:r>
        <w:rPr>
          <w:rFonts w:eastAsia="等线" w:cs="Times New Roman"/>
          <w:i/>
          <w:iCs/>
          <w:kern w:val="2"/>
          <w:szCs w:val="24"/>
          <w:lang w:eastAsia="zh-CN"/>
        </w:rPr>
        <w:t xml:space="preserve"> </w:t>
      </w:r>
      <w:r>
        <w:rPr>
          <w:rFonts w:eastAsia="等线" w:cs="Times New Roman"/>
          <w:kern w:val="2"/>
          <w:szCs w:val="24"/>
          <w:lang w:eastAsia="zh-CN"/>
        </w:rPr>
        <w:t>methylation in LGG.</w:t>
      </w:r>
    </w:p>
    <w:p>
      <w:pPr>
        <w:widowControl w:val="0"/>
        <w:spacing w:before="0" w:after="0" w:line="360" w:lineRule="auto"/>
        <w:ind w:firstLine="480" w:firstLineChars="200"/>
        <w:jc w:val="both"/>
        <w:rPr>
          <w:rFonts w:eastAsia="等线" w:cs="Times New Roman"/>
          <w:kern w:val="2"/>
          <w:szCs w:val="24"/>
          <w:lang w:eastAsia="zh-CN"/>
        </w:rPr>
      </w:pPr>
      <w:r>
        <w:rPr>
          <w:rFonts w:eastAsia="等线" w:cs="Times New Roman"/>
          <w:kern w:val="2"/>
          <w:szCs w:val="24"/>
          <w:lang w:eastAsia="zh-CN"/>
        </w:rPr>
        <w:t xml:space="preserve">(A) Waterfall plot of </w:t>
      </w:r>
      <w:r>
        <w:rPr>
          <w:rFonts w:eastAsia="等线" w:cs="Times New Roman"/>
          <w:i/>
          <w:iCs/>
          <w:kern w:val="2"/>
          <w:szCs w:val="24"/>
          <w:lang w:eastAsia="zh-CN"/>
        </w:rPr>
        <w:t xml:space="preserve">DNTTIP2 </w:t>
      </w:r>
      <w:r>
        <w:rPr>
          <w:rFonts w:eastAsia="等线" w:cs="Times New Roman"/>
          <w:kern w:val="2"/>
          <w:szCs w:val="24"/>
          <w:lang w:eastAsia="zh-CN"/>
        </w:rPr>
        <w:t>methylation. The correlations between DNTTIP1/2 methylation and expression levels were also analyzed.</w:t>
      </w:r>
      <w:r>
        <w:rPr>
          <w:rFonts w:hint="eastAsia" w:eastAsia="等线" w:cs="Times New Roman"/>
          <w:kern w:val="2"/>
          <w:szCs w:val="24"/>
          <w:lang w:eastAsia="zh-CN"/>
        </w:rPr>
        <w:t xml:space="preserve"> </w:t>
      </w:r>
      <w:r>
        <w:rPr>
          <w:rFonts w:eastAsia="等线" w:cs="Times New Roman"/>
          <w:kern w:val="2"/>
          <w:szCs w:val="24"/>
          <w:lang w:eastAsia="zh-CN"/>
        </w:rPr>
        <w:t xml:space="preserve">(B) Survival analysis for all methylation probes; P &lt; 0.05 was considered statistically significant. (C) Frequencies of </w:t>
      </w:r>
      <w:r>
        <w:rPr>
          <w:rFonts w:eastAsia="等线" w:cs="Times New Roman"/>
          <w:i/>
          <w:iCs/>
          <w:kern w:val="2"/>
          <w:szCs w:val="24"/>
          <w:lang w:eastAsia="zh-CN"/>
        </w:rPr>
        <w:t>DNTTIP 2</w:t>
      </w:r>
      <w:r>
        <w:rPr>
          <w:rFonts w:eastAsia="等线" w:cs="Times New Roman"/>
          <w:kern w:val="2"/>
          <w:szCs w:val="24"/>
          <w:lang w:eastAsia="zh-CN"/>
        </w:rPr>
        <w:t xml:space="preserve"> mutations and copy number variations (CNV) in the three datasets. (D) Kaplan–Meier plots comparing Overall Survival (OS) in cases with and without </w:t>
      </w:r>
      <w:r>
        <w:rPr>
          <w:rFonts w:eastAsia="等线" w:cs="Times New Roman"/>
          <w:i/>
          <w:kern w:val="2"/>
          <w:lang w:eastAsia="zh-CN"/>
        </w:rPr>
        <w:t>DNTTIP2</w:t>
      </w:r>
      <w:r>
        <w:rPr>
          <w:rFonts w:eastAsia="等线" w:cs="Times New Roman"/>
          <w:kern w:val="2"/>
          <w:szCs w:val="24"/>
          <w:lang w:eastAsia="zh-CN"/>
        </w:rPr>
        <w:t xml:space="preserve"> changes. (E) Scatter plots of the correlation between gene expression and copy number. The copy number state of each segment is represented by equal-sized blue dots in each sample.</w:t>
      </w:r>
      <w:r>
        <w:rPr>
          <w:rFonts w:hint="eastAsia" w:eastAsia="等线" w:cs="Times New Roman"/>
          <w:kern w:val="2"/>
          <w:szCs w:val="24"/>
          <w:lang w:eastAsia="zh-CN"/>
        </w:rPr>
        <w:t xml:space="preserve"> </w:t>
      </w:r>
      <w:r>
        <w:rPr>
          <w:rFonts w:eastAsia="等线" w:cs="Times New Roman"/>
          <w:kern w:val="2"/>
          <w:szCs w:val="24"/>
          <w:lang w:eastAsia="zh-CN"/>
        </w:rPr>
        <w:t xml:space="preserve">(F) Association between copy-number variation in </w:t>
      </w:r>
      <w:r>
        <w:rPr>
          <w:rFonts w:eastAsia="等线" w:cs="Times New Roman"/>
          <w:i/>
          <w:iCs/>
          <w:kern w:val="2"/>
          <w:szCs w:val="24"/>
          <w:lang w:eastAsia="zh-CN"/>
        </w:rPr>
        <w:t>DNTTIP2</w:t>
      </w:r>
      <w:r>
        <w:rPr>
          <w:rFonts w:eastAsia="等线" w:cs="Times New Roman"/>
          <w:kern w:val="2"/>
          <w:szCs w:val="24"/>
          <w:lang w:eastAsia="zh-CN"/>
        </w:rPr>
        <w:t xml:space="preserve"> expression and infiltrating immune cells.</w:t>
      </w:r>
      <w:r>
        <w:rPr>
          <w:rFonts w:hint="eastAsia" w:eastAsia="等线" w:cs="Times New Roman"/>
          <w:kern w:val="2"/>
          <w:szCs w:val="24"/>
          <w:lang w:eastAsia="zh-CN"/>
        </w:rPr>
        <w:t xml:space="preserve"> </w:t>
      </w:r>
      <w:r>
        <w:rPr>
          <w:rFonts w:eastAsia="等线" w:cs="Times New Roman"/>
          <w:kern w:val="2"/>
          <w:szCs w:val="24"/>
          <w:lang w:eastAsia="zh-CN"/>
        </w:rPr>
        <w:t>(</w:t>
      </w:r>
      <w:r>
        <w:rPr>
          <w:rFonts w:eastAsia="等线" w:cs="Times New Roman"/>
          <w:b/>
          <w:bCs/>
          <w:kern w:val="2"/>
          <w:szCs w:val="24"/>
          <w:lang w:eastAsia="zh-CN"/>
        </w:rPr>
        <w:t>*</w:t>
      </w:r>
      <w:r>
        <w:rPr>
          <w:rFonts w:eastAsia="等线" w:cs="Times New Roman"/>
          <w:kern w:val="2"/>
          <w:szCs w:val="24"/>
          <w:lang w:eastAsia="zh-CN"/>
        </w:rPr>
        <w:t xml:space="preserve">P &lt; 0.05, </w:t>
      </w:r>
      <w:r>
        <w:rPr>
          <w:rFonts w:eastAsia="等线" w:cs="Times New Roman"/>
          <w:b/>
          <w:bCs/>
          <w:kern w:val="2"/>
          <w:szCs w:val="24"/>
          <w:lang w:eastAsia="zh-CN"/>
        </w:rPr>
        <w:t>***</w:t>
      </w:r>
      <w:r>
        <w:rPr>
          <w:rFonts w:eastAsia="等线" w:cs="Times New Roman"/>
          <w:kern w:val="2"/>
          <w:szCs w:val="24"/>
          <w:lang w:eastAsia="zh-CN"/>
        </w:rPr>
        <w:t>P &lt; 0.001).</w:t>
      </w:r>
    </w:p>
    <w:p>
      <w:pPr>
        <w:pStyle w:val="2"/>
        <w:numPr>
          <w:ilvl w:val="0"/>
          <w:numId w:val="0"/>
        </w:numPr>
        <w:rPr>
          <w:rFonts w:eastAsiaTheme="minorEastAsia"/>
          <w:lang w:eastAsia="zh-CN"/>
        </w:rPr>
      </w:pPr>
      <w:r>
        <w:rPr>
          <w:rFonts w:eastAsiaTheme="minorEastAsia"/>
          <w:lang w:eastAsia="zh-CN"/>
        </w:rPr>
        <w:t>References</w:t>
      </w:r>
    </w:p>
    <w:p>
      <w:pPr>
        <w:pStyle w:val="59"/>
        <w:ind w:left="720" w:hanging="720"/>
        <w:jc w:val="left"/>
      </w:pPr>
      <w:r>
        <w:rPr>
          <w:bCs/>
          <w:szCs w:val="24"/>
          <w:lang w:eastAsia="zh-CN"/>
        </w:rPr>
        <w:fldChar w:fldCharType="begin"/>
      </w:r>
      <w:r>
        <w:rPr>
          <w:bCs/>
          <w:szCs w:val="24"/>
          <w:lang w:eastAsia="zh-CN"/>
        </w:rPr>
        <w:instrText xml:space="preserve"> ADDIN EN.REFLIST </w:instrText>
      </w:r>
      <w:r>
        <w:rPr>
          <w:bCs/>
          <w:szCs w:val="24"/>
          <w:lang w:eastAsia="zh-CN"/>
        </w:rPr>
        <w:fldChar w:fldCharType="separate"/>
      </w:r>
      <w:r>
        <w:t>1.</w:t>
      </w:r>
      <w:r>
        <w:tab/>
      </w:r>
      <w:r>
        <w:t xml:space="preserve">National Research Council Committee for the Update of the Guide for the, C. and A. Use of Laboratory, </w:t>
      </w:r>
      <w:r>
        <w:rPr>
          <w:i/>
        </w:rPr>
        <w:t>The National Academies Collection: Reports funded by National Institutes of Health</w:t>
      </w:r>
      <w:r>
        <w:t xml:space="preserve">, in </w:t>
      </w:r>
      <w:r>
        <w:rPr>
          <w:i/>
        </w:rPr>
        <w:t>Guide for the Care and Use of Laboratory Animals</w:t>
      </w:r>
      <w:r>
        <w:t>. 2011, National Academies Press (US)</w:t>
      </w:r>
    </w:p>
    <w:p>
      <w:pPr>
        <w:pStyle w:val="59"/>
        <w:spacing w:after="0"/>
        <w:ind w:left="720" w:hanging="720"/>
        <w:jc w:val="left"/>
      </w:pPr>
      <w:r>
        <w:t>Copyright © 2011, National Academy of Sciences.: Washington (DC).</w:t>
      </w:r>
    </w:p>
    <w:p>
      <w:pPr>
        <w:pStyle w:val="59"/>
        <w:spacing w:after="0"/>
        <w:ind w:left="720" w:hanging="720"/>
        <w:jc w:val="left"/>
      </w:pPr>
      <w:r>
        <w:t>2.</w:t>
      </w:r>
      <w:r>
        <w:tab/>
      </w:r>
      <w:r>
        <w:t xml:space="preserve">Chanput, W., J.J. Mes, and H.J. Wichers, </w:t>
      </w:r>
      <w:r>
        <w:rPr>
          <w:i/>
        </w:rPr>
        <w:t>THP-1 cell line: an in vitro cell model for immune modulation approach.</w:t>
      </w:r>
      <w:r>
        <w:t xml:space="preserve"> Int Immunopharmacol, 2014. </w:t>
      </w:r>
      <w:r>
        <w:rPr>
          <w:b/>
        </w:rPr>
        <w:t>23</w:t>
      </w:r>
      <w:r>
        <w:t>(1): p. 37-45.</w:t>
      </w:r>
    </w:p>
    <w:p>
      <w:pPr>
        <w:pStyle w:val="59"/>
        <w:spacing w:after="0"/>
        <w:ind w:left="720" w:hanging="720"/>
        <w:jc w:val="left"/>
      </w:pPr>
      <w:r>
        <w:t>3.</w:t>
      </w:r>
      <w:r>
        <w:tab/>
      </w:r>
      <w:r>
        <w:t xml:space="preserve">Genin, M., et al., </w:t>
      </w:r>
      <w:r>
        <w:rPr>
          <w:i/>
        </w:rPr>
        <w:t>M1 and M2 macrophages derived from THP-1 cells differentially modulate the response of cancer cells to etoposide.</w:t>
      </w:r>
      <w:r>
        <w:t xml:space="preserve"> BMC Cancer, 2015. </w:t>
      </w:r>
      <w:r>
        <w:rPr>
          <w:b/>
        </w:rPr>
        <w:t>15</w:t>
      </w:r>
      <w:r>
        <w:t>: p. 577.</w:t>
      </w:r>
    </w:p>
    <w:p>
      <w:pPr>
        <w:pStyle w:val="59"/>
        <w:ind w:left="720" w:hanging="720"/>
        <w:jc w:val="left"/>
      </w:pPr>
      <w:r>
        <w:t>4.</w:t>
      </w:r>
      <w:r>
        <w:tab/>
      </w:r>
      <w:r>
        <w:t xml:space="preserve">Daigneault, M., et al., </w:t>
      </w:r>
      <w:r>
        <w:rPr>
          <w:i/>
        </w:rPr>
        <w:t>The identification of markers of macrophage differentiation in PMA-stimulated THP-1 cells and monocyte-derived macrophages.</w:t>
      </w:r>
      <w:r>
        <w:t xml:space="preserve"> PLoS One, 2010. </w:t>
      </w:r>
      <w:r>
        <w:rPr>
          <w:b/>
        </w:rPr>
        <w:t>5</w:t>
      </w:r>
      <w:r>
        <w:t>(1): p. e8668.</w:t>
      </w:r>
    </w:p>
    <w:p>
      <w:pPr>
        <w:rPr>
          <w:rFonts w:cs="Times New Roman"/>
          <w:bCs/>
          <w:szCs w:val="24"/>
          <w:lang w:eastAsia="zh-CN"/>
        </w:rPr>
      </w:pPr>
      <w:r>
        <w:rPr>
          <w:rFonts w:cs="Times New Roman"/>
          <w:bCs/>
          <w:szCs w:val="24"/>
          <w:lang w:eastAsia="zh-CN"/>
        </w:rPr>
        <w:fldChar w:fldCharType="end"/>
      </w:r>
    </w:p>
    <w:sectPr>
      <w:footerReference r:id="rId6" w:type="default"/>
      <w:headerReference r:id="rId5" w:type="even"/>
      <w:footerReference r:id="rId7" w:type="even"/>
      <w:pgSz w:w="12240" w:h="15840"/>
      <w:pgMar w:top="1138" w:right="1181" w:bottom="1138" w:left="1282"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eastAsia="zh-CN"/>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720"/>
  <w:evenAndOddHeaders w:val="1"/>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D20B5"/>
    <w:rsid w:val="0001436A"/>
    <w:rsid w:val="00033D56"/>
    <w:rsid w:val="00034304"/>
    <w:rsid w:val="00035434"/>
    <w:rsid w:val="00052A14"/>
    <w:rsid w:val="00077D53"/>
    <w:rsid w:val="000800D7"/>
    <w:rsid w:val="00094587"/>
    <w:rsid w:val="00094A82"/>
    <w:rsid w:val="00095D66"/>
    <w:rsid w:val="000C5E44"/>
    <w:rsid w:val="000C7BDE"/>
    <w:rsid w:val="000E4E3E"/>
    <w:rsid w:val="00105FD9"/>
    <w:rsid w:val="00111E9D"/>
    <w:rsid w:val="00117666"/>
    <w:rsid w:val="001549D3"/>
    <w:rsid w:val="00160065"/>
    <w:rsid w:val="00175D4E"/>
    <w:rsid w:val="00176758"/>
    <w:rsid w:val="00177D84"/>
    <w:rsid w:val="001D0ABC"/>
    <w:rsid w:val="001D5D21"/>
    <w:rsid w:val="002043C7"/>
    <w:rsid w:val="00214D24"/>
    <w:rsid w:val="00215756"/>
    <w:rsid w:val="00221E5F"/>
    <w:rsid w:val="00227CF1"/>
    <w:rsid w:val="00245CF1"/>
    <w:rsid w:val="0025065D"/>
    <w:rsid w:val="00251D32"/>
    <w:rsid w:val="00267D18"/>
    <w:rsid w:val="00274347"/>
    <w:rsid w:val="002868E2"/>
    <w:rsid w:val="002869C3"/>
    <w:rsid w:val="002936E4"/>
    <w:rsid w:val="002B4A57"/>
    <w:rsid w:val="002C74CA"/>
    <w:rsid w:val="002F45D2"/>
    <w:rsid w:val="002F6FFE"/>
    <w:rsid w:val="003123F4"/>
    <w:rsid w:val="00351B31"/>
    <w:rsid w:val="003544FB"/>
    <w:rsid w:val="00357E14"/>
    <w:rsid w:val="003C1874"/>
    <w:rsid w:val="003C2C07"/>
    <w:rsid w:val="003C4017"/>
    <w:rsid w:val="003C7A19"/>
    <w:rsid w:val="003D1C01"/>
    <w:rsid w:val="003D2F2D"/>
    <w:rsid w:val="00401590"/>
    <w:rsid w:val="00402438"/>
    <w:rsid w:val="004472B1"/>
    <w:rsid w:val="00447801"/>
    <w:rsid w:val="00452E9C"/>
    <w:rsid w:val="00466AFB"/>
    <w:rsid w:val="0047257B"/>
    <w:rsid w:val="004735C8"/>
    <w:rsid w:val="004947A6"/>
    <w:rsid w:val="004961FF"/>
    <w:rsid w:val="004B542E"/>
    <w:rsid w:val="00510ED5"/>
    <w:rsid w:val="00517A89"/>
    <w:rsid w:val="005250F2"/>
    <w:rsid w:val="00534672"/>
    <w:rsid w:val="00574BF7"/>
    <w:rsid w:val="00593EEA"/>
    <w:rsid w:val="00595BA4"/>
    <w:rsid w:val="00595F75"/>
    <w:rsid w:val="005A5EEE"/>
    <w:rsid w:val="005B673F"/>
    <w:rsid w:val="005B75B4"/>
    <w:rsid w:val="005D7686"/>
    <w:rsid w:val="0063030B"/>
    <w:rsid w:val="006375C7"/>
    <w:rsid w:val="00645F1A"/>
    <w:rsid w:val="00654E8F"/>
    <w:rsid w:val="0066064B"/>
    <w:rsid w:val="00660D05"/>
    <w:rsid w:val="00681081"/>
    <w:rsid w:val="006820B1"/>
    <w:rsid w:val="00682FB5"/>
    <w:rsid w:val="00697002"/>
    <w:rsid w:val="006A5B41"/>
    <w:rsid w:val="006B7D14"/>
    <w:rsid w:val="00701727"/>
    <w:rsid w:val="0070566C"/>
    <w:rsid w:val="00714C50"/>
    <w:rsid w:val="00716F65"/>
    <w:rsid w:val="00725A7D"/>
    <w:rsid w:val="007501BE"/>
    <w:rsid w:val="00753846"/>
    <w:rsid w:val="007544BB"/>
    <w:rsid w:val="00765403"/>
    <w:rsid w:val="00776BD3"/>
    <w:rsid w:val="00790BB3"/>
    <w:rsid w:val="00791E0B"/>
    <w:rsid w:val="007A0811"/>
    <w:rsid w:val="007C206C"/>
    <w:rsid w:val="007F0F19"/>
    <w:rsid w:val="00801846"/>
    <w:rsid w:val="00813635"/>
    <w:rsid w:val="00817DD6"/>
    <w:rsid w:val="0083759F"/>
    <w:rsid w:val="00847EB3"/>
    <w:rsid w:val="00850839"/>
    <w:rsid w:val="008632B9"/>
    <w:rsid w:val="00885156"/>
    <w:rsid w:val="008C7D90"/>
    <w:rsid w:val="0090113A"/>
    <w:rsid w:val="00904AAB"/>
    <w:rsid w:val="00906CFA"/>
    <w:rsid w:val="009151AA"/>
    <w:rsid w:val="00917AF2"/>
    <w:rsid w:val="0093429D"/>
    <w:rsid w:val="00943573"/>
    <w:rsid w:val="00947027"/>
    <w:rsid w:val="00963171"/>
    <w:rsid w:val="00964134"/>
    <w:rsid w:val="00966013"/>
    <w:rsid w:val="009678D4"/>
    <w:rsid w:val="00970F7D"/>
    <w:rsid w:val="009744E3"/>
    <w:rsid w:val="009774C4"/>
    <w:rsid w:val="009853AD"/>
    <w:rsid w:val="00994A3D"/>
    <w:rsid w:val="009A60E2"/>
    <w:rsid w:val="009C2B12"/>
    <w:rsid w:val="009D75BF"/>
    <w:rsid w:val="009E46A0"/>
    <w:rsid w:val="00A12475"/>
    <w:rsid w:val="00A174D9"/>
    <w:rsid w:val="00A37D7C"/>
    <w:rsid w:val="00A43B9F"/>
    <w:rsid w:val="00A666E4"/>
    <w:rsid w:val="00AA4D24"/>
    <w:rsid w:val="00AB2458"/>
    <w:rsid w:val="00AB6715"/>
    <w:rsid w:val="00AC4512"/>
    <w:rsid w:val="00B1671E"/>
    <w:rsid w:val="00B218CC"/>
    <w:rsid w:val="00B22FCB"/>
    <w:rsid w:val="00B23FFC"/>
    <w:rsid w:val="00B25EB8"/>
    <w:rsid w:val="00B359D3"/>
    <w:rsid w:val="00B37F4D"/>
    <w:rsid w:val="00B46633"/>
    <w:rsid w:val="00B565B3"/>
    <w:rsid w:val="00B65B74"/>
    <w:rsid w:val="00B87D7B"/>
    <w:rsid w:val="00B97C92"/>
    <w:rsid w:val="00BD0B96"/>
    <w:rsid w:val="00C029EF"/>
    <w:rsid w:val="00C15FAE"/>
    <w:rsid w:val="00C175BE"/>
    <w:rsid w:val="00C2479E"/>
    <w:rsid w:val="00C24B9A"/>
    <w:rsid w:val="00C35DCD"/>
    <w:rsid w:val="00C42E18"/>
    <w:rsid w:val="00C52A7B"/>
    <w:rsid w:val="00C56BAF"/>
    <w:rsid w:val="00C64B3A"/>
    <w:rsid w:val="00C679AA"/>
    <w:rsid w:val="00C75972"/>
    <w:rsid w:val="00CB45FF"/>
    <w:rsid w:val="00CB7D74"/>
    <w:rsid w:val="00CD066B"/>
    <w:rsid w:val="00CD5CB2"/>
    <w:rsid w:val="00CE4FEE"/>
    <w:rsid w:val="00CF50DA"/>
    <w:rsid w:val="00D01FC0"/>
    <w:rsid w:val="00D060CF"/>
    <w:rsid w:val="00D16EA2"/>
    <w:rsid w:val="00D17FA4"/>
    <w:rsid w:val="00D40D61"/>
    <w:rsid w:val="00D415FD"/>
    <w:rsid w:val="00D45F02"/>
    <w:rsid w:val="00D5655B"/>
    <w:rsid w:val="00D66F52"/>
    <w:rsid w:val="00D84E27"/>
    <w:rsid w:val="00DA13F2"/>
    <w:rsid w:val="00DA5333"/>
    <w:rsid w:val="00DB59C3"/>
    <w:rsid w:val="00DC259A"/>
    <w:rsid w:val="00DC5E4D"/>
    <w:rsid w:val="00DE23E8"/>
    <w:rsid w:val="00DF0A3D"/>
    <w:rsid w:val="00DF427E"/>
    <w:rsid w:val="00E052C2"/>
    <w:rsid w:val="00E25829"/>
    <w:rsid w:val="00E47688"/>
    <w:rsid w:val="00E51FE0"/>
    <w:rsid w:val="00E52377"/>
    <w:rsid w:val="00E537AD"/>
    <w:rsid w:val="00E64E17"/>
    <w:rsid w:val="00E835AB"/>
    <w:rsid w:val="00E84FA3"/>
    <w:rsid w:val="00E866C9"/>
    <w:rsid w:val="00E93614"/>
    <w:rsid w:val="00EA3D3C"/>
    <w:rsid w:val="00EB2B8C"/>
    <w:rsid w:val="00EB3674"/>
    <w:rsid w:val="00EB7512"/>
    <w:rsid w:val="00EC090A"/>
    <w:rsid w:val="00ED20B5"/>
    <w:rsid w:val="00ED5B29"/>
    <w:rsid w:val="00EE3DFA"/>
    <w:rsid w:val="00EF2B1D"/>
    <w:rsid w:val="00F442CF"/>
    <w:rsid w:val="00F46900"/>
    <w:rsid w:val="00F569A4"/>
    <w:rsid w:val="00F61D89"/>
    <w:rsid w:val="00F631AA"/>
    <w:rsid w:val="00F669C5"/>
    <w:rsid w:val="00F72442"/>
    <w:rsid w:val="00F7355B"/>
    <w:rsid w:val="00F76D27"/>
    <w:rsid w:val="00F76D33"/>
    <w:rsid w:val="00F9168F"/>
    <w:rsid w:val="00F91917"/>
    <w:rsid w:val="00F96677"/>
    <w:rsid w:val="00FC1323"/>
    <w:rsid w:val="00FE0959"/>
    <w:rsid w:val="00FF7263"/>
    <w:rsid w:val="467F6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EastAsia" w:cstheme="minorBidi"/>
      <w:sz w:val="24"/>
      <w:szCs w:val="22"/>
      <w:lang w:val="en-US" w:eastAsia="en-US" w:bidi="ar-SA"/>
    </w:rPr>
  </w:style>
  <w:style w:type="paragraph" w:styleId="2">
    <w:name w:val="heading 1"/>
    <w:basedOn w:val="3"/>
    <w:next w:val="1"/>
    <w:link w:val="32"/>
    <w:qFormat/>
    <w:uiPriority w:val="2"/>
    <w:pPr>
      <w:numPr>
        <w:ilvl w:val="0"/>
        <w:numId w:val="1"/>
      </w:numPr>
      <w:spacing w:before="240"/>
      <w:contextualSpacing w:val="0"/>
      <w:outlineLvl w:val="0"/>
    </w:pPr>
    <w:rPr>
      <w:b/>
    </w:rPr>
  </w:style>
  <w:style w:type="paragraph" w:styleId="4">
    <w:name w:val="heading 2"/>
    <w:basedOn w:val="2"/>
    <w:next w:val="1"/>
    <w:link w:val="33"/>
    <w:qFormat/>
    <w:uiPriority w:val="2"/>
    <w:pPr>
      <w:numPr>
        <w:ilvl w:val="1"/>
      </w:numPr>
      <w:spacing w:after="200"/>
      <w:outlineLvl w:val="1"/>
    </w:pPr>
  </w:style>
  <w:style w:type="paragraph" w:styleId="5">
    <w:name w:val="heading 3"/>
    <w:basedOn w:val="1"/>
    <w:next w:val="1"/>
    <w:link w:val="46"/>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7"/>
    <w:qFormat/>
    <w:uiPriority w:val="2"/>
    <w:pPr>
      <w:numPr>
        <w:ilvl w:val="3"/>
      </w:numPr>
      <w:outlineLvl w:val="3"/>
    </w:pPr>
    <w:rPr>
      <w:iCs/>
    </w:rPr>
  </w:style>
  <w:style w:type="paragraph" w:styleId="7">
    <w:name w:val="heading 5"/>
    <w:basedOn w:val="6"/>
    <w:next w:val="1"/>
    <w:link w:val="48"/>
    <w:qFormat/>
    <w:uiPriority w:val="2"/>
    <w:pPr>
      <w:numPr>
        <w:ilvl w:val="4"/>
      </w:numPr>
      <w:outlineLvl w:val="4"/>
    </w:p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34"/>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pPr>
      <w:spacing w:after="0" w:line="240" w:lineRule="auto"/>
    </w:pPr>
    <w:rPr>
      <w:rFonts w:ascii="Times New Roman" w:hAnsi="Times New Roman" w:eastAsiaTheme="minorEastAsia" w:cstheme="minorBidi"/>
      <w:sz w:val="24"/>
      <w:szCs w:val="22"/>
      <w:lang w:val="en-US" w:eastAsia="en-US" w:bidi="ar-SA"/>
    </w:rPr>
  </w:style>
  <w:style w:type="paragraph" w:styleId="10">
    <w:name w:val="annotation text"/>
    <w:basedOn w:val="1"/>
    <w:link w:val="38"/>
    <w:semiHidden/>
    <w:unhideWhenUsed/>
    <w:uiPriority w:val="99"/>
    <w:rPr>
      <w:sz w:val="20"/>
      <w:szCs w:val="20"/>
    </w:rPr>
  </w:style>
  <w:style w:type="paragraph" w:styleId="11">
    <w:name w:val="Plain Text"/>
    <w:basedOn w:val="1"/>
    <w:link w:val="55"/>
    <w:qFormat/>
    <w:uiPriority w:val="0"/>
    <w:pPr>
      <w:widowControl w:val="0"/>
      <w:spacing w:before="0" w:after="0"/>
      <w:jc w:val="both"/>
    </w:pPr>
    <w:rPr>
      <w:rFonts w:ascii="宋体" w:hAnsi="Courier New" w:eastAsia="宋体" w:cs="Times New Roman"/>
      <w:color w:val="000000"/>
      <w:kern w:val="2"/>
      <w:sz w:val="21"/>
      <w:szCs w:val="20"/>
      <w:lang w:eastAsia="zh-CN"/>
    </w:rPr>
  </w:style>
  <w:style w:type="paragraph" w:styleId="12">
    <w:name w:val="endnote text"/>
    <w:basedOn w:val="1"/>
    <w:link w:val="40"/>
    <w:semiHidden/>
    <w:unhideWhenUsed/>
    <w:qFormat/>
    <w:uiPriority w:val="99"/>
    <w:pPr>
      <w:spacing w:after="0"/>
    </w:pPr>
    <w:rPr>
      <w:sz w:val="20"/>
      <w:szCs w:val="20"/>
    </w:rPr>
  </w:style>
  <w:style w:type="paragraph" w:styleId="13">
    <w:name w:val="Balloon Text"/>
    <w:basedOn w:val="1"/>
    <w:link w:val="36"/>
    <w:semiHidden/>
    <w:unhideWhenUsed/>
    <w:qFormat/>
    <w:uiPriority w:val="99"/>
    <w:pPr>
      <w:spacing w:after="0"/>
    </w:pPr>
    <w:rPr>
      <w:rFonts w:ascii="Tahoma" w:hAnsi="Tahoma" w:cs="Tahoma"/>
      <w:sz w:val="16"/>
      <w:szCs w:val="16"/>
    </w:rPr>
  </w:style>
  <w:style w:type="paragraph" w:styleId="14">
    <w:name w:val="footer"/>
    <w:basedOn w:val="1"/>
    <w:link w:val="41"/>
    <w:unhideWhenUsed/>
    <w:qFormat/>
    <w:uiPriority w:val="99"/>
    <w:pPr>
      <w:tabs>
        <w:tab w:val="center" w:pos="4844"/>
        <w:tab w:val="right" w:pos="9689"/>
      </w:tabs>
      <w:spacing w:after="0"/>
    </w:pPr>
  </w:style>
  <w:style w:type="paragraph" w:styleId="15">
    <w:name w:val="header"/>
    <w:basedOn w:val="1"/>
    <w:link w:val="43"/>
    <w:unhideWhenUsed/>
    <w:qFormat/>
    <w:uiPriority w:val="99"/>
    <w:pPr>
      <w:tabs>
        <w:tab w:val="center" w:pos="4844"/>
        <w:tab w:val="right" w:pos="9689"/>
      </w:tabs>
    </w:pPr>
    <w:rPr>
      <w:b/>
    </w:rPr>
  </w:style>
  <w:style w:type="paragraph" w:styleId="16">
    <w:name w:val="Subtitle"/>
    <w:basedOn w:val="1"/>
    <w:next w:val="1"/>
    <w:link w:val="34"/>
    <w:unhideWhenUsed/>
    <w:qFormat/>
    <w:uiPriority w:val="99"/>
    <w:pPr>
      <w:spacing w:before="240"/>
    </w:pPr>
    <w:rPr>
      <w:rFonts w:cs="Times New Roman"/>
      <w:b/>
      <w:szCs w:val="24"/>
    </w:rPr>
  </w:style>
  <w:style w:type="paragraph" w:styleId="17">
    <w:name w:val="footnote text"/>
    <w:basedOn w:val="1"/>
    <w:link w:val="42"/>
    <w:semiHidden/>
    <w:unhideWhenUsed/>
    <w:qFormat/>
    <w:uiPriority w:val="99"/>
    <w:pPr>
      <w:spacing w:after="0"/>
    </w:pPr>
    <w:rPr>
      <w:sz w:val="20"/>
      <w:szCs w:val="20"/>
    </w:rPr>
  </w:style>
  <w:style w:type="paragraph" w:styleId="18">
    <w:name w:val="Normal (Web)"/>
    <w:basedOn w:val="1"/>
    <w:unhideWhenUsed/>
    <w:qFormat/>
    <w:uiPriority w:val="99"/>
    <w:pPr>
      <w:spacing w:before="100" w:beforeAutospacing="1" w:after="100" w:afterAutospacing="1"/>
    </w:pPr>
    <w:rPr>
      <w:rFonts w:eastAsia="Times New Roman" w:cs="Times New Roman"/>
      <w:szCs w:val="24"/>
    </w:rPr>
  </w:style>
  <w:style w:type="paragraph" w:styleId="19">
    <w:name w:val="Title"/>
    <w:basedOn w:val="1"/>
    <w:next w:val="1"/>
    <w:link w:val="52"/>
    <w:qFormat/>
    <w:uiPriority w:val="0"/>
    <w:pPr>
      <w:suppressLineNumbers/>
      <w:spacing w:before="240" w:after="360"/>
      <w:jc w:val="center"/>
    </w:pPr>
    <w:rPr>
      <w:rFonts w:cs="Times New Roman"/>
      <w:b/>
      <w:sz w:val="32"/>
      <w:szCs w:val="32"/>
    </w:rPr>
  </w:style>
  <w:style w:type="paragraph" w:styleId="20">
    <w:name w:val="annotation subject"/>
    <w:basedOn w:val="10"/>
    <w:next w:val="10"/>
    <w:link w:val="39"/>
    <w:semiHidden/>
    <w:unhideWhenUsed/>
    <w:qFormat/>
    <w:uiPriority w:val="99"/>
    <w:rPr>
      <w:b/>
      <w:bCs/>
    </w:rPr>
  </w:style>
  <w:style w:type="table" w:styleId="22">
    <w:name w:val="Table Grid"/>
    <w:basedOn w:val="21"/>
    <w:qFormat/>
    <w:uiPriority w:val="3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rFonts w:ascii="Times New Roman" w:hAnsi="Times New Roman"/>
      <w:b/>
      <w:bCs/>
    </w:rPr>
  </w:style>
  <w:style w:type="character" w:styleId="25">
    <w:name w:val="endnote reference"/>
    <w:basedOn w:val="23"/>
    <w:semiHidden/>
    <w:unhideWhenUsed/>
    <w:qFormat/>
    <w:uiPriority w:val="99"/>
    <w:rPr>
      <w:vertAlign w:val="superscript"/>
    </w:rPr>
  </w:style>
  <w:style w:type="character" w:styleId="26">
    <w:name w:val="FollowedHyperlink"/>
    <w:basedOn w:val="23"/>
    <w:semiHidden/>
    <w:unhideWhenUsed/>
    <w:qFormat/>
    <w:uiPriority w:val="99"/>
    <w:rPr>
      <w:color w:val="800080" w:themeColor="followedHyperlink"/>
      <w:u w:val="single"/>
      <w14:textFill>
        <w14:solidFill>
          <w14:schemeClr w14:val="folHlink"/>
        </w14:solidFill>
      </w14:textFill>
    </w:rPr>
  </w:style>
  <w:style w:type="character" w:styleId="27">
    <w:name w:val="Emphasis"/>
    <w:basedOn w:val="23"/>
    <w:qFormat/>
    <w:uiPriority w:val="20"/>
    <w:rPr>
      <w:rFonts w:ascii="Times New Roman" w:hAnsi="Times New Roman"/>
      <w:i/>
      <w:iCs/>
    </w:rPr>
  </w:style>
  <w:style w:type="character" w:styleId="28">
    <w:name w:val="line number"/>
    <w:basedOn w:val="23"/>
    <w:semiHidden/>
    <w:unhideWhenUsed/>
    <w:qFormat/>
    <w:uiPriority w:val="99"/>
  </w:style>
  <w:style w:type="character" w:styleId="29">
    <w:name w:val="Hyperlink"/>
    <w:basedOn w:val="23"/>
    <w:unhideWhenUsed/>
    <w:qFormat/>
    <w:uiPriority w:val="99"/>
    <w:rPr>
      <w:color w:val="0000FF"/>
      <w:u w:val="single"/>
    </w:rPr>
  </w:style>
  <w:style w:type="character" w:styleId="30">
    <w:name w:val="annotation reference"/>
    <w:basedOn w:val="23"/>
    <w:semiHidden/>
    <w:unhideWhenUsed/>
    <w:qFormat/>
    <w:uiPriority w:val="99"/>
    <w:rPr>
      <w:sz w:val="16"/>
      <w:szCs w:val="16"/>
    </w:rPr>
  </w:style>
  <w:style w:type="character" w:styleId="31">
    <w:name w:val="footnote reference"/>
    <w:basedOn w:val="23"/>
    <w:semiHidden/>
    <w:unhideWhenUsed/>
    <w:qFormat/>
    <w:uiPriority w:val="99"/>
    <w:rPr>
      <w:vertAlign w:val="superscript"/>
    </w:rPr>
  </w:style>
  <w:style w:type="character" w:customStyle="1" w:styleId="32">
    <w:name w:val="标题 1 字符"/>
    <w:basedOn w:val="23"/>
    <w:link w:val="2"/>
    <w:qFormat/>
    <w:uiPriority w:val="2"/>
    <w:rPr>
      <w:rFonts w:ascii="Times New Roman" w:hAnsi="Times New Roman" w:eastAsia="Cambria" w:cs="Times New Roman"/>
      <w:b/>
      <w:sz w:val="24"/>
      <w:szCs w:val="24"/>
    </w:rPr>
  </w:style>
  <w:style w:type="character" w:customStyle="1" w:styleId="33">
    <w:name w:val="标题 2 字符"/>
    <w:basedOn w:val="23"/>
    <w:link w:val="4"/>
    <w:qFormat/>
    <w:uiPriority w:val="2"/>
    <w:rPr>
      <w:rFonts w:ascii="Times New Roman" w:hAnsi="Times New Roman" w:eastAsia="Cambria" w:cs="Times New Roman"/>
      <w:b/>
      <w:sz w:val="24"/>
      <w:szCs w:val="24"/>
    </w:rPr>
  </w:style>
  <w:style w:type="character" w:customStyle="1" w:styleId="34">
    <w:name w:val="副标题 字符"/>
    <w:basedOn w:val="23"/>
    <w:link w:val="16"/>
    <w:qFormat/>
    <w:uiPriority w:val="99"/>
    <w:rPr>
      <w:rFonts w:ascii="Times New Roman" w:hAnsi="Times New Roman" w:cs="Times New Roman"/>
      <w:b/>
      <w:sz w:val="24"/>
      <w:szCs w:val="24"/>
    </w:rPr>
  </w:style>
  <w:style w:type="paragraph" w:customStyle="1" w:styleId="35">
    <w:name w:val="Author List"/>
    <w:basedOn w:val="16"/>
    <w:next w:val="1"/>
    <w:qFormat/>
    <w:uiPriority w:val="1"/>
  </w:style>
  <w:style w:type="character" w:customStyle="1" w:styleId="36">
    <w:name w:val="批注框文本 字符"/>
    <w:basedOn w:val="23"/>
    <w:link w:val="13"/>
    <w:semiHidden/>
    <w:uiPriority w:val="99"/>
    <w:rPr>
      <w:rFonts w:ascii="Tahoma" w:hAnsi="Tahoma" w:cs="Tahoma"/>
      <w:sz w:val="16"/>
      <w:szCs w:val="16"/>
    </w:rPr>
  </w:style>
  <w:style w:type="character" w:customStyle="1" w:styleId="37">
    <w:name w:val="Book Title"/>
    <w:basedOn w:val="23"/>
    <w:qFormat/>
    <w:uiPriority w:val="33"/>
    <w:rPr>
      <w:rFonts w:ascii="Times New Roman" w:hAnsi="Times New Roman"/>
      <w:b/>
      <w:bCs/>
      <w:i/>
      <w:iCs/>
      <w:spacing w:val="5"/>
    </w:rPr>
  </w:style>
  <w:style w:type="character" w:customStyle="1" w:styleId="38">
    <w:name w:val="批注文字 字符"/>
    <w:basedOn w:val="23"/>
    <w:link w:val="10"/>
    <w:semiHidden/>
    <w:qFormat/>
    <w:uiPriority w:val="99"/>
    <w:rPr>
      <w:rFonts w:ascii="Times New Roman" w:hAnsi="Times New Roman"/>
      <w:sz w:val="20"/>
      <w:szCs w:val="20"/>
    </w:rPr>
  </w:style>
  <w:style w:type="character" w:customStyle="1" w:styleId="39">
    <w:name w:val="批注主题 字符"/>
    <w:basedOn w:val="38"/>
    <w:link w:val="20"/>
    <w:semiHidden/>
    <w:qFormat/>
    <w:uiPriority w:val="99"/>
    <w:rPr>
      <w:rFonts w:ascii="Times New Roman" w:hAnsi="Times New Roman"/>
      <w:b/>
      <w:bCs/>
      <w:sz w:val="20"/>
      <w:szCs w:val="20"/>
    </w:rPr>
  </w:style>
  <w:style w:type="character" w:customStyle="1" w:styleId="40">
    <w:name w:val="尾注文本 字符"/>
    <w:basedOn w:val="23"/>
    <w:link w:val="12"/>
    <w:semiHidden/>
    <w:qFormat/>
    <w:uiPriority w:val="99"/>
    <w:rPr>
      <w:rFonts w:ascii="Times New Roman" w:hAnsi="Times New Roman"/>
      <w:sz w:val="20"/>
      <w:szCs w:val="20"/>
    </w:rPr>
  </w:style>
  <w:style w:type="character" w:customStyle="1" w:styleId="41">
    <w:name w:val="页脚 字符"/>
    <w:basedOn w:val="23"/>
    <w:link w:val="14"/>
    <w:qFormat/>
    <w:uiPriority w:val="99"/>
    <w:rPr>
      <w:rFonts w:ascii="Times New Roman" w:hAnsi="Times New Roman"/>
      <w:sz w:val="24"/>
    </w:rPr>
  </w:style>
  <w:style w:type="character" w:customStyle="1" w:styleId="42">
    <w:name w:val="脚注文本 字符"/>
    <w:basedOn w:val="23"/>
    <w:link w:val="17"/>
    <w:semiHidden/>
    <w:qFormat/>
    <w:uiPriority w:val="99"/>
    <w:rPr>
      <w:rFonts w:ascii="Times New Roman" w:hAnsi="Times New Roman"/>
      <w:sz w:val="20"/>
      <w:szCs w:val="20"/>
    </w:rPr>
  </w:style>
  <w:style w:type="character" w:customStyle="1" w:styleId="43">
    <w:name w:val="页眉 字符"/>
    <w:basedOn w:val="23"/>
    <w:link w:val="15"/>
    <w:qFormat/>
    <w:uiPriority w:val="99"/>
    <w:rPr>
      <w:rFonts w:ascii="Times New Roman" w:hAnsi="Times New Roman"/>
      <w:b/>
      <w:sz w:val="24"/>
    </w:rPr>
  </w:style>
  <w:style w:type="character" w:customStyle="1" w:styleId="44">
    <w:name w:val="Intense Emphasis"/>
    <w:basedOn w:val="23"/>
    <w:unhideWhenUsed/>
    <w:qFormat/>
    <w:uiPriority w:val="21"/>
    <w:rPr>
      <w:rFonts w:ascii="Times New Roman" w:hAnsi="Times New Roman"/>
      <w:i/>
      <w:iCs/>
      <w:color w:val="auto"/>
    </w:rPr>
  </w:style>
  <w:style w:type="character" w:customStyle="1" w:styleId="45">
    <w:name w:val="Intense Reference"/>
    <w:basedOn w:val="23"/>
    <w:qFormat/>
    <w:uiPriority w:val="32"/>
    <w:rPr>
      <w:b/>
      <w:bCs/>
      <w:smallCaps/>
      <w:color w:val="auto"/>
      <w:spacing w:val="5"/>
    </w:rPr>
  </w:style>
  <w:style w:type="character" w:customStyle="1" w:styleId="46">
    <w:name w:val="标题 3 字符"/>
    <w:basedOn w:val="23"/>
    <w:link w:val="5"/>
    <w:qFormat/>
    <w:uiPriority w:val="2"/>
    <w:rPr>
      <w:rFonts w:ascii="Times New Roman" w:hAnsi="Times New Roman" w:eastAsiaTheme="majorEastAsia" w:cstheme="majorBidi"/>
      <w:b/>
      <w:sz w:val="24"/>
      <w:szCs w:val="24"/>
    </w:rPr>
  </w:style>
  <w:style w:type="character" w:customStyle="1" w:styleId="47">
    <w:name w:val="标题 4 字符"/>
    <w:basedOn w:val="23"/>
    <w:link w:val="6"/>
    <w:qFormat/>
    <w:uiPriority w:val="2"/>
    <w:rPr>
      <w:rFonts w:ascii="Times New Roman" w:hAnsi="Times New Roman" w:eastAsiaTheme="majorEastAsia" w:cstheme="majorBidi"/>
      <w:b/>
      <w:iCs/>
      <w:sz w:val="24"/>
      <w:szCs w:val="24"/>
    </w:rPr>
  </w:style>
  <w:style w:type="character" w:customStyle="1" w:styleId="48">
    <w:name w:val="标题 5 字符"/>
    <w:basedOn w:val="23"/>
    <w:link w:val="7"/>
    <w:qFormat/>
    <w:uiPriority w:val="2"/>
    <w:rPr>
      <w:rFonts w:ascii="Times New Roman" w:hAnsi="Times New Roman" w:eastAsiaTheme="majorEastAsia" w:cstheme="majorBidi"/>
      <w:b/>
      <w:iCs/>
      <w:sz w:val="24"/>
      <w:szCs w:val="24"/>
    </w:rPr>
  </w:style>
  <w:style w:type="paragraph" w:styleId="49">
    <w:name w:val="Quote"/>
    <w:basedOn w:val="1"/>
    <w:next w:val="1"/>
    <w:link w:val="50"/>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0">
    <w:name w:val="引用 字符"/>
    <w:basedOn w:val="23"/>
    <w:link w:val="49"/>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1">
    <w:name w:val="Subtle Emphasis"/>
    <w:basedOn w:val="23"/>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2">
    <w:name w:val="标题 字符"/>
    <w:basedOn w:val="23"/>
    <w:link w:val="19"/>
    <w:qFormat/>
    <w:uiPriority w:val="0"/>
    <w:rPr>
      <w:rFonts w:ascii="Times New Roman" w:hAnsi="Times New Roman" w:cs="Times New Roman"/>
      <w:b/>
      <w:sz w:val="32"/>
      <w:szCs w:val="32"/>
    </w:rPr>
  </w:style>
  <w:style w:type="paragraph" w:customStyle="1" w:styleId="53">
    <w:name w:val="Supplementary Material"/>
    <w:basedOn w:val="19"/>
    <w:next w:val="19"/>
    <w:qFormat/>
    <w:uiPriority w:val="0"/>
    <w:pPr>
      <w:spacing w:after="120"/>
    </w:pPr>
    <w:rPr>
      <w:i/>
    </w:rPr>
  </w:style>
  <w:style w:type="character" w:customStyle="1" w:styleId="54">
    <w:name w:val="纯文本 字符"/>
    <w:basedOn w:val="23"/>
    <w:semiHidden/>
    <w:qFormat/>
    <w:uiPriority w:val="99"/>
    <w:rPr>
      <w:rFonts w:hAnsi="Courier New" w:cs="Courier New" w:asciiTheme="minorEastAsia"/>
      <w:sz w:val="24"/>
    </w:rPr>
  </w:style>
  <w:style w:type="character" w:customStyle="1" w:styleId="55">
    <w:name w:val="纯文本 字符1"/>
    <w:link w:val="11"/>
    <w:qFormat/>
    <w:uiPriority w:val="0"/>
    <w:rPr>
      <w:rFonts w:ascii="宋体" w:hAnsi="Courier New" w:eastAsia="宋体" w:cs="Times New Roman"/>
      <w:color w:val="000000"/>
      <w:kern w:val="2"/>
      <w:sz w:val="21"/>
      <w:szCs w:val="20"/>
      <w:lang w:eastAsia="zh-CN"/>
    </w:rPr>
  </w:style>
  <w:style w:type="character" w:customStyle="1" w:styleId="56">
    <w:name w:val="标题 3 Char"/>
    <w:qFormat/>
    <w:uiPriority w:val="0"/>
    <w:rPr>
      <w:b/>
      <w:bCs/>
      <w:kern w:val="2"/>
      <w:sz w:val="32"/>
      <w:szCs w:val="32"/>
      <w:lang w:val="zh-CN" w:eastAsia="zh-CN"/>
    </w:rPr>
  </w:style>
  <w:style w:type="paragraph" w:customStyle="1" w:styleId="57">
    <w:name w:val="EndNote Bibliography Title"/>
    <w:basedOn w:val="1"/>
    <w:link w:val="58"/>
    <w:qFormat/>
    <w:uiPriority w:val="0"/>
    <w:pPr>
      <w:spacing w:after="0"/>
      <w:jc w:val="center"/>
    </w:pPr>
    <w:rPr>
      <w:rFonts w:cs="Times New Roman"/>
    </w:rPr>
  </w:style>
  <w:style w:type="character" w:customStyle="1" w:styleId="58">
    <w:name w:val="EndNote Bibliography Title 字符"/>
    <w:basedOn w:val="23"/>
    <w:link w:val="57"/>
    <w:uiPriority w:val="0"/>
    <w:rPr>
      <w:rFonts w:ascii="Times New Roman" w:hAnsi="Times New Roman" w:cs="Times New Roman"/>
      <w:sz w:val="24"/>
    </w:rPr>
  </w:style>
  <w:style w:type="paragraph" w:customStyle="1" w:styleId="59">
    <w:name w:val="EndNote Bibliography"/>
    <w:basedOn w:val="1"/>
    <w:link w:val="60"/>
    <w:qFormat/>
    <w:uiPriority w:val="0"/>
    <w:pPr>
      <w:jc w:val="center"/>
    </w:pPr>
    <w:rPr>
      <w:rFonts w:cs="Times New Roman"/>
    </w:rPr>
  </w:style>
  <w:style w:type="character" w:customStyle="1" w:styleId="60">
    <w:name w:val="EndNote Bibliography 字符"/>
    <w:basedOn w:val="23"/>
    <w:link w:val="59"/>
    <w:qFormat/>
    <w:uiPriority w:val="0"/>
    <w:rPr>
      <w:rFonts w:ascii="Times New Roman" w:hAnsi="Times New Roman"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tiff"/><Relationship Id="rId14" Type="http://schemas.openxmlformats.org/officeDocument/2006/relationships/image" Target="media/image5.tiff"/><Relationship Id="rId13" Type="http://schemas.openxmlformats.org/officeDocument/2006/relationships/image" Target="media/image4.tiff"/><Relationship Id="rId12" Type="http://schemas.openxmlformats.org/officeDocument/2006/relationships/image" Target="media/image3.tiff"/><Relationship Id="rId11" Type="http://schemas.openxmlformats.org/officeDocument/2006/relationships/image" Target="media/image2.tiff"/><Relationship Id="rId10" Type="http://schemas.openxmlformats.org/officeDocument/2006/relationships/image" Target="media/image1.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73CCE6-BF60-4303-B66B-FFDF400CDF25}">
  <ds:schemaRefs/>
</ds:datastoreItem>
</file>

<file path=docProps/app.xml><?xml version="1.0" encoding="utf-8"?>
<Properties xmlns="http://schemas.openxmlformats.org/officeDocument/2006/extended-properties" xmlns:vt="http://schemas.openxmlformats.org/officeDocument/2006/docPropsVTypes">
  <Template>Supplementary_Material</Template>
  <Pages>14</Pages>
  <Words>2252</Words>
  <Characters>12839</Characters>
  <Lines>106</Lines>
  <Paragraphs>30</Paragraphs>
  <TotalTime>8</TotalTime>
  <ScaleCrop>false</ScaleCrop>
  <LinksUpToDate>false</LinksUpToDate>
  <CharactersWithSpaces>15061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2021-12-29T05:22:00Z</dcterms:created>
  <dc:creator>Frontiers Media SA</dc:creator>
  <cp:lastModifiedBy>Z</cp:lastModifiedBy>
  <cp:lastPrinted>2022-02-15T07:03:00Z</cp:lastPrinted>
  <dcterms:modified xsi:type="dcterms:W3CDTF">2022-02-16T05:15:09Z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1A8AC25DA4C942AC99B126D677311935</vt:lpwstr>
  </property>
</Properties>
</file>