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9358C" w14:textId="41CDDAE6" w:rsidR="007323F0" w:rsidRDefault="007323F0" w:rsidP="007323F0">
      <w:pPr>
        <w:spacing w:before="57" w:after="217" w:line="480" w:lineRule="auto"/>
        <w:rPr>
          <w:rFonts w:ascii="Arial" w:eastAsia="Arial" w:hAnsi="Arial" w:cs="Arial"/>
          <w:b/>
          <w:bCs/>
        </w:rPr>
      </w:pPr>
      <w:r>
        <w:rPr>
          <w:rFonts w:ascii="Arial" w:eastAsia="Arial" w:hAnsi="Arial" w:cs="Arial"/>
          <w:b/>
          <w:bCs/>
        </w:rPr>
        <w:t>APPENDIX</w:t>
      </w:r>
      <w:r>
        <w:rPr>
          <w:rFonts w:ascii="Arial" w:eastAsia="Arial" w:hAnsi="Arial" w:cs="Arial"/>
          <w:b/>
          <w:bCs/>
        </w:rPr>
        <w:t xml:space="preserve"> A</w:t>
      </w:r>
    </w:p>
    <w:p w14:paraId="5D6817B8" w14:textId="77777777" w:rsidR="007323F0" w:rsidRDefault="007323F0" w:rsidP="007323F0">
      <w:pPr>
        <w:spacing w:before="57" w:after="217" w:line="480" w:lineRule="auto"/>
        <w:rPr>
          <w:rFonts w:ascii="Arial" w:eastAsia="Arial" w:hAnsi="Arial" w:cs="Arial"/>
          <w:b/>
          <w:bCs/>
        </w:rPr>
      </w:pPr>
      <w:r>
        <w:rPr>
          <w:rFonts w:ascii="Arial" w:eastAsia="Arial" w:hAnsi="Arial" w:cs="Arial"/>
          <w:b/>
          <w:bCs/>
        </w:rPr>
        <w:t>Data Extraction and Cleaning</w:t>
      </w:r>
    </w:p>
    <w:p w14:paraId="7D62E234" w14:textId="77777777" w:rsidR="007323F0" w:rsidRDefault="007323F0" w:rsidP="007323F0">
      <w:pPr>
        <w:spacing w:before="57" w:after="217" w:line="480" w:lineRule="auto"/>
        <w:ind w:firstLine="720"/>
      </w:pPr>
      <w:r>
        <w:rPr>
          <w:rFonts w:ascii="Arial" w:eastAsia="Times New Roman" w:hAnsi="Arial" w:cs="Times New Roman"/>
        </w:rPr>
        <w:t xml:space="preserve">BMI and blood pressure values were extracted from a single dedicated EHR flowsheet table of hundreds of millions of values from thousands of assessments and metrics, or </w:t>
      </w:r>
      <w:r>
        <w:rPr>
          <w:rFonts w:ascii="Arial" w:eastAsia="Times New Roman" w:hAnsi="Arial" w:cs="Times New Roman"/>
          <w:i/>
          <w:iCs/>
        </w:rPr>
        <w:t>flowsheet names</w:t>
      </w:r>
      <w:r>
        <w:rPr>
          <w:rFonts w:ascii="Arial" w:eastAsia="Times New Roman" w:hAnsi="Arial" w:cs="Times New Roman"/>
        </w:rPr>
        <w:t>. The task of extracting cleaned BMI and BP values required sifting through irrelevant flowsheet names and selecting values that were directly translatable to a kg/m</w:t>
      </w:r>
      <w:r>
        <w:rPr>
          <w:rFonts w:ascii="Arial" w:eastAsia="Times New Roman" w:hAnsi="Arial" w:cs="Times New Roman"/>
          <w:vertAlign w:val="superscript"/>
        </w:rPr>
        <w:t xml:space="preserve">2 </w:t>
      </w:r>
      <w:r>
        <w:rPr>
          <w:rFonts w:ascii="Arial" w:eastAsia="Times New Roman" w:hAnsi="Arial" w:cs="Times New Roman"/>
        </w:rPr>
        <w:t xml:space="preserve">or mmHg scale, rather than percentile scores, ranks, or changes in BMI values. To ensure the largest final cohort as possible, height and weight values were also extracted to allow calculation of BMI on a portion of encounters where it was not recorded. Values in the JHHC flowsheet record could also have been stored as strings using units of measure or alternate scales of height and weight. To properly correct these data variants, a three – stage approach was developed: 1) pattern matching, 2) flowsheet selection, and 3) cleaning and aggregating. First, SQL was iteratively refined for keywords: </w:t>
      </w:r>
      <w:r>
        <w:rPr>
          <w:rFonts w:ascii="Arial" w:eastAsia="Times New Roman" w:hAnsi="Arial" w:cs="Times New Roman"/>
          <w:i/>
          <w:iCs/>
        </w:rPr>
        <w:t>height</w:t>
      </w:r>
      <w:r>
        <w:rPr>
          <w:rFonts w:ascii="Arial" w:eastAsia="Times New Roman" w:hAnsi="Arial" w:cs="Times New Roman"/>
        </w:rPr>
        <w:t xml:space="preserve">, </w:t>
      </w:r>
      <w:r>
        <w:rPr>
          <w:rFonts w:ascii="Arial" w:eastAsia="Times New Roman" w:hAnsi="Arial" w:cs="Times New Roman"/>
          <w:i/>
          <w:iCs/>
        </w:rPr>
        <w:t>weight,</w:t>
      </w:r>
      <w:r>
        <w:rPr>
          <w:rFonts w:ascii="Arial" w:eastAsia="Times New Roman" w:hAnsi="Arial" w:cs="Times New Roman"/>
        </w:rPr>
        <w:t xml:space="preserve"> </w:t>
      </w:r>
      <w:r>
        <w:rPr>
          <w:rFonts w:ascii="Arial" w:eastAsia="Times New Roman" w:hAnsi="Arial" w:cs="Times New Roman"/>
          <w:i/>
          <w:iCs/>
        </w:rPr>
        <w:t xml:space="preserve">BMI, systolic, diastolic, </w:t>
      </w:r>
      <w:r>
        <w:rPr>
          <w:rFonts w:ascii="Arial" w:eastAsia="Times New Roman" w:hAnsi="Arial" w:cs="Times New Roman"/>
        </w:rPr>
        <w:t xml:space="preserve">and </w:t>
      </w:r>
      <w:r>
        <w:rPr>
          <w:rFonts w:ascii="Arial" w:eastAsia="Times New Roman" w:hAnsi="Arial" w:cs="Times New Roman"/>
          <w:i/>
          <w:iCs/>
        </w:rPr>
        <w:t>arterial pressure</w:t>
      </w:r>
      <w:r>
        <w:rPr>
          <w:rFonts w:ascii="Arial" w:eastAsia="Times New Roman" w:hAnsi="Arial" w:cs="Times New Roman"/>
        </w:rPr>
        <w:t xml:space="preserve"> to narrow the number of relevant flowsheet names to a few dozen each. The patterns matched had to be inclusive enough for key terms approximate to each target. We then manually inspected selected flowsheet names to remove those that clearly alter the value of the target, like “%tile”, “z-score”, “ideal”, etc. Some additional rejection terms were identified for </w:t>
      </w:r>
      <w:r>
        <w:rPr>
          <w:rFonts w:ascii="Arial" w:eastAsia="Times New Roman" w:hAnsi="Arial" w:cs="Times New Roman"/>
          <w:i/>
          <w:iCs/>
        </w:rPr>
        <w:t>weight</w:t>
      </w:r>
      <w:r>
        <w:rPr>
          <w:rFonts w:ascii="Arial" w:eastAsia="Times New Roman" w:hAnsi="Arial" w:cs="Times New Roman"/>
        </w:rPr>
        <w:t xml:space="preserve"> that included mass of medication, liquids or food (</w:t>
      </w:r>
      <w:proofErr w:type="gramStart"/>
      <w:r>
        <w:rPr>
          <w:rFonts w:ascii="Arial" w:eastAsia="Times New Roman" w:hAnsi="Arial" w:cs="Times New Roman"/>
        </w:rPr>
        <w:t>e.g.</w:t>
      </w:r>
      <w:proofErr w:type="gramEnd"/>
      <w:r>
        <w:rPr>
          <w:rFonts w:ascii="Arial" w:eastAsia="Times New Roman" w:hAnsi="Arial" w:cs="Times New Roman"/>
        </w:rPr>
        <w:t xml:space="preserve"> “fluid”, “wet”, “dry”). As such, the code developed to perform the extraction and cleaning of these flowsheet values are highly specific to the data source.</w:t>
      </w:r>
    </w:p>
    <w:p w14:paraId="558CE877" w14:textId="77777777" w:rsidR="007323F0" w:rsidRDefault="007323F0" w:rsidP="007323F0">
      <w:pPr>
        <w:spacing w:before="57" w:after="217" w:line="480" w:lineRule="auto"/>
        <w:ind w:firstLine="720"/>
        <w:rPr>
          <w:rFonts w:ascii="Arial" w:eastAsia="Times New Roman" w:hAnsi="Arial" w:cs="Times New Roman"/>
        </w:rPr>
      </w:pPr>
      <w:r>
        <w:rPr>
          <w:rFonts w:ascii="Arial" w:eastAsia="Times New Roman" w:hAnsi="Arial" w:cs="Times New Roman"/>
        </w:rPr>
        <w:t xml:space="preserve">Once a final list of flowsheet names was identified, a more specific SQL extraction was obtained. Values were then summarized by frequency and measures of central tendency to reveal important patterns for each flowsheet name. Record counts were considered an indication of flowsheet importance and ranked as a first step. Flowsheets that contained strings </w:t>
      </w:r>
      <w:r>
        <w:rPr>
          <w:rFonts w:ascii="Arial" w:eastAsia="Times New Roman" w:hAnsi="Arial" w:cs="Times New Roman"/>
        </w:rPr>
        <w:lastRenderedPageBreak/>
        <w:t>were identified by unsuccessful conversions to numeric data types, or a count of ‘NA’ values, when summarizing central tendency. Strings of flowsheets with notable importance required more scrutiny. In such cases, the first 15 most frequently used strings of each flowsheet were inspected manually. Between each of the 3 key terms, only 7 unique flowsheet names were retrieved that contained a preponderance of string values. Only one of these flowsheets contained numeric values with an attached unit of measure and contained only 144 associated records for weight. These records were string parsed for numeric values in kilograms and added to available records. The minimum and maximum values, IQR and mean were useful for discerning scale of measurement for each flowsheet after trimming the top and bottom 0.1% of values to remove extreme outliers. Additional clues to scale were observed in some flowsheet names (</w:t>
      </w:r>
      <w:proofErr w:type="gramStart"/>
      <w:r>
        <w:rPr>
          <w:rFonts w:ascii="Arial" w:eastAsia="Times New Roman" w:hAnsi="Arial" w:cs="Times New Roman"/>
        </w:rPr>
        <w:t>e.g.</w:t>
      </w:r>
      <w:proofErr w:type="gramEnd"/>
      <w:r>
        <w:rPr>
          <w:rFonts w:ascii="Arial" w:eastAsia="Times New Roman" w:hAnsi="Arial" w:cs="Times New Roman"/>
        </w:rPr>
        <w:t xml:space="preserve"> “WEIGHT IN KG”). </w:t>
      </w:r>
    </w:p>
    <w:p w14:paraId="19BEF593" w14:textId="77777777" w:rsidR="007323F0" w:rsidRDefault="007323F0" w:rsidP="007323F0">
      <w:pPr>
        <w:spacing w:before="57" w:after="217" w:line="480" w:lineRule="auto"/>
        <w:ind w:firstLine="720"/>
        <w:rPr>
          <w:rFonts w:ascii="Arial" w:eastAsia="Times New Roman" w:hAnsi="Arial" w:cs="Times New Roman"/>
        </w:rPr>
      </w:pPr>
      <w:r>
        <w:rPr>
          <w:rFonts w:ascii="Arial" w:eastAsia="Times New Roman" w:hAnsi="Arial" w:cs="Times New Roman"/>
        </w:rPr>
        <w:t>Together, these steps aided decisions about which flowsheets to keep for final export, narrowing the scope of retrieved flowsheet names from 83 post-SQL refinement to just 10 flowsheets with relevant values and sufficiently large counts of records to be of some value for this work (</w:t>
      </w:r>
      <w:proofErr w:type="gramStart"/>
      <w:r>
        <w:rPr>
          <w:rFonts w:ascii="Arial" w:eastAsia="Times New Roman" w:hAnsi="Arial" w:cs="Times New Roman"/>
        </w:rPr>
        <w:t>i.e.</w:t>
      </w:r>
      <w:proofErr w:type="gramEnd"/>
      <w:r>
        <w:rPr>
          <w:rFonts w:ascii="Arial" w:eastAsia="Times New Roman" w:hAnsi="Arial" w:cs="Times New Roman"/>
        </w:rPr>
        <w:t xml:space="preserve"> &gt; 100). Value scaling was done by flowsheet name so-as-to apply the correct transformation to each flowsheet and to metric units. Numeric values were trimmed according to conventions followed in earlier work for EHR – derived BMI that limited values based on known and validated biological constraints for human adults.</w:t>
      </w:r>
      <w:r w:rsidRPr="00EA3A6E">
        <w:rPr>
          <w:rFonts w:ascii="Arial" w:eastAsia="Times New Roman" w:hAnsi="Arial" w:cs="Times New Roman"/>
          <w:vertAlign w:val="superscript"/>
        </w:rPr>
        <w:t>6</w:t>
      </w:r>
      <w:r>
        <w:rPr>
          <w:rFonts w:ascii="Arial" w:eastAsia="Times New Roman" w:hAnsi="Arial" w:cs="Times New Roman"/>
        </w:rPr>
        <w:t xml:space="preserve"> BMI was therefore bounded between 9 and 129 kg/m</w:t>
      </w:r>
      <w:r>
        <w:rPr>
          <w:rFonts w:ascii="Arial" w:eastAsia="Times New Roman" w:hAnsi="Arial" w:cs="Times New Roman"/>
          <w:vertAlign w:val="superscript"/>
        </w:rPr>
        <w:t>2</w:t>
      </w:r>
      <w:r>
        <w:rPr>
          <w:rFonts w:ascii="Arial" w:eastAsia="Times New Roman" w:hAnsi="Arial" w:cs="Times New Roman"/>
        </w:rPr>
        <w:t xml:space="preserve">, height between 0.67 and 2.72m and weight between 25 and 635kg. Each record was exported with identifier keys for patient, </w:t>
      </w:r>
      <w:proofErr w:type="gramStart"/>
      <w:r>
        <w:rPr>
          <w:rFonts w:ascii="Arial" w:eastAsia="Times New Roman" w:hAnsi="Arial" w:cs="Times New Roman"/>
        </w:rPr>
        <w:t>encounter</w:t>
      </w:r>
      <w:proofErr w:type="gramEnd"/>
      <w:r>
        <w:rPr>
          <w:rFonts w:ascii="Arial" w:eastAsia="Times New Roman" w:hAnsi="Arial" w:cs="Times New Roman"/>
        </w:rPr>
        <w:t xml:space="preserve"> and flowsheet record, as well as dates of service. Using these features, BMI, </w:t>
      </w:r>
      <w:proofErr w:type="gramStart"/>
      <w:r>
        <w:rPr>
          <w:rFonts w:ascii="Arial" w:eastAsia="Times New Roman" w:hAnsi="Arial" w:cs="Times New Roman"/>
        </w:rPr>
        <w:t>height</w:t>
      </w:r>
      <w:proofErr w:type="gramEnd"/>
      <w:r>
        <w:rPr>
          <w:rFonts w:ascii="Arial" w:eastAsia="Times New Roman" w:hAnsi="Arial" w:cs="Times New Roman"/>
        </w:rPr>
        <w:t xml:space="preserve"> and weight were combined by unique patient encounters, making it possible to inspect the concurrence of recorded BMI and BMI derived from height/weight matching the patient encounter. Multiple measurements were possible within a given patient encounter. </w:t>
      </w:r>
    </w:p>
    <w:p w14:paraId="79058623" w14:textId="4DDFC1CC" w:rsidR="00912367" w:rsidRDefault="007323F0" w:rsidP="007323F0">
      <w:pPr>
        <w:spacing w:line="480" w:lineRule="auto"/>
        <w:ind w:firstLine="720"/>
      </w:pPr>
      <w:r>
        <w:rPr>
          <w:rFonts w:ascii="Arial" w:eastAsia="Times New Roman" w:hAnsi="Arial" w:cs="Times New Roman"/>
        </w:rPr>
        <w:lastRenderedPageBreak/>
        <w:t>Therefore, it was also necessary to reconcile discrepancies in recorded values, where they existed. Weight, for example, required reconciliation because slightly differing values were seen to be recorded on different flowsheets for the same patient encounter (plausibly due to rounding error or multiple measurements). For these situations, two conventions were followed to obtain a single BMI per patient date: 1) the mean of recorded BMI was returned, if available, and if not 2) the mean calculated BMI derived from paired heights and weights on a given patient encounter was taken as the reconciled and final BMI per patient for each date.</w:t>
      </w:r>
    </w:p>
    <w:sectPr w:rsidR="009123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3F0"/>
    <w:rsid w:val="007323F0"/>
    <w:rsid w:val="00912367"/>
    <w:rsid w:val="00FD0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07660"/>
  <w15:chartTrackingRefBased/>
  <w15:docId w15:val="{B4310993-8FB1-4BDA-A64B-1237561A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3F0"/>
    <w:rPr>
      <w:rFonts w:ascii="Calibri" w:eastAsia="PMingLiU" w:hAnsi="Calibri" w:cs="Tahoma"/>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703</Words>
  <Characters>4010</Characters>
  <Application>Microsoft Office Word</Application>
  <DocSecurity>0</DocSecurity>
  <Lines>33</Lines>
  <Paragraphs>9</Paragraphs>
  <ScaleCrop>false</ScaleCrop>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Kitchen, Chris</dc:creator>
  <cp:keywords/>
  <dc:description/>
  <cp:lastModifiedBy>Kitchen, Chris</cp:lastModifiedBy>
  <cp:revision>2</cp:revision>
  <dcterms:created xsi:type="dcterms:W3CDTF">2021-11-04T16:30:00Z</dcterms:created>
  <dcterms:modified xsi:type="dcterms:W3CDTF">2021-11-04T16:30:00Z</dcterms:modified>
</cp:coreProperties>
</file>