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both"/>
        <w:rPr>
          <w:b/>
        </w:rPr>
      </w:pPr>
      <w:r>
        <w:rPr>
          <w:b/>
        </w:rPr>
        <w:t xml:space="preserve">Table S1. The </w:t>
      </w:r>
      <w:r>
        <w:rPr>
          <w:rFonts w:hint="eastAsia"/>
          <w:b/>
        </w:rPr>
        <w:t xml:space="preserve">results of the 2 × 2 (diagnosis × gender) ANOVA of the demographic and clinical data </w:t>
      </w:r>
    </w:p>
    <w:tbl>
      <w:tblPr>
        <w:tblStyle w:val="3"/>
        <w:tblW w:w="50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31"/>
        <w:gridCol w:w="1431"/>
        <w:gridCol w:w="1309"/>
        <w:gridCol w:w="1431"/>
        <w:gridCol w:w="1686"/>
        <w:gridCol w:w="767"/>
        <w:gridCol w:w="843"/>
        <w:gridCol w:w="1309"/>
        <w:gridCol w:w="767"/>
        <w:gridCol w:w="843"/>
        <w:gridCol w:w="1309"/>
        <w:gridCol w:w="767"/>
        <w:gridCol w:w="843"/>
      </w:tblGrid>
      <w:tr>
        <w:trPr>
          <w:trHeight w:val="90" w:hRule="atLeast"/>
          <w:jc w:val="center"/>
        </w:trPr>
        <w:tc>
          <w:tcPr>
            <w:tcW w:w="468" w:type="pct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Characteristic</w:t>
            </w:r>
          </w:p>
        </w:tc>
        <w:tc>
          <w:tcPr>
            <w:tcW w:w="880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CID (n=106)</w:t>
            </w:r>
          </w:p>
        </w:tc>
        <w:tc>
          <w:tcPr>
            <w:tcW w:w="844" w:type="pct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GSC (n=55)</w:t>
            </w:r>
          </w:p>
        </w:tc>
        <w:tc>
          <w:tcPr>
            <w:tcW w:w="1007" w:type="pct"/>
            <w:gridSpan w:val="3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56" w:lineRule="auto"/>
              <w:ind w:left="0" w:right="0"/>
              <w:jc w:val="left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Main effect of Diagnosis</w:t>
            </w:r>
          </w:p>
        </w:tc>
        <w:tc>
          <w:tcPr>
            <w:tcW w:w="898" w:type="pct"/>
            <w:gridSpan w:val="3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56" w:lineRule="auto"/>
              <w:ind w:left="0" w:right="0"/>
              <w:jc w:val="left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Main effect of Sex</w:t>
            </w:r>
          </w:p>
        </w:tc>
        <w:tc>
          <w:tcPr>
            <w:tcW w:w="899" w:type="pct"/>
            <w:gridSpan w:val="3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256" w:lineRule="auto"/>
              <w:ind w:left="0" w:right="0"/>
              <w:jc w:val="left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Interactive effect of Diagnosis and Sex</w:t>
            </w:r>
          </w:p>
        </w:tc>
      </w:tr>
      <w:tr>
        <w:trPr>
          <w:trHeight w:val="90" w:hRule="atLeast"/>
          <w:jc w:val="center"/>
        </w:trPr>
        <w:tc>
          <w:tcPr>
            <w:tcW w:w="468" w:type="pct"/>
            <w:vMerge w:val="continue"/>
            <w:tcBorders>
              <w:bottom w:val="single" w:color="auto" w:sz="6" w:space="0"/>
            </w:tcBorders>
            <w:shd w:val="clear" w:color="auto" w:fill="auto"/>
          </w:tcPr>
          <w:p>
            <w:pPr>
              <w:spacing w:after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bottom w:val="single" w:color="auto" w:sz="6" w:space="0"/>
            </w:tcBorders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Male</w:t>
            </w:r>
            <w:r>
              <w:rPr>
                <w:sz w:val="22"/>
                <w:szCs w:val="22"/>
              </w:rPr>
              <w:t>(n=40)</w:t>
            </w:r>
          </w:p>
        </w:tc>
        <w:tc>
          <w:tcPr>
            <w:tcW w:w="440" w:type="pct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Female (n=66)</w:t>
            </w:r>
          </w:p>
        </w:tc>
        <w:tc>
          <w:tcPr>
            <w:tcW w:w="404" w:type="pct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Male</w:t>
            </w:r>
            <w:r>
              <w:rPr>
                <w:sz w:val="22"/>
                <w:szCs w:val="22"/>
              </w:rPr>
              <w:t>(n=21)</w:t>
            </w:r>
          </w:p>
        </w:tc>
        <w:tc>
          <w:tcPr>
            <w:tcW w:w="440" w:type="pct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Female (n=34)</w:t>
            </w:r>
          </w:p>
        </w:tc>
        <w:tc>
          <w:tcPr>
            <w:tcW w:w="513" w:type="pct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F/P</w:t>
            </w:r>
          </w:p>
        </w:tc>
        <w:tc>
          <w:tcPr>
            <w:tcW w:w="236" w:type="pct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i/>
                <w:iCs/>
                <w:sz w:val="22"/>
                <w:szCs w:val="22"/>
                <w:lang w:val="en-US" w:eastAsia="zh-CN"/>
              </w:rPr>
              <w:t>η2</w:t>
            </w:r>
          </w:p>
        </w:tc>
        <w:tc>
          <w:tcPr>
            <w:tcW w:w="258" w:type="pct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Power</w:t>
            </w:r>
          </w:p>
        </w:tc>
        <w:tc>
          <w:tcPr>
            <w:tcW w:w="404" w:type="pct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i/>
                <w:iCs/>
                <w:sz w:val="22"/>
                <w:szCs w:val="22"/>
              </w:rPr>
              <w:t>F/P</w:t>
            </w:r>
          </w:p>
        </w:tc>
        <w:tc>
          <w:tcPr>
            <w:tcW w:w="236" w:type="pct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i/>
                <w:iCs/>
                <w:sz w:val="22"/>
                <w:szCs w:val="22"/>
                <w:lang w:val="en-US" w:eastAsia="zh-CN"/>
              </w:rPr>
              <w:t>η2</w:t>
            </w:r>
            <w:r>
              <w:rPr>
                <w:rFonts w:hint="eastAsia"/>
                <w:i/>
                <w:iCs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258" w:type="pct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Power</w:t>
            </w:r>
          </w:p>
        </w:tc>
        <w:tc>
          <w:tcPr>
            <w:tcW w:w="404" w:type="pct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i/>
                <w:iCs/>
                <w:sz w:val="22"/>
                <w:szCs w:val="22"/>
              </w:rPr>
              <w:t>F/P</w:t>
            </w:r>
          </w:p>
        </w:tc>
        <w:tc>
          <w:tcPr>
            <w:tcW w:w="236" w:type="pct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i/>
                <w:iCs/>
                <w:sz w:val="22"/>
                <w:szCs w:val="22"/>
                <w:lang w:val="en-US" w:eastAsia="zh-CN"/>
              </w:rPr>
              <w:t>η2</w:t>
            </w:r>
          </w:p>
        </w:tc>
        <w:tc>
          <w:tcPr>
            <w:tcW w:w="258" w:type="pct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Power</w:t>
            </w:r>
          </w:p>
        </w:tc>
      </w:tr>
      <w:tr>
        <w:trPr>
          <w:trHeight w:val="90" w:hRule="atLeast"/>
          <w:jc w:val="center"/>
        </w:trPr>
        <w:tc>
          <w:tcPr>
            <w:tcW w:w="468" w:type="pct"/>
            <w:tcBorders>
              <w:top w:val="single" w:color="auto" w:sz="6" w:space="0"/>
              <w:bottom w:val="nil"/>
            </w:tcBorders>
            <w:shd w:val="clear" w:color="auto" w:fill="auto"/>
          </w:tcPr>
          <w:p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</w:t>
            </w:r>
          </w:p>
        </w:tc>
        <w:tc>
          <w:tcPr>
            <w:tcW w:w="440" w:type="pct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35.92(10.44)</w:t>
            </w:r>
          </w:p>
        </w:tc>
        <w:tc>
          <w:tcPr>
            <w:tcW w:w="440" w:type="pct"/>
            <w:tcBorders>
              <w:top w:val="single" w:color="auto" w:sz="6" w:space="0"/>
              <w:bottom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36.11(12.06)</w:t>
            </w:r>
          </w:p>
        </w:tc>
        <w:tc>
          <w:tcPr>
            <w:tcW w:w="404" w:type="pct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34.10(8.78)</w:t>
            </w:r>
          </w:p>
        </w:tc>
        <w:tc>
          <w:tcPr>
            <w:tcW w:w="440" w:type="pct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36.79(9.82)</w:t>
            </w:r>
          </w:p>
        </w:tc>
        <w:tc>
          <w:tcPr>
            <w:tcW w:w="513" w:type="pct"/>
            <w:tcBorders>
              <w:top w:val="single" w:color="auto" w:sz="6" w:space="0"/>
              <w:bottom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.22(0.638)</w:t>
            </w:r>
          </w:p>
        </w:tc>
        <w:tc>
          <w:tcPr>
            <w:tcW w:w="236" w:type="pct"/>
            <w:tcBorders>
              <w:top w:val="single" w:color="auto" w:sz="6" w:space="0"/>
              <w:bottom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0.001 </w:t>
            </w:r>
          </w:p>
        </w:tc>
        <w:tc>
          <w:tcPr>
            <w:tcW w:w="258" w:type="pct"/>
            <w:tcBorders>
              <w:top w:val="single" w:color="auto" w:sz="6" w:space="0"/>
              <w:bottom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0.075 </w:t>
            </w:r>
          </w:p>
        </w:tc>
        <w:tc>
          <w:tcPr>
            <w:tcW w:w="404" w:type="pct"/>
            <w:tcBorders>
              <w:top w:val="single" w:color="auto" w:sz="6" w:space="0"/>
              <w:bottom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>0.88(</w:t>
            </w:r>
            <w:r>
              <w:rPr>
                <w:rFonts w:hint="eastAsia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.349)</w:t>
            </w:r>
          </w:p>
        </w:tc>
        <w:tc>
          <w:tcPr>
            <w:tcW w:w="236" w:type="pct"/>
            <w:tcBorders>
              <w:top w:val="single" w:color="auto" w:sz="6" w:space="0"/>
              <w:bottom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0.006 </w:t>
            </w:r>
          </w:p>
        </w:tc>
        <w:tc>
          <w:tcPr>
            <w:tcW w:w="258" w:type="pct"/>
            <w:tcBorders>
              <w:top w:val="single" w:color="auto" w:sz="6" w:space="0"/>
              <w:bottom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0.154 </w:t>
            </w:r>
          </w:p>
        </w:tc>
        <w:tc>
          <w:tcPr>
            <w:tcW w:w="404" w:type="pct"/>
            <w:tcBorders>
              <w:top w:val="single" w:color="auto" w:sz="6" w:space="0"/>
              <w:bottom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.26(0.607)</w:t>
            </w:r>
          </w:p>
        </w:tc>
        <w:tc>
          <w:tcPr>
            <w:tcW w:w="236" w:type="pct"/>
            <w:tcBorders>
              <w:top w:val="single" w:color="auto" w:sz="6" w:space="0"/>
              <w:bottom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0.002 </w:t>
            </w:r>
          </w:p>
        </w:tc>
        <w:tc>
          <w:tcPr>
            <w:tcW w:w="258" w:type="pct"/>
            <w:tcBorders>
              <w:top w:val="single" w:color="auto" w:sz="6" w:space="0"/>
              <w:bottom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0.081 </w:t>
            </w:r>
          </w:p>
        </w:tc>
      </w:tr>
      <w:tr>
        <w:trPr>
          <w:trHeight w:val="90" w:hRule="atLeast"/>
          <w:jc w:val="center"/>
        </w:trPr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Education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13.57(3.95)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14.69(3.41)</w:t>
            </w: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4.33(5.07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440" w:type="pct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2.79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4.95)</w:t>
            </w:r>
          </w:p>
        </w:tc>
        <w:tc>
          <w:tcPr>
            <w:tcW w:w="513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.65(0.421)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0.004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0.126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.08(0.769)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0.020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0.432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.52(0.062)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0.02</w:t>
            </w:r>
            <w:r>
              <w:rPr>
                <w:rFonts w:hint="default"/>
                <w:sz w:val="22"/>
                <w:szCs w:val="22"/>
                <w:lang w:eastAsia="zh-CN"/>
              </w:rPr>
              <w:t>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0.4</w:t>
            </w:r>
            <w:r>
              <w:rPr>
                <w:rFonts w:hint="default"/>
                <w:sz w:val="22"/>
                <w:szCs w:val="22"/>
                <w:lang w:eastAsia="zh-CN"/>
              </w:rPr>
              <w:t>62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rPr>
          <w:trHeight w:val="90" w:hRule="atLeast"/>
          <w:jc w:val="center"/>
        </w:trPr>
        <w:tc>
          <w:tcPr>
            <w:tcW w:w="468" w:type="pct"/>
            <w:tcBorders>
              <w:top w:val="nil"/>
            </w:tcBorders>
            <w:shd w:val="clear" w:color="auto" w:fill="auto"/>
          </w:tcPr>
          <w:p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SAS</w:t>
            </w:r>
          </w:p>
        </w:tc>
        <w:tc>
          <w:tcPr>
            <w:tcW w:w="440" w:type="pct"/>
            <w:tcBorders>
              <w:top w:val="nil"/>
            </w:tcBorders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50.00(9.03)</w:t>
            </w:r>
          </w:p>
        </w:tc>
        <w:tc>
          <w:tcPr>
            <w:tcW w:w="440" w:type="pct"/>
            <w:tcBorders>
              <w:top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46.51(10.08)</w:t>
            </w: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0.73(9.17)</w:t>
            </w:r>
          </w:p>
        </w:tc>
        <w:tc>
          <w:tcPr>
            <w:tcW w:w="440" w:type="pct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3.33(10.77)</w:t>
            </w:r>
          </w:p>
        </w:tc>
        <w:tc>
          <w:tcPr>
            <w:tcW w:w="513" w:type="pct"/>
            <w:tcBorders>
              <w:top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0.13(&lt;0.001)</w:t>
            </w:r>
          </w:p>
        </w:tc>
        <w:tc>
          <w:tcPr>
            <w:tcW w:w="236" w:type="pct"/>
            <w:tcBorders>
              <w:top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0.417 </w:t>
            </w:r>
          </w:p>
        </w:tc>
        <w:tc>
          <w:tcPr>
            <w:tcW w:w="258" w:type="pct"/>
            <w:tcBorders>
              <w:top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1.000 </w:t>
            </w:r>
          </w:p>
        </w:tc>
        <w:tc>
          <w:tcPr>
            <w:tcW w:w="404" w:type="pct"/>
            <w:tcBorders>
              <w:top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.07(0.794)</w:t>
            </w:r>
          </w:p>
        </w:tc>
        <w:tc>
          <w:tcPr>
            <w:tcW w:w="236" w:type="pct"/>
            <w:tcBorders>
              <w:top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0.006 </w:t>
            </w:r>
          </w:p>
        </w:tc>
        <w:tc>
          <w:tcPr>
            <w:tcW w:w="258" w:type="pct"/>
            <w:tcBorders>
              <w:top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0.154 </w:t>
            </w:r>
          </w:p>
        </w:tc>
        <w:tc>
          <w:tcPr>
            <w:tcW w:w="404" w:type="pct"/>
            <w:tcBorders>
              <w:top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.24(0.074)</w:t>
            </w:r>
          </w:p>
        </w:tc>
        <w:tc>
          <w:tcPr>
            <w:tcW w:w="236" w:type="pct"/>
            <w:tcBorders>
              <w:top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0.037 </w:t>
            </w:r>
          </w:p>
        </w:tc>
        <w:tc>
          <w:tcPr>
            <w:tcW w:w="258" w:type="pct"/>
            <w:tcBorders>
              <w:top w:val="nil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0.687 </w:t>
            </w:r>
          </w:p>
        </w:tc>
      </w:tr>
      <w:tr>
        <w:trPr>
          <w:trHeight w:val="90" w:hRule="atLeast"/>
          <w:jc w:val="center"/>
        </w:trPr>
        <w:tc>
          <w:tcPr>
            <w:tcW w:w="468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SDS</w:t>
            </w:r>
          </w:p>
        </w:tc>
        <w:tc>
          <w:tcPr>
            <w:tcW w:w="440" w:type="pct"/>
            <w:tcBorders>
              <w:bottom w:val="single" w:color="auto" w:sz="4" w:space="0"/>
            </w:tcBorders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50.80(11.24)</w:t>
            </w:r>
          </w:p>
        </w:tc>
        <w:tc>
          <w:tcPr>
            <w:tcW w:w="440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48.36(10.01)</w:t>
            </w:r>
          </w:p>
        </w:tc>
        <w:tc>
          <w:tcPr>
            <w:tcW w:w="404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0.58(6.31)</w:t>
            </w:r>
          </w:p>
        </w:tc>
        <w:tc>
          <w:tcPr>
            <w:tcW w:w="440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3.07(7.61)</w:t>
            </w:r>
          </w:p>
        </w:tc>
        <w:tc>
          <w:tcPr>
            <w:tcW w:w="513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12.13(&lt;0.001)</w:t>
            </w:r>
          </w:p>
        </w:tc>
        <w:tc>
          <w:tcPr>
            <w:tcW w:w="23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0.370 </w:t>
            </w:r>
          </w:p>
        </w:tc>
        <w:tc>
          <w:tcPr>
            <w:tcW w:w="25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1.000 </w:t>
            </w:r>
          </w:p>
        </w:tc>
        <w:tc>
          <w:tcPr>
            <w:tcW w:w="404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.86(0.354)</w:t>
            </w:r>
          </w:p>
        </w:tc>
        <w:tc>
          <w:tcPr>
            <w:tcW w:w="23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0.005 </w:t>
            </w:r>
          </w:p>
        </w:tc>
        <w:tc>
          <w:tcPr>
            <w:tcW w:w="25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0.152 </w:t>
            </w:r>
          </w:p>
        </w:tc>
        <w:tc>
          <w:tcPr>
            <w:tcW w:w="404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.86(0.105)</w:t>
            </w:r>
          </w:p>
        </w:tc>
        <w:tc>
          <w:tcPr>
            <w:tcW w:w="23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0.020 </w:t>
            </w:r>
          </w:p>
        </w:tc>
        <w:tc>
          <w:tcPr>
            <w:tcW w:w="25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0.432 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Abbreviations: CID, chronic insomnia disorder; GSC, good sleep controls; PSQI, Pittsburgh Sleep Quality Index; SDS, Zung self-rating depression scale; SAS, Zung self-rating</w:t>
      </w:r>
      <w:bookmarkStart w:id="0" w:name="_GoBack"/>
      <w:bookmarkEnd w:id="0"/>
      <w:r>
        <w:rPr>
          <w:rFonts w:ascii="Arial" w:hAnsi="Arial" w:cs="Arial"/>
        </w:rPr>
        <w:t xml:space="preserve"> anxiety scale.</w:t>
      </w:r>
    </w:p>
    <w:p>
      <w:pPr>
        <w:rPr>
          <w:rFonts w:hint="default" w:ascii="Arial Regular" w:hAnsi="Arial Regular" w:cs="Arial Regular"/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Arial Regular" w:hAnsi="Arial Regular" w:cs="Arial Regular"/>
          <w:sz w:val="24"/>
          <w:szCs w:val="24"/>
        </w:rPr>
      </w:pPr>
      <w:r>
        <w:rPr>
          <w:rFonts w:hint="default" w:ascii="Arial Regular" w:hAnsi="Arial Regular" w:cs="Arial Regular"/>
          <w:sz w:val="24"/>
          <w:szCs w:val="24"/>
        </w:rPr>
        <w:drawing>
          <wp:inline distT="0" distB="0" distL="114300" distR="114300">
            <wp:extent cx="5269865" cy="6022975"/>
            <wp:effectExtent l="0" t="0" r="13335" b="22225"/>
            <wp:docPr id="1" name="图片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02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Arial Regular" w:hAnsi="Arial Regular" w:cs="Arial Regular"/>
          <w:color w:val="000000"/>
          <w:sz w:val="24"/>
          <w:szCs w:val="24"/>
          <w:shd w:val="clear" w:color="auto" w:fill="FFFFFF"/>
        </w:rPr>
      </w:pPr>
      <w:r>
        <w:rPr>
          <w:rFonts w:hint="default" w:ascii="Arial Regular" w:hAnsi="Arial Regular" w:cs="Arial Regular"/>
          <w:b w:val="0"/>
          <w:bCs w:val="0"/>
          <w:sz w:val="24"/>
          <w:szCs w:val="24"/>
        </w:rPr>
        <w:t xml:space="preserve">Figure S1. The main effect of diagnosis on the right HIP (A) / bilateral PHG (B,C) </w:t>
      </w:r>
      <w:r>
        <w:rPr>
          <w:rFonts w:hint="default" w:ascii="Arial Regular" w:hAnsi="Arial Regular" w:cs="Arial Regular" w:eastAsiaTheme="minorEastAsia"/>
          <w:b w:val="0"/>
          <w:bCs w:val="0"/>
          <w:color w:val="000000"/>
          <w:sz w:val="24"/>
          <w:szCs w:val="24"/>
          <w:shd w:val="clear" w:color="auto" w:fill="FFFFFF"/>
        </w:rPr>
        <w:t xml:space="preserve">functional connectivity networks. </w:t>
      </w:r>
      <w:r>
        <w:rPr>
          <w:rFonts w:hint="default" w:ascii="Arial Regular" w:hAnsi="Arial Regular" w:cs="Arial Regular" w:eastAsiaTheme="minorEastAsia"/>
          <w:color w:val="000000"/>
          <w:sz w:val="24"/>
          <w:szCs w:val="24"/>
          <w:shd w:val="clear" w:color="auto" w:fill="FFFFFF"/>
        </w:rPr>
        <w:t>Abbreviations: CID, chronic insomnia disorder; GSC, good sleep control; HIP, hippocampus; PHG, parahippocampal gyrus; FC, functional connectivity; AMG, amygdala; FFA, fusiform area</w:t>
      </w:r>
      <w:r>
        <w:rPr>
          <w:rFonts w:hint="default" w:ascii="Arial Regular" w:hAnsi="Arial Regular" w:cs="Arial Regular"/>
          <w:color w:val="000000"/>
          <w:sz w:val="24"/>
          <w:szCs w:val="24"/>
          <w:shd w:val="clear" w:color="auto" w:fill="FFFFFF"/>
        </w:rPr>
        <w:t>.</w:t>
      </w:r>
    </w:p>
    <w:p>
      <w:pPr>
        <w:jc w:val="both"/>
        <w:rPr>
          <w:rFonts w:hint="default" w:ascii="Arial Regular" w:hAnsi="Arial Regular" w:cs="Arial Regular"/>
          <w:color w:val="000000"/>
          <w:sz w:val="24"/>
          <w:szCs w:val="24"/>
          <w:shd w:val="clear" w:color="auto" w:fill="FFFFFF"/>
        </w:rPr>
      </w:pPr>
    </w:p>
    <w:p>
      <w:pPr>
        <w:rPr>
          <w:rFonts w:hint="default" w:ascii="Arial Regular" w:hAnsi="Arial Regular" w:cs="Arial Regular"/>
          <w:color w:val="000000"/>
          <w:sz w:val="24"/>
          <w:szCs w:val="24"/>
          <w:shd w:val="clear" w:color="auto" w:fill="FFFFFF"/>
          <w:lang w:eastAsia="zh-Hans"/>
        </w:rPr>
      </w:pPr>
      <w:r>
        <w:rPr>
          <w:rFonts w:hint="default" w:ascii="Arial Regular" w:hAnsi="Arial Regular" w:cs="Arial Regular"/>
          <w:color w:val="000000"/>
          <w:sz w:val="24"/>
          <w:szCs w:val="24"/>
          <w:shd w:val="clear" w:color="auto" w:fill="FFFFFF"/>
          <w:lang w:eastAsia="zh-Hans"/>
        </w:rPr>
        <w:br w:type="page"/>
      </w:r>
    </w:p>
    <w:p>
      <w:pPr>
        <w:jc w:val="center"/>
        <w:rPr>
          <w:rFonts w:hint="default" w:ascii="Arial Regular" w:hAnsi="Arial Regular" w:cs="Arial Regular"/>
          <w:b/>
          <w:bCs/>
          <w:color w:val="000000"/>
          <w:sz w:val="24"/>
          <w:szCs w:val="24"/>
          <w:shd w:val="clear" w:color="auto" w:fill="FFFFFF"/>
          <w:lang w:eastAsia="zh-Hans"/>
        </w:rPr>
      </w:pPr>
      <w:r>
        <w:rPr>
          <w:rFonts w:hint="default" w:ascii="Arial Regular" w:hAnsi="Arial Regular" w:cs="Arial Regular"/>
          <w:b/>
          <w:bCs/>
          <w:color w:val="000000"/>
          <w:sz w:val="24"/>
          <w:szCs w:val="24"/>
          <w:shd w:val="clear" w:color="auto" w:fill="FFFFFF"/>
          <w:lang w:eastAsia="zh-Hans"/>
        </w:rPr>
        <w:drawing>
          <wp:inline distT="0" distB="0" distL="114300" distR="114300">
            <wp:extent cx="3331845" cy="3810000"/>
            <wp:effectExtent l="0" t="0" r="20955" b="0"/>
            <wp:docPr id="2" name="图片 2" descr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184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Arial Regular" w:hAnsi="Arial Regular" w:cs="Arial Regular"/>
          <w:b/>
          <w:bCs/>
          <w:color w:val="000000"/>
          <w:sz w:val="24"/>
          <w:szCs w:val="24"/>
          <w:shd w:val="clear" w:color="auto" w:fill="FFFFFF"/>
          <w:lang w:eastAsia="zh-Hans"/>
        </w:rPr>
      </w:pPr>
      <w:r>
        <w:rPr>
          <w:rFonts w:hint="default" w:ascii="Arial Regular" w:hAnsi="Arial Regular" w:cs="Arial Regular"/>
          <w:b/>
          <w:bCs/>
          <w:color w:val="000000"/>
          <w:sz w:val="24"/>
          <w:szCs w:val="24"/>
          <w:shd w:val="clear" w:color="auto" w:fill="FFFFFF"/>
          <w:lang w:eastAsia="zh-Hans"/>
        </w:rPr>
        <w:t xml:space="preserve">Figure S2. The main effect of sex on the left parahippocampal gyrus functional network. Abbreviations: </w:t>
      </w:r>
      <w:r>
        <w:rPr>
          <w:rFonts w:hint="default" w:ascii="Arial Regular" w:hAnsi="Arial Regular" w:cs="Arial Regular"/>
          <w:sz w:val="24"/>
          <w:szCs w:val="24"/>
        </w:rPr>
        <w:t xml:space="preserve">HIP, hippocampus; PHG, </w:t>
      </w:r>
      <w:r>
        <w:rPr>
          <w:rFonts w:hint="default" w:ascii="Arial Regular" w:hAnsi="Arial Regular" w:cs="Arial Regular"/>
          <w:b w:val="0"/>
          <w:bCs w:val="0"/>
          <w:sz w:val="24"/>
          <w:szCs w:val="24"/>
        </w:rPr>
        <w:t>parahippocampal gyrus; FC, functional connectivity; MFG, middle frontal gyrus.</w:t>
      </w:r>
    </w:p>
    <w:p>
      <w:pPr>
        <w:rPr>
          <w:rFonts w:hint="default" w:ascii="Arial Regular" w:hAnsi="Arial Regular" w:cs="Arial Regular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time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T Sans">
    <w:panose1 w:val="020B0503020203020204"/>
    <w:charset w:val="00"/>
    <w:family w:val="auto"/>
    <w:pitch w:val="default"/>
    <w:sig w:usb0="A00002EF" w:usb1="5000204B" w:usb2="00000000" w:usb3="00000000" w:csb0="2000009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altName w:val="苹方-简"/>
    <w:panose1 w:val="020B0604020202020204"/>
    <w:charset w:val="00"/>
    <w:family w:val="swiss"/>
    <w:pitch w:val="default"/>
    <w:sig w:usb0="00000000" w:usb1="00000000" w:usb2="00000029" w:usb3="00000000" w:csb0="000001D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9F39A2"/>
    <w:rsid w:val="BED77EE7"/>
    <w:rsid w:val="EB9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2021-12-27T01:08:00Z</dcterms:created>
  <dc:creator>Gallen</dc:creator>
  <cp:lastModifiedBy>Gallen</cp:lastModifiedBy>
  <dcterms:modified xsi:type="dcterms:W3CDTF">2022-04-17T22:28:55Z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