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A85C" w14:textId="3A478583" w:rsidR="005F0D23" w:rsidRPr="00450D0E" w:rsidRDefault="005F0D23" w:rsidP="005F0D23">
      <w:pPr>
        <w:rPr>
          <w:rFonts w:cs="Arial"/>
          <w:szCs w:val="20"/>
        </w:rPr>
      </w:pPr>
      <w:bookmarkStart w:id="0" w:name="_Hlk66403548"/>
      <w:r w:rsidRPr="00450D0E">
        <w:rPr>
          <w:rFonts w:cs="Arial"/>
          <w:b/>
          <w:bCs/>
          <w:szCs w:val="20"/>
        </w:rPr>
        <w:t xml:space="preserve">Supplementary Table 1 </w:t>
      </w:r>
      <w:r w:rsidRPr="00450D0E">
        <w:rPr>
          <w:rFonts w:cs="Arial"/>
          <w:szCs w:val="20"/>
        </w:rPr>
        <w:t xml:space="preserve">Comparative table of profiles of </w:t>
      </w:r>
      <w:r w:rsidR="001740DD">
        <w:rPr>
          <w:rFonts w:cs="Arial"/>
          <w:szCs w:val="20"/>
        </w:rPr>
        <w:t xml:space="preserve">two </w:t>
      </w:r>
      <w:r w:rsidRPr="00450D0E">
        <w:rPr>
          <w:rFonts w:cs="Arial"/>
          <w:szCs w:val="20"/>
        </w:rPr>
        <w:t xml:space="preserve">oral agents for the treatment of </w:t>
      </w:r>
      <w:r w:rsidR="001740DD">
        <w:rPr>
          <w:rFonts w:cs="Arial"/>
          <w:szCs w:val="20"/>
        </w:rPr>
        <w:t>type 2 diabetes</w:t>
      </w:r>
    </w:p>
    <w:tbl>
      <w:tblPr>
        <w:tblStyle w:val="GridTable5Dark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27"/>
        <w:gridCol w:w="2105"/>
        <w:gridCol w:w="3498"/>
      </w:tblGrid>
      <w:tr w:rsidR="00E5704B" w:rsidRPr="00450D0E" w14:paraId="53973D28" w14:textId="77777777" w:rsidTr="00792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/>
            <w:vAlign w:val="center"/>
            <w:hideMark/>
          </w:tcPr>
          <w:bookmarkEnd w:id="0"/>
          <w:p w14:paraId="0AC54555" w14:textId="77777777" w:rsidR="005F0D23" w:rsidRPr="00450D0E" w:rsidRDefault="005F0D23" w:rsidP="00F65538">
            <w:pPr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Characteristics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/>
            <w:vAlign w:val="center"/>
            <w:hideMark/>
          </w:tcPr>
          <w:p w14:paraId="4D018D1E" w14:textId="77777777" w:rsidR="005F0D23" w:rsidRPr="00450D0E" w:rsidRDefault="005F0D23" w:rsidP="00F655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Medicine A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/>
            <w:vAlign w:val="center"/>
            <w:hideMark/>
          </w:tcPr>
          <w:p w14:paraId="4F8F9D6D" w14:textId="77777777" w:rsidR="005F0D23" w:rsidRPr="00450D0E" w:rsidRDefault="005F0D23" w:rsidP="00F655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Medicine B</w:t>
            </w:r>
          </w:p>
        </w:tc>
      </w:tr>
      <w:tr w:rsidR="00E5704B" w:rsidRPr="00450D0E" w14:paraId="1E137262" w14:textId="77777777" w:rsidTr="00792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FFFFFF"/>
            <w:vAlign w:val="center"/>
            <w:hideMark/>
          </w:tcPr>
          <w:p w14:paraId="6C120A36" w14:textId="77777777" w:rsidR="005F0D23" w:rsidRPr="00450D0E" w:rsidRDefault="005F0D23" w:rsidP="00F65538">
            <w:pPr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Way of taking the medication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1E9BED" w14:textId="127F4671" w:rsidR="005F0D23" w:rsidRPr="00450D0E" w:rsidRDefault="005F0D23" w:rsidP="00F65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1 tablet per day</w:t>
            </w:r>
            <w:r w:rsidR="000A7B61">
              <w:rPr>
                <w:color w:val="000000"/>
                <w:kern w:val="24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509290" w14:textId="5E094B77" w:rsidR="005F0D23" w:rsidRPr="00450D0E" w:rsidRDefault="005F0D23" w:rsidP="00F65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1 tablet per day</w:t>
            </w:r>
            <w:r w:rsidR="000A7B61">
              <w:rPr>
                <w:color w:val="000000"/>
                <w:kern w:val="24"/>
                <w:szCs w:val="20"/>
                <w:vertAlign w:val="superscript"/>
              </w:rPr>
              <w:t>1</w:t>
            </w:r>
          </w:p>
        </w:tc>
      </w:tr>
      <w:tr w:rsidR="00E5704B" w:rsidRPr="00450D0E" w14:paraId="45905020" w14:textId="77777777" w:rsidTr="00792B44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FFFFFF"/>
            <w:vAlign w:val="center"/>
            <w:hideMark/>
          </w:tcPr>
          <w:p w14:paraId="6B17EBCC" w14:textId="5E9406A2" w:rsidR="005F0D23" w:rsidRPr="00450D0E" w:rsidRDefault="005F0D23" w:rsidP="00F65538">
            <w:pPr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 xml:space="preserve">Reduction of </w:t>
            </w:r>
            <w:r w:rsidR="00DC61D6" w:rsidRPr="003A1475">
              <w:rPr>
                <w:color w:val="000000"/>
                <w:kern w:val="24"/>
                <w:sz w:val="20"/>
                <w:szCs w:val="20"/>
              </w:rPr>
              <w:t xml:space="preserve">glycosylated </w:t>
            </w:r>
            <w:proofErr w:type="spellStart"/>
            <w:r w:rsidR="00DC61D6" w:rsidRPr="003A1475">
              <w:rPr>
                <w:color w:val="000000"/>
                <w:kern w:val="24"/>
                <w:sz w:val="20"/>
                <w:szCs w:val="20"/>
              </w:rPr>
              <w:t>hemoglobin</w:t>
            </w:r>
            <w:proofErr w:type="spellEnd"/>
            <w:r w:rsidR="00DC61D6" w:rsidRPr="003A1475">
              <w:rPr>
                <w:rFonts w:eastAsia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="00DC61D6">
              <w:rPr>
                <w:rFonts w:eastAsia="Times New Roman"/>
                <w:color w:val="000000"/>
                <w:kern w:val="24"/>
                <w:sz w:val="20"/>
                <w:szCs w:val="20"/>
              </w:rPr>
              <w:t>(</w:t>
            </w: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HbA1c</w:t>
            </w:r>
            <w:r w:rsidR="00DC61D6">
              <w:rPr>
                <w:rFonts w:eastAsia="Times New Roman"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BDD4EB" w14:textId="25A0EAB3" w:rsidR="005F0D23" w:rsidRPr="00450D0E" w:rsidRDefault="005F0D23" w:rsidP="00F65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0.9%</w:t>
            </w:r>
            <w:r w:rsidR="000A7B61">
              <w:rPr>
                <w:color w:val="000000"/>
                <w:kern w:val="24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9DECC1" w14:textId="2958A008" w:rsidR="005F0D23" w:rsidRPr="00450D0E" w:rsidRDefault="005F0D23" w:rsidP="00F65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1.2%</w:t>
            </w:r>
            <w:r w:rsidR="000A7B61">
              <w:rPr>
                <w:color w:val="000000"/>
                <w:kern w:val="24"/>
                <w:szCs w:val="20"/>
                <w:vertAlign w:val="superscript"/>
              </w:rPr>
              <w:t>1</w:t>
            </w:r>
          </w:p>
        </w:tc>
      </w:tr>
      <w:tr w:rsidR="00E5704B" w:rsidRPr="00450D0E" w14:paraId="585D67CA" w14:textId="77777777" w:rsidTr="00792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FFFFFF"/>
            <w:vAlign w:val="center"/>
            <w:hideMark/>
          </w:tcPr>
          <w:p w14:paraId="4C5EB551" w14:textId="77777777" w:rsidR="005F0D23" w:rsidRPr="00450D0E" w:rsidRDefault="005F0D23" w:rsidP="00F65538">
            <w:pPr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Weight reduction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5EB39F" w14:textId="480025ED" w:rsidR="005F0D23" w:rsidRPr="00450D0E" w:rsidRDefault="005F0D23" w:rsidP="00F65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0 kg</w:t>
            </w:r>
            <w:r w:rsidR="000A7B61">
              <w:rPr>
                <w:color w:val="000000"/>
                <w:kern w:val="24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1DDABE" w14:textId="48BBD8D4" w:rsidR="005F0D23" w:rsidRPr="00450D0E" w:rsidRDefault="005F0D23" w:rsidP="00F65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2.4 kg</w:t>
            </w:r>
            <w:r w:rsidR="000A7B61">
              <w:rPr>
                <w:color w:val="000000"/>
                <w:kern w:val="24"/>
                <w:szCs w:val="20"/>
                <w:vertAlign w:val="superscript"/>
              </w:rPr>
              <w:t>2</w:t>
            </w:r>
          </w:p>
        </w:tc>
      </w:tr>
      <w:tr w:rsidR="00E5704B" w:rsidRPr="00450D0E" w14:paraId="1B7C46F5" w14:textId="77777777" w:rsidTr="00792B44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FFFFFF"/>
            <w:vAlign w:val="center"/>
            <w:hideMark/>
          </w:tcPr>
          <w:p w14:paraId="12639623" w14:textId="52D9DD58" w:rsidR="005F0D23" w:rsidRPr="00450D0E" w:rsidRDefault="005F0D23" w:rsidP="00F65538">
            <w:pPr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 xml:space="preserve">Reduced risk of </w:t>
            </w:r>
            <w:r w:rsidR="001740DD" w:rsidRPr="003A1475">
              <w:rPr>
                <w:rFonts w:eastAsia="Times New Roman"/>
                <w:color w:val="000000"/>
                <w:kern w:val="24"/>
                <w:sz w:val="20"/>
                <w:szCs w:val="20"/>
              </w:rPr>
              <w:t>hospitalization for heart failure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8389D2" w14:textId="17B331F2" w:rsidR="005F0D23" w:rsidRPr="00450D0E" w:rsidRDefault="005F0D23" w:rsidP="00F65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0%</w:t>
            </w:r>
            <w:r w:rsidR="000A7B61">
              <w:rPr>
                <w:color w:val="000000"/>
                <w:kern w:val="24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4AED3D" w14:textId="508FCAD5" w:rsidR="005F0D23" w:rsidRPr="00450D0E" w:rsidRDefault="005F0D23" w:rsidP="00F65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27% (e.g., if the probability of having a heart problem is 50%, it drops to 36%)</w:t>
            </w:r>
            <w:r w:rsidR="000A7B61">
              <w:rPr>
                <w:color w:val="000000"/>
                <w:kern w:val="24"/>
                <w:szCs w:val="20"/>
                <w:vertAlign w:val="superscript"/>
              </w:rPr>
              <w:t>5</w:t>
            </w:r>
          </w:p>
        </w:tc>
      </w:tr>
      <w:tr w:rsidR="00E5704B" w:rsidRPr="00450D0E" w14:paraId="734AD20E" w14:textId="77777777" w:rsidTr="00792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FFFFFF"/>
            <w:vAlign w:val="center"/>
            <w:hideMark/>
          </w:tcPr>
          <w:p w14:paraId="09BAD9FB" w14:textId="77777777" w:rsidR="005F0D23" w:rsidRPr="00450D0E" w:rsidRDefault="005F0D23" w:rsidP="00F65538">
            <w:pPr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Reduced risk of kidney disease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4935C4" w14:textId="376536E1" w:rsidR="005F0D23" w:rsidRPr="00450D0E" w:rsidRDefault="005F0D23" w:rsidP="00F65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0%</w:t>
            </w:r>
            <w:r w:rsidR="000A7B61">
              <w:rPr>
                <w:color w:val="000000"/>
                <w:kern w:val="24"/>
                <w:szCs w:val="20"/>
                <w:vertAlign w:val="superscript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A09A42" w14:textId="40F725FD" w:rsidR="005F0D23" w:rsidRPr="00450D0E" w:rsidRDefault="005F0D23" w:rsidP="00F65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47% (e.g., if the probability of having a kidney problem is 50%, it drops to 26%)</w:t>
            </w:r>
            <w:r w:rsidR="000A7B61">
              <w:rPr>
                <w:color w:val="000000"/>
                <w:kern w:val="24"/>
                <w:szCs w:val="20"/>
                <w:vertAlign w:val="superscript"/>
              </w:rPr>
              <w:t>5</w:t>
            </w:r>
          </w:p>
        </w:tc>
      </w:tr>
      <w:tr w:rsidR="00E5704B" w:rsidRPr="00450D0E" w14:paraId="0B11D0DA" w14:textId="77777777" w:rsidTr="00FC138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8695B80" w14:textId="77777777" w:rsidR="005F0D23" w:rsidRPr="00450D0E" w:rsidRDefault="005F0D23" w:rsidP="00F65538">
            <w:pPr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 xml:space="preserve">Risk of </w:t>
            </w:r>
            <w:proofErr w:type="spellStart"/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hypoglycemia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E7ED15" w14:textId="16403A13" w:rsidR="005F0D23" w:rsidRPr="00450D0E" w:rsidRDefault="005F0D23" w:rsidP="00F65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Low</w:t>
            </w:r>
            <w:r w:rsidR="000A7B61">
              <w:rPr>
                <w:color w:val="000000"/>
                <w:kern w:val="24"/>
                <w:szCs w:val="20"/>
                <w:vertAlign w:val="superscript"/>
              </w:rPr>
              <w:t>1,4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7EFF39" w14:textId="6C0F4A63" w:rsidR="005F0D23" w:rsidRPr="00450D0E" w:rsidRDefault="005F0D23" w:rsidP="00F65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Low</w:t>
            </w:r>
            <w:r w:rsidR="000A7B61">
              <w:rPr>
                <w:color w:val="000000"/>
                <w:kern w:val="24"/>
                <w:szCs w:val="20"/>
                <w:vertAlign w:val="superscript"/>
              </w:rPr>
              <w:t>1,5</w:t>
            </w:r>
          </w:p>
        </w:tc>
      </w:tr>
      <w:tr w:rsidR="000A7B61" w:rsidRPr="00450D0E" w14:paraId="5BEFA8A0" w14:textId="77777777" w:rsidTr="00FC1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585F5F0" w14:textId="77777777" w:rsidR="005F0D23" w:rsidRPr="00450D0E" w:rsidRDefault="005F0D23" w:rsidP="00F65538">
            <w:pPr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Risk of genital infections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F38E19D" w14:textId="1665A9A1" w:rsidR="005F0D23" w:rsidRPr="00450D0E" w:rsidRDefault="005F0D23" w:rsidP="00F65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Likelihood of genital</w:t>
            </w:r>
            <w:r w:rsidRPr="00450D0E">
              <w:rPr>
                <w:color w:val="000000"/>
                <w:kern w:val="24"/>
                <w:szCs w:val="20"/>
              </w:rPr>
              <w:t xml:space="preserve"> </w:t>
            </w: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infections: 0%</w:t>
            </w:r>
            <w:r w:rsidR="000A7B61">
              <w:rPr>
                <w:color w:val="000000"/>
                <w:kern w:val="24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4340D52" w14:textId="28EE9D2E" w:rsidR="005F0D23" w:rsidRPr="00450D0E" w:rsidRDefault="005F0D23" w:rsidP="00F65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Likelihood of genital infections: 1%</w:t>
            </w:r>
            <w:r w:rsidR="000A7B61">
              <w:rPr>
                <w:color w:val="000000"/>
                <w:kern w:val="24"/>
                <w:szCs w:val="20"/>
                <w:vertAlign w:val="superscript"/>
              </w:rPr>
              <w:t>5</w:t>
            </w:r>
          </w:p>
        </w:tc>
      </w:tr>
      <w:tr w:rsidR="00EB5C22" w:rsidRPr="00EB5C22" w14:paraId="70DA64A8" w14:textId="77777777" w:rsidTr="00792B44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4DD1779" w14:textId="0B878542" w:rsidR="0079588D" w:rsidRPr="00EB5C22" w:rsidRDefault="0079588D" w:rsidP="0079588D">
            <w:pPr>
              <w:rPr>
                <w:color w:val="auto"/>
                <w:kern w:val="24"/>
                <w:sz w:val="20"/>
                <w:szCs w:val="20"/>
              </w:rPr>
            </w:pPr>
            <w:r w:rsidRPr="00EB5C22">
              <w:rPr>
                <w:color w:val="auto"/>
                <w:kern w:val="24"/>
                <w:sz w:val="20"/>
                <w:szCs w:val="20"/>
              </w:rPr>
              <w:t>NOTE:</w:t>
            </w:r>
            <w:r w:rsidRPr="00EB5C22">
              <w:rPr>
                <w:b w:val="0"/>
                <w:bCs w:val="0"/>
                <w:color w:val="auto"/>
                <w:kern w:val="24"/>
                <w:sz w:val="20"/>
                <w:szCs w:val="20"/>
              </w:rPr>
              <w:t xml:space="preserve"> </w:t>
            </w:r>
            <w:r w:rsidRPr="00EB5C22">
              <w:rPr>
                <w:b w:val="0"/>
                <w:bCs w:val="0"/>
                <w:color w:val="auto"/>
                <w:sz w:val="20"/>
                <w:szCs w:val="20"/>
              </w:rPr>
              <w:t xml:space="preserve">This table was presented to participants as part of the discrete choice experiment (DCE) section of the questionnaire, with a brief explanation of the contents of the table and instructions asking them to choose which medication profile they would prefer if these were the only </w:t>
            </w:r>
            <w:r w:rsidR="00ED7556" w:rsidRPr="00EB5C22">
              <w:rPr>
                <w:b w:val="0"/>
                <w:bCs w:val="0"/>
                <w:color w:val="auto"/>
                <w:sz w:val="20"/>
                <w:szCs w:val="20"/>
              </w:rPr>
              <w:t xml:space="preserve">two options </w:t>
            </w:r>
            <w:r w:rsidRPr="00EB5C22">
              <w:rPr>
                <w:b w:val="0"/>
                <w:bCs w:val="0"/>
                <w:color w:val="auto"/>
                <w:sz w:val="20"/>
                <w:szCs w:val="20"/>
              </w:rPr>
              <w:t>available and if the costs were similar.</w:t>
            </w:r>
          </w:p>
        </w:tc>
      </w:tr>
    </w:tbl>
    <w:p w14:paraId="5F3BA336" w14:textId="1816D826" w:rsidR="005F0D23" w:rsidRPr="00EB5C22" w:rsidRDefault="005F0D23">
      <w:pPr>
        <w:spacing w:line="240" w:lineRule="auto"/>
        <w:rPr>
          <w:rFonts w:cs="Arial"/>
          <w:szCs w:val="20"/>
        </w:rPr>
      </w:pPr>
      <w:r w:rsidRPr="00EB5C22">
        <w:rPr>
          <w:rFonts w:cs="Arial"/>
          <w:szCs w:val="20"/>
        </w:rPr>
        <w:br w:type="page"/>
      </w:r>
    </w:p>
    <w:p w14:paraId="7F080ABC" w14:textId="7818736A" w:rsidR="005F0D23" w:rsidRPr="00450D0E" w:rsidRDefault="005F0D23" w:rsidP="005F0D23">
      <w:pPr>
        <w:rPr>
          <w:rFonts w:cs="Arial"/>
          <w:szCs w:val="20"/>
        </w:rPr>
      </w:pPr>
      <w:r w:rsidRPr="00450D0E">
        <w:rPr>
          <w:rFonts w:cs="Arial"/>
          <w:b/>
          <w:bCs/>
          <w:szCs w:val="20"/>
        </w:rPr>
        <w:lastRenderedPageBreak/>
        <w:t xml:space="preserve">Supplementary Table 2 </w:t>
      </w:r>
      <w:r w:rsidRPr="00450D0E">
        <w:rPr>
          <w:rFonts w:cs="Arial"/>
          <w:szCs w:val="20"/>
        </w:rPr>
        <w:t xml:space="preserve">Ranking of </w:t>
      </w:r>
      <w:r w:rsidR="000C134A">
        <w:rPr>
          <w:rFonts w:cs="Arial"/>
          <w:szCs w:val="20"/>
        </w:rPr>
        <w:t xml:space="preserve">the importance of the </w:t>
      </w:r>
      <w:r w:rsidRPr="00450D0E">
        <w:rPr>
          <w:rFonts w:cs="Arial"/>
          <w:szCs w:val="20"/>
        </w:rPr>
        <w:t xml:space="preserve">reasons for the choice of </w:t>
      </w:r>
      <w:r w:rsidR="000C134A">
        <w:rPr>
          <w:rFonts w:cs="Arial"/>
          <w:szCs w:val="20"/>
        </w:rPr>
        <w:t>medication profile</w:t>
      </w:r>
      <w:r w:rsidRPr="00450D0E">
        <w:rPr>
          <w:rFonts w:cs="Arial"/>
          <w:szCs w:val="20"/>
        </w:rPr>
        <w:t xml:space="preserve"> for the treatment of </w:t>
      </w:r>
      <w:r w:rsidR="000C134A">
        <w:rPr>
          <w:rFonts w:cs="Arial"/>
          <w:szCs w:val="20"/>
        </w:rPr>
        <w:t xml:space="preserve">type </w:t>
      </w:r>
      <w:r w:rsidRPr="00450D0E">
        <w:rPr>
          <w:rFonts w:cs="Arial"/>
          <w:szCs w:val="20"/>
        </w:rPr>
        <w:t>2</w:t>
      </w:r>
      <w:r w:rsidR="000C134A">
        <w:rPr>
          <w:rFonts w:cs="Arial"/>
          <w:szCs w:val="20"/>
        </w:rPr>
        <w:t xml:space="preserve"> diabetes</w:t>
      </w:r>
    </w:p>
    <w:tbl>
      <w:tblPr>
        <w:tblStyle w:val="GridTable5Dark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152"/>
        <w:gridCol w:w="5478"/>
      </w:tblGrid>
      <w:tr w:rsidR="005F0D23" w:rsidRPr="00450D0E" w14:paraId="43763F17" w14:textId="77777777" w:rsidTr="00F65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/>
            <w:vAlign w:val="center"/>
            <w:hideMark/>
          </w:tcPr>
          <w:p w14:paraId="2EDB2CB0" w14:textId="77777777" w:rsidR="005F0D23" w:rsidRPr="00450D0E" w:rsidRDefault="005F0D23" w:rsidP="00F65538">
            <w:pPr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Characteristics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/>
            <w:vAlign w:val="center"/>
            <w:hideMark/>
          </w:tcPr>
          <w:p w14:paraId="294E346E" w14:textId="77777777" w:rsidR="005F0D23" w:rsidRPr="00450D0E" w:rsidRDefault="005F0D23" w:rsidP="00F655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Order</w:t>
            </w:r>
          </w:p>
          <w:p w14:paraId="383E274B" w14:textId="33AA53D5" w:rsidR="005F0D23" w:rsidRPr="00450D0E" w:rsidRDefault="005F0D23" w:rsidP="00F655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(Assign a number: 1,</w:t>
            </w:r>
            <w:r w:rsidR="005A31E6">
              <w:rPr>
                <w:rFonts w:eastAsia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2,</w:t>
            </w:r>
            <w:r w:rsidR="005A31E6">
              <w:rPr>
                <w:rFonts w:eastAsia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3,</w:t>
            </w:r>
            <w:r w:rsidR="005A31E6">
              <w:rPr>
                <w:rFonts w:eastAsia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4 o</w:t>
            </w:r>
            <w:r w:rsidR="000C134A">
              <w:rPr>
                <w:rFonts w:eastAsia="Times New Roman"/>
                <w:color w:val="000000"/>
                <w:kern w:val="24"/>
                <w:sz w:val="20"/>
                <w:szCs w:val="20"/>
              </w:rPr>
              <w:t>r</w:t>
            </w: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 xml:space="preserve"> 5 for each characteristic. The most important is "1" and the least important is "5"</w:t>
            </w:r>
            <w:r w:rsidR="005A31E6">
              <w:rPr>
                <w:rFonts w:eastAsia="Times New Roman"/>
                <w:color w:val="000000"/>
                <w:kern w:val="24"/>
                <w:sz w:val="20"/>
                <w:szCs w:val="20"/>
              </w:rPr>
              <w:t>.</w:t>
            </w: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)</w:t>
            </w:r>
          </w:p>
        </w:tc>
      </w:tr>
      <w:tr w:rsidR="005F0D23" w:rsidRPr="00450D0E" w14:paraId="07532DEC" w14:textId="77777777" w:rsidTr="00F6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FFFFFF"/>
            <w:vAlign w:val="center"/>
            <w:hideMark/>
          </w:tcPr>
          <w:p w14:paraId="2A5F1CD7" w14:textId="3C67C27F" w:rsidR="005F0D23" w:rsidRPr="00450D0E" w:rsidRDefault="005F0D23" w:rsidP="00F65538">
            <w:pPr>
              <w:rPr>
                <w:rFonts w:eastAsia="Times New Roman"/>
                <w:sz w:val="20"/>
                <w:szCs w:val="20"/>
              </w:rPr>
            </w:pPr>
            <w:r w:rsidRPr="00DC61D6">
              <w:rPr>
                <w:rFonts w:eastAsia="Times New Roman"/>
                <w:b w:val="0"/>
                <w:bCs w:val="0"/>
                <w:color w:val="000000"/>
                <w:kern w:val="24"/>
                <w:sz w:val="20"/>
                <w:szCs w:val="20"/>
              </w:rPr>
              <w:t>Reduction of</w:t>
            </w: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="000C134A" w:rsidRPr="00553B1F">
              <w:rPr>
                <w:rFonts w:eastAsia="Times New Roman"/>
                <w:color w:val="000000"/>
                <w:kern w:val="24"/>
                <w:sz w:val="20"/>
                <w:szCs w:val="20"/>
              </w:rPr>
              <w:t xml:space="preserve">glycosylated </w:t>
            </w:r>
            <w:proofErr w:type="spellStart"/>
            <w:r w:rsidR="000C134A" w:rsidRPr="00553B1F">
              <w:rPr>
                <w:rFonts w:eastAsia="Times New Roman"/>
                <w:color w:val="000000"/>
                <w:kern w:val="24"/>
                <w:sz w:val="20"/>
                <w:szCs w:val="20"/>
              </w:rPr>
              <w:t>hemoglobin</w:t>
            </w:r>
            <w:proofErr w:type="spellEnd"/>
            <w:r w:rsidR="000C134A" w:rsidRPr="006D1A53">
              <w:rPr>
                <w:rFonts w:eastAsia="Times New Roman"/>
                <w:color w:val="000000"/>
                <w:kern w:val="24"/>
                <w:sz w:val="20"/>
                <w:szCs w:val="20"/>
              </w:rPr>
              <w:t xml:space="preserve"> (</w:t>
            </w: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HbA1c</w:t>
            </w:r>
            <w:r w:rsidR="000C134A">
              <w:rPr>
                <w:rFonts w:eastAsia="Times New Roman"/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E22286" w14:textId="0097971A" w:rsidR="005F0D23" w:rsidRPr="00450D0E" w:rsidRDefault="005F0D23" w:rsidP="00F65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</w:tr>
      <w:tr w:rsidR="005F0D23" w:rsidRPr="00450D0E" w14:paraId="7A415636" w14:textId="77777777" w:rsidTr="00F6553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FFFFFF"/>
            <w:vAlign w:val="center"/>
            <w:hideMark/>
          </w:tcPr>
          <w:p w14:paraId="1D1575E7" w14:textId="77777777" w:rsidR="005F0D23" w:rsidRPr="00450D0E" w:rsidRDefault="005F0D23" w:rsidP="00F65538">
            <w:pPr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 xml:space="preserve">Weight </w:t>
            </w:r>
            <w:r w:rsidRPr="00DC61D6">
              <w:rPr>
                <w:rFonts w:eastAsia="Times New Roman"/>
                <w:b w:val="0"/>
                <w:bCs w:val="0"/>
                <w:color w:val="000000"/>
                <w:kern w:val="24"/>
                <w:sz w:val="20"/>
                <w:szCs w:val="20"/>
              </w:rPr>
              <w:t>reduction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58D71D" w14:textId="528C73EC" w:rsidR="005F0D23" w:rsidRPr="00450D0E" w:rsidRDefault="005F0D23" w:rsidP="00F65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</w:tr>
      <w:tr w:rsidR="005F0D23" w:rsidRPr="00450D0E" w14:paraId="0933B668" w14:textId="77777777" w:rsidTr="00F6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FFFFFF"/>
            <w:vAlign w:val="center"/>
            <w:hideMark/>
          </w:tcPr>
          <w:p w14:paraId="37955E4A" w14:textId="634F629C" w:rsidR="005F0D23" w:rsidRPr="00450D0E" w:rsidRDefault="005F0D23" w:rsidP="00F65538">
            <w:pPr>
              <w:rPr>
                <w:rFonts w:eastAsia="Times New Roman"/>
                <w:sz w:val="20"/>
                <w:szCs w:val="20"/>
              </w:rPr>
            </w:pP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>Reduced risk of h</w:t>
            </w:r>
            <w:r w:rsidR="000C134A">
              <w:rPr>
                <w:rFonts w:eastAsia="Times New Roman"/>
                <w:color w:val="000000"/>
                <w:kern w:val="24"/>
                <w:sz w:val="20"/>
                <w:szCs w:val="20"/>
              </w:rPr>
              <w:t>ospitalization for heart failure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4EFC58" w14:textId="7147F668" w:rsidR="005F0D23" w:rsidRPr="00450D0E" w:rsidRDefault="005F0D23" w:rsidP="00F65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</w:tr>
      <w:tr w:rsidR="005F0D23" w:rsidRPr="00450D0E" w14:paraId="760EFCA0" w14:textId="77777777" w:rsidTr="00F6553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FFFFFF"/>
            <w:vAlign w:val="center"/>
            <w:hideMark/>
          </w:tcPr>
          <w:p w14:paraId="1FE95FC4" w14:textId="77777777" w:rsidR="005F0D23" w:rsidRPr="00450D0E" w:rsidRDefault="005F0D23" w:rsidP="00F65538">
            <w:pPr>
              <w:rPr>
                <w:rFonts w:eastAsia="Times New Roman"/>
                <w:sz w:val="20"/>
                <w:szCs w:val="20"/>
              </w:rPr>
            </w:pPr>
            <w:r w:rsidRPr="00DC61D6">
              <w:rPr>
                <w:rFonts w:eastAsia="Times New Roman"/>
                <w:b w:val="0"/>
                <w:bCs w:val="0"/>
                <w:color w:val="000000"/>
                <w:kern w:val="24"/>
                <w:sz w:val="20"/>
                <w:szCs w:val="20"/>
              </w:rPr>
              <w:t>Reduced</w:t>
            </w: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 xml:space="preserve"> risk of kidney disease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0BAD94" w14:textId="70C4D8A2" w:rsidR="005F0D23" w:rsidRPr="00450D0E" w:rsidRDefault="005F0D23" w:rsidP="00F655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</w:tr>
      <w:tr w:rsidR="005F0D23" w:rsidRPr="00450D0E" w14:paraId="792EE275" w14:textId="77777777" w:rsidTr="00F65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7FE7B9D" w14:textId="77777777" w:rsidR="005F0D23" w:rsidRPr="00450D0E" w:rsidRDefault="005F0D23" w:rsidP="00F65538">
            <w:pPr>
              <w:rPr>
                <w:rFonts w:eastAsia="Times New Roman"/>
                <w:sz w:val="20"/>
                <w:szCs w:val="20"/>
              </w:rPr>
            </w:pPr>
            <w:r w:rsidRPr="00DC61D6">
              <w:rPr>
                <w:rFonts w:eastAsia="Times New Roman"/>
                <w:b w:val="0"/>
                <w:bCs w:val="0"/>
                <w:color w:val="000000"/>
                <w:kern w:val="24"/>
                <w:sz w:val="20"/>
                <w:szCs w:val="20"/>
              </w:rPr>
              <w:t>Risk of</w:t>
            </w:r>
            <w:r w:rsidRPr="00450D0E">
              <w:rPr>
                <w:rFonts w:eastAsia="Times New Roman"/>
                <w:color w:val="000000"/>
                <w:kern w:val="24"/>
                <w:sz w:val="20"/>
                <w:szCs w:val="20"/>
              </w:rPr>
              <w:t xml:space="preserve"> genital infections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8D908AF" w14:textId="4AB7AB92" w:rsidR="005F0D23" w:rsidRPr="00450D0E" w:rsidRDefault="005F0D23" w:rsidP="00F65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</w:tr>
      <w:tr w:rsidR="00ED7556" w:rsidRPr="00ED7556" w14:paraId="5F382EA5" w14:textId="77777777" w:rsidTr="00F6553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right w:val="nil"/>
            </w:tcBorders>
            <w:shd w:val="clear" w:color="auto" w:fill="FFFFFF"/>
          </w:tcPr>
          <w:p w14:paraId="2847A2AA" w14:textId="76337F53" w:rsidR="00911D26" w:rsidRPr="00E5704B" w:rsidRDefault="00911D26" w:rsidP="0005168B">
            <w:pPr>
              <w:rPr>
                <w:color w:val="auto"/>
                <w:kern w:val="24"/>
                <w:sz w:val="20"/>
                <w:szCs w:val="20"/>
              </w:rPr>
            </w:pPr>
            <w:r w:rsidRPr="00F47184">
              <w:rPr>
                <w:color w:val="auto"/>
                <w:kern w:val="24"/>
                <w:sz w:val="20"/>
                <w:szCs w:val="20"/>
              </w:rPr>
              <w:t xml:space="preserve">NOTE: </w:t>
            </w:r>
            <w:r w:rsidRPr="00F47184">
              <w:rPr>
                <w:b w:val="0"/>
                <w:bCs w:val="0"/>
                <w:color w:val="auto"/>
                <w:kern w:val="24"/>
                <w:sz w:val="20"/>
                <w:szCs w:val="20"/>
              </w:rPr>
              <w:t xml:space="preserve">This table was presented to participants as part of the discrete choice experiment (DCE) section of the questionnaire. After participants reported their overall preference for medication A or B </w:t>
            </w:r>
            <w:r w:rsidRPr="00EB5C22">
              <w:rPr>
                <w:color w:val="auto"/>
                <w:kern w:val="24"/>
                <w:sz w:val="20"/>
                <w:szCs w:val="18"/>
              </w:rPr>
              <w:t>(Supplementary Table 1)</w:t>
            </w:r>
            <w:r w:rsidRPr="00EB5C22">
              <w:rPr>
                <w:b w:val="0"/>
                <w:bCs w:val="0"/>
                <w:color w:val="auto"/>
                <w:kern w:val="24"/>
                <w:sz w:val="20"/>
                <w:szCs w:val="20"/>
              </w:rPr>
              <w:t xml:space="preserve">, they </w:t>
            </w:r>
            <w:r w:rsidRPr="00F47184">
              <w:rPr>
                <w:b w:val="0"/>
                <w:bCs w:val="0"/>
                <w:color w:val="auto"/>
                <w:kern w:val="24"/>
                <w:sz w:val="20"/>
                <w:szCs w:val="20"/>
              </w:rPr>
              <w:t>were asked to rank the importance of the reasons (characteristics listed on th</w:t>
            </w:r>
            <w:r w:rsidR="008F6FC9" w:rsidRPr="00F47184">
              <w:rPr>
                <w:b w:val="0"/>
                <w:bCs w:val="0"/>
                <w:color w:val="auto"/>
                <w:kern w:val="24"/>
                <w:sz w:val="20"/>
                <w:szCs w:val="20"/>
              </w:rPr>
              <w:t>is</w:t>
            </w:r>
            <w:r w:rsidRPr="00F47184">
              <w:rPr>
                <w:b w:val="0"/>
                <w:bCs w:val="0"/>
                <w:color w:val="auto"/>
                <w:kern w:val="24"/>
                <w:sz w:val="20"/>
                <w:szCs w:val="20"/>
              </w:rPr>
              <w:t xml:space="preserve"> table) for their preference (considering “1” </w:t>
            </w:r>
            <w:r w:rsidR="008F6FC9" w:rsidRPr="00F47184">
              <w:rPr>
                <w:b w:val="0"/>
                <w:bCs w:val="0"/>
                <w:color w:val="auto"/>
                <w:kern w:val="24"/>
                <w:sz w:val="20"/>
                <w:szCs w:val="20"/>
              </w:rPr>
              <w:t>to be</w:t>
            </w:r>
            <w:r w:rsidRPr="00F47184">
              <w:rPr>
                <w:b w:val="0"/>
                <w:bCs w:val="0"/>
                <w:color w:val="auto"/>
                <w:kern w:val="24"/>
                <w:sz w:val="20"/>
                <w:szCs w:val="20"/>
              </w:rPr>
              <w:t xml:space="preserve"> the most important and “5” </w:t>
            </w:r>
            <w:r w:rsidR="008F6FC9" w:rsidRPr="00F47184">
              <w:rPr>
                <w:b w:val="0"/>
                <w:bCs w:val="0"/>
                <w:color w:val="auto"/>
                <w:kern w:val="24"/>
                <w:sz w:val="20"/>
                <w:szCs w:val="20"/>
              </w:rPr>
              <w:t>to be</w:t>
            </w:r>
            <w:r w:rsidRPr="00F47184">
              <w:rPr>
                <w:b w:val="0"/>
                <w:bCs w:val="0"/>
                <w:color w:val="auto"/>
                <w:kern w:val="24"/>
                <w:sz w:val="20"/>
                <w:szCs w:val="20"/>
              </w:rPr>
              <w:t xml:space="preserve"> the least important reason).</w:t>
            </w:r>
          </w:p>
        </w:tc>
      </w:tr>
    </w:tbl>
    <w:p w14:paraId="6A143CE4" w14:textId="57A8ECBF" w:rsidR="00FC138F" w:rsidRDefault="00FC138F" w:rsidP="00792B44">
      <w:pPr>
        <w:rPr>
          <w:rFonts w:cs="Arial"/>
          <w:color w:val="000000"/>
          <w:szCs w:val="20"/>
          <w:lang w:val="en-GB"/>
        </w:rPr>
        <w:sectPr w:rsidR="00FC138F" w:rsidSect="00C94612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lnNumType w:countBy="1" w:restart="continuous"/>
          <w:cols w:space="720"/>
          <w:titlePg/>
          <w:docGrid w:linePitch="360"/>
        </w:sectPr>
      </w:pPr>
    </w:p>
    <w:p w14:paraId="3C93F604" w14:textId="77777777" w:rsidR="00792B44" w:rsidRPr="00E5704B" w:rsidRDefault="00792B44" w:rsidP="00792B44">
      <w:pPr>
        <w:jc w:val="both"/>
        <w:rPr>
          <w:rFonts w:cs="Arial"/>
          <w:b/>
          <w:bCs/>
          <w:szCs w:val="20"/>
        </w:rPr>
      </w:pPr>
      <w:r w:rsidRPr="00E5704B">
        <w:rPr>
          <w:rFonts w:cs="Arial"/>
          <w:b/>
          <w:bCs/>
          <w:szCs w:val="20"/>
        </w:rPr>
        <w:lastRenderedPageBreak/>
        <w:t>References</w:t>
      </w:r>
    </w:p>
    <w:p w14:paraId="1351DC4F" w14:textId="77777777" w:rsidR="00792B44" w:rsidRPr="00D11D00" w:rsidRDefault="00792B44" w:rsidP="00792B44">
      <w:pPr>
        <w:widowControl w:val="0"/>
        <w:autoSpaceDE w:val="0"/>
        <w:autoSpaceDN w:val="0"/>
        <w:adjustRightInd w:val="0"/>
        <w:ind w:left="640" w:hanging="640"/>
        <w:rPr>
          <w:rFonts w:cs="Arial"/>
          <w:noProof/>
        </w:rPr>
      </w:pPr>
      <w:r>
        <w:rPr>
          <w:rFonts w:cs="Arial"/>
          <w:noProof/>
        </w:rPr>
        <w:t>1.</w:t>
      </w:r>
      <w:r>
        <w:rPr>
          <w:rFonts w:cs="Arial"/>
          <w:noProof/>
        </w:rPr>
        <w:tab/>
      </w:r>
      <w:r w:rsidRPr="00D11D00">
        <w:rPr>
          <w:rFonts w:cs="Arial"/>
          <w:noProof/>
        </w:rPr>
        <w:t xml:space="preserve">Rosenstock J, Mathieu C, Chen H, Garcia-Sanchez R, Saraiva GL. Dapagliflozin versus saxagliptin as add-on therapy in patients with type 2 diabetes inadequately controlled with metformin. </w:t>
      </w:r>
      <w:r w:rsidRPr="00D11D00">
        <w:rPr>
          <w:rFonts w:cs="Arial"/>
          <w:i/>
          <w:iCs/>
          <w:noProof/>
        </w:rPr>
        <w:t>Arch Endocrinol Metab</w:t>
      </w:r>
      <w:r w:rsidRPr="00D11D00">
        <w:rPr>
          <w:rFonts w:cs="Arial"/>
          <w:noProof/>
        </w:rPr>
        <w:t>. 2018;62(4):424-430.</w:t>
      </w:r>
    </w:p>
    <w:p w14:paraId="467D88E8" w14:textId="77777777" w:rsidR="00792B44" w:rsidRPr="00DB1853" w:rsidRDefault="00792B44" w:rsidP="00792B44">
      <w:pPr>
        <w:widowControl w:val="0"/>
        <w:autoSpaceDE w:val="0"/>
        <w:autoSpaceDN w:val="0"/>
        <w:adjustRightInd w:val="0"/>
        <w:ind w:left="640" w:hanging="640"/>
        <w:rPr>
          <w:rFonts w:cs="Arial"/>
          <w:noProof/>
          <w:lang w:val="es-AR"/>
        </w:rPr>
      </w:pPr>
      <w:r w:rsidRPr="00D11D00">
        <w:rPr>
          <w:rFonts w:cs="Arial"/>
          <w:noProof/>
        </w:rPr>
        <w:t xml:space="preserve">2. </w:t>
      </w:r>
      <w:r w:rsidRPr="00D11D00">
        <w:rPr>
          <w:rFonts w:cs="Arial"/>
          <w:noProof/>
        </w:rPr>
        <w:tab/>
        <w:t xml:space="preserve">Scott R, Morgan J, Zimmer Z, et al. A randomized clinical trial of the efficacy and safety of sitagliptin compared with dapagliflozin in patients with type 2 diabetes mellitus and mild renal insufficiency: The CompoSIT-R study. </w:t>
      </w:r>
      <w:r w:rsidRPr="00DB1853">
        <w:rPr>
          <w:rFonts w:cs="Arial"/>
          <w:i/>
          <w:iCs/>
          <w:noProof/>
          <w:lang w:val="es-AR"/>
        </w:rPr>
        <w:t>Diabetes, Obes Metab</w:t>
      </w:r>
      <w:r w:rsidRPr="00DB1853">
        <w:rPr>
          <w:rFonts w:cs="Arial"/>
          <w:noProof/>
          <w:lang w:val="es-AR"/>
        </w:rPr>
        <w:t>. 2018;20(12):2876-2884.</w:t>
      </w:r>
    </w:p>
    <w:p w14:paraId="58FA0DB0" w14:textId="77777777" w:rsidR="00792B44" w:rsidRDefault="00792B44" w:rsidP="00792B44">
      <w:pPr>
        <w:widowControl w:val="0"/>
        <w:autoSpaceDE w:val="0"/>
        <w:autoSpaceDN w:val="0"/>
        <w:adjustRightInd w:val="0"/>
        <w:ind w:left="640" w:hanging="640"/>
        <w:rPr>
          <w:rFonts w:cs="Arial"/>
          <w:noProof/>
        </w:rPr>
      </w:pPr>
      <w:r>
        <w:rPr>
          <w:rFonts w:cs="Arial"/>
          <w:noProof/>
          <w:lang w:val="es-AR"/>
        </w:rPr>
        <w:t>3</w:t>
      </w:r>
      <w:r w:rsidRPr="00DB1853">
        <w:rPr>
          <w:rFonts w:cs="Arial"/>
          <w:noProof/>
          <w:lang w:val="es-AR"/>
        </w:rPr>
        <w:t xml:space="preserve">. </w:t>
      </w:r>
      <w:r w:rsidRPr="00DB1853">
        <w:rPr>
          <w:rFonts w:cs="Arial"/>
          <w:noProof/>
          <w:lang w:val="es-AR"/>
        </w:rPr>
        <w:tab/>
        <w:t xml:space="preserve">Scirica BM, Bhatt DL, Braunwald E, et al. </w:t>
      </w:r>
      <w:r w:rsidRPr="00D11D00">
        <w:rPr>
          <w:rFonts w:cs="Arial"/>
          <w:noProof/>
        </w:rPr>
        <w:t xml:space="preserve">Saxagliptin and cardiovascular outcomes in patients with type 2 diabetes mellitus. </w:t>
      </w:r>
      <w:r w:rsidRPr="00D11D00">
        <w:rPr>
          <w:rFonts w:cs="Arial"/>
          <w:i/>
          <w:iCs/>
          <w:noProof/>
        </w:rPr>
        <w:t>N Engl J Med</w:t>
      </w:r>
      <w:r w:rsidRPr="00D11D00">
        <w:rPr>
          <w:rFonts w:cs="Arial"/>
          <w:noProof/>
        </w:rPr>
        <w:t>. 2013;369(14):1317-1326.</w:t>
      </w:r>
    </w:p>
    <w:p w14:paraId="0BEBF7E0" w14:textId="77777777" w:rsidR="00792B44" w:rsidRDefault="00792B44" w:rsidP="00792B44">
      <w:pPr>
        <w:widowControl w:val="0"/>
        <w:autoSpaceDE w:val="0"/>
        <w:autoSpaceDN w:val="0"/>
        <w:adjustRightInd w:val="0"/>
        <w:ind w:left="640" w:hanging="640"/>
        <w:rPr>
          <w:rFonts w:cs="Arial"/>
          <w:noProof/>
        </w:rPr>
      </w:pPr>
      <w:r>
        <w:rPr>
          <w:rFonts w:cs="Arial"/>
          <w:noProof/>
        </w:rPr>
        <w:t>4.</w:t>
      </w:r>
      <w:r>
        <w:rPr>
          <w:rFonts w:cs="Arial"/>
          <w:noProof/>
        </w:rPr>
        <w:tab/>
      </w:r>
      <w:r w:rsidRPr="00D11D00">
        <w:rPr>
          <w:rFonts w:cs="Arial"/>
          <w:noProof/>
        </w:rPr>
        <w:t xml:space="preserve">Mosenzon O, Leibowitz G, Bhatt DL, et al. Effect of saxagliptin on renal outcomes in the SAVOR-TIMI 53 trial. </w:t>
      </w:r>
      <w:r w:rsidRPr="00D11D00">
        <w:rPr>
          <w:rFonts w:cs="Arial"/>
          <w:i/>
          <w:iCs/>
          <w:noProof/>
        </w:rPr>
        <w:t>Diabetes Care</w:t>
      </w:r>
      <w:r w:rsidRPr="00D11D00">
        <w:rPr>
          <w:rFonts w:cs="Arial"/>
          <w:noProof/>
        </w:rPr>
        <w:t>. 2017;40(1):69-76.</w:t>
      </w:r>
    </w:p>
    <w:p w14:paraId="550DF977" w14:textId="0B6159E6" w:rsidR="00FE374E" w:rsidRPr="00792B44" w:rsidRDefault="00792B44" w:rsidP="00792B44">
      <w:pPr>
        <w:widowControl w:val="0"/>
        <w:autoSpaceDE w:val="0"/>
        <w:autoSpaceDN w:val="0"/>
        <w:adjustRightInd w:val="0"/>
        <w:ind w:left="640" w:hanging="640"/>
        <w:rPr>
          <w:rFonts w:cs="Arial"/>
          <w:noProof/>
        </w:rPr>
      </w:pPr>
      <w:r>
        <w:rPr>
          <w:rFonts w:cs="Arial"/>
          <w:noProof/>
        </w:rPr>
        <w:t>5.</w:t>
      </w:r>
      <w:r>
        <w:rPr>
          <w:rFonts w:cs="Arial"/>
          <w:noProof/>
        </w:rPr>
        <w:tab/>
      </w:r>
      <w:r w:rsidRPr="00D11D00">
        <w:rPr>
          <w:rFonts w:cs="Arial"/>
          <w:noProof/>
        </w:rPr>
        <w:t xml:space="preserve">Wiviott SD, Raz I, Bonaca MP, et al. Dapagliflozin and cardiovascular outcomes in type 2 diabetes. </w:t>
      </w:r>
      <w:r w:rsidRPr="00D11D00">
        <w:rPr>
          <w:rFonts w:cs="Arial"/>
          <w:i/>
          <w:iCs/>
          <w:noProof/>
        </w:rPr>
        <w:t>N Engl J Med</w:t>
      </w:r>
      <w:r w:rsidRPr="00D11D00">
        <w:rPr>
          <w:rFonts w:cs="Arial"/>
          <w:noProof/>
        </w:rPr>
        <w:t>. 2019;380(4):347-357.</w:t>
      </w:r>
    </w:p>
    <w:sectPr w:rsidR="00FE374E" w:rsidRPr="00792B44" w:rsidSect="00C94612"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8A21" w14:textId="77777777" w:rsidR="00CE69C2" w:rsidRDefault="00CE69C2">
      <w:r>
        <w:separator/>
      </w:r>
    </w:p>
  </w:endnote>
  <w:endnote w:type="continuationSeparator" w:id="0">
    <w:p w14:paraId="7786D1C6" w14:textId="77777777" w:rsidR="00CE69C2" w:rsidRDefault="00CE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9816" w14:textId="77777777" w:rsidR="00512262" w:rsidRDefault="00512262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F2E2E" w14:textId="77777777" w:rsidR="00512262" w:rsidRDefault="00512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67A7" w14:textId="77777777" w:rsidR="00512262" w:rsidRDefault="00512262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7E037CD" w14:textId="77777777" w:rsidR="00512262" w:rsidRDefault="00512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A115B" w14:textId="77777777" w:rsidR="00CE69C2" w:rsidRDefault="00CE69C2">
      <w:r>
        <w:separator/>
      </w:r>
    </w:p>
  </w:footnote>
  <w:footnote w:type="continuationSeparator" w:id="0">
    <w:p w14:paraId="569BE74C" w14:textId="77777777" w:rsidR="00CE69C2" w:rsidRDefault="00CE6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779E"/>
    <w:multiLevelType w:val="hybridMultilevel"/>
    <w:tmpl w:val="566E2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6ED12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210FE"/>
    <w:multiLevelType w:val="multilevel"/>
    <w:tmpl w:val="16C2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196C"/>
    <w:rsid w:val="00006E2A"/>
    <w:rsid w:val="0001027A"/>
    <w:rsid w:val="00033695"/>
    <w:rsid w:val="000342A0"/>
    <w:rsid w:val="000344F1"/>
    <w:rsid w:val="00035CCC"/>
    <w:rsid w:val="00041068"/>
    <w:rsid w:val="00043C1E"/>
    <w:rsid w:val="000517A0"/>
    <w:rsid w:val="0005257A"/>
    <w:rsid w:val="00053022"/>
    <w:rsid w:val="00054361"/>
    <w:rsid w:val="00062025"/>
    <w:rsid w:val="000666AF"/>
    <w:rsid w:val="0007252D"/>
    <w:rsid w:val="0008401B"/>
    <w:rsid w:val="00087F9B"/>
    <w:rsid w:val="000A0840"/>
    <w:rsid w:val="000A4388"/>
    <w:rsid w:val="000A7B61"/>
    <w:rsid w:val="000B2BC9"/>
    <w:rsid w:val="000B4370"/>
    <w:rsid w:val="000B4A4C"/>
    <w:rsid w:val="000C134A"/>
    <w:rsid w:val="000C2312"/>
    <w:rsid w:val="000C59ED"/>
    <w:rsid w:val="000C69D9"/>
    <w:rsid w:val="000D3E37"/>
    <w:rsid w:val="000E3B1C"/>
    <w:rsid w:val="000E4F67"/>
    <w:rsid w:val="000E6B48"/>
    <w:rsid w:val="000E7758"/>
    <w:rsid w:val="00104C09"/>
    <w:rsid w:val="00110C7B"/>
    <w:rsid w:val="00117777"/>
    <w:rsid w:val="001221EC"/>
    <w:rsid w:val="0012471A"/>
    <w:rsid w:val="001258CC"/>
    <w:rsid w:val="00127CD5"/>
    <w:rsid w:val="00143FEA"/>
    <w:rsid w:val="00150551"/>
    <w:rsid w:val="00161B83"/>
    <w:rsid w:val="0017004E"/>
    <w:rsid w:val="00170F20"/>
    <w:rsid w:val="0017323C"/>
    <w:rsid w:val="00173279"/>
    <w:rsid w:val="001740DD"/>
    <w:rsid w:val="00191F49"/>
    <w:rsid w:val="001B0A71"/>
    <w:rsid w:val="001B204D"/>
    <w:rsid w:val="001C78F9"/>
    <w:rsid w:val="001D1301"/>
    <w:rsid w:val="001E15BD"/>
    <w:rsid w:val="001E7479"/>
    <w:rsid w:val="001F204C"/>
    <w:rsid w:val="00203209"/>
    <w:rsid w:val="00212DFF"/>
    <w:rsid w:val="00216FD0"/>
    <w:rsid w:val="00217D65"/>
    <w:rsid w:val="00240E76"/>
    <w:rsid w:val="00246A32"/>
    <w:rsid w:val="0025532E"/>
    <w:rsid w:val="00270A96"/>
    <w:rsid w:val="00272487"/>
    <w:rsid w:val="00280C0E"/>
    <w:rsid w:val="00285503"/>
    <w:rsid w:val="00286E82"/>
    <w:rsid w:val="00294CB0"/>
    <w:rsid w:val="002A2868"/>
    <w:rsid w:val="002A2D9E"/>
    <w:rsid w:val="002A6235"/>
    <w:rsid w:val="002B12A0"/>
    <w:rsid w:val="002B330E"/>
    <w:rsid w:val="002B4CB2"/>
    <w:rsid w:val="002D1A3E"/>
    <w:rsid w:val="002D3FAF"/>
    <w:rsid w:val="002E23DD"/>
    <w:rsid w:val="002F2651"/>
    <w:rsid w:val="002F4012"/>
    <w:rsid w:val="002F4BEC"/>
    <w:rsid w:val="002F5003"/>
    <w:rsid w:val="003155A1"/>
    <w:rsid w:val="00316BC6"/>
    <w:rsid w:val="00317B00"/>
    <w:rsid w:val="00320521"/>
    <w:rsid w:val="00323A47"/>
    <w:rsid w:val="00324666"/>
    <w:rsid w:val="00324766"/>
    <w:rsid w:val="003339CC"/>
    <w:rsid w:val="00334B3B"/>
    <w:rsid w:val="00336919"/>
    <w:rsid w:val="00342E63"/>
    <w:rsid w:val="003667DD"/>
    <w:rsid w:val="003714B6"/>
    <w:rsid w:val="00371F3E"/>
    <w:rsid w:val="0037212B"/>
    <w:rsid w:val="0037464D"/>
    <w:rsid w:val="00382F18"/>
    <w:rsid w:val="0038573C"/>
    <w:rsid w:val="0038598C"/>
    <w:rsid w:val="0039041E"/>
    <w:rsid w:val="00392550"/>
    <w:rsid w:val="00394866"/>
    <w:rsid w:val="003948EC"/>
    <w:rsid w:val="003A6F39"/>
    <w:rsid w:val="003B4083"/>
    <w:rsid w:val="003B57B5"/>
    <w:rsid w:val="003D05CB"/>
    <w:rsid w:val="003D69BD"/>
    <w:rsid w:val="003E4DDA"/>
    <w:rsid w:val="00402D66"/>
    <w:rsid w:val="00404E44"/>
    <w:rsid w:val="00410570"/>
    <w:rsid w:val="004110B7"/>
    <w:rsid w:val="00411796"/>
    <w:rsid w:val="004177FD"/>
    <w:rsid w:val="00431388"/>
    <w:rsid w:val="00442350"/>
    <w:rsid w:val="004475C4"/>
    <w:rsid w:val="00450D0E"/>
    <w:rsid w:val="00473BF1"/>
    <w:rsid w:val="004754C9"/>
    <w:rsid w:val="00483CD7"/>
    <w:rsid w:val="00487925"/>
    <w:rsid w:val="00491861"/>
    <w:rsid w:val="00493483"/>
    <w:rsid w:val="00497930"/>
    <w:rsid w:val="004A34DD"/>
    <w:rsid w:val="004B19F6"/>
    <w:rsid w:val="004B52C5"/>
    <w:rsid w:val="004B5ED7"/>
    <w:rsid w:val="004C186B"/>
    <w:rsid w:val="004C5313"/>
    <w:rsid w:val="004C5DB2"/>
    <w:rsid w:val="004D4F1E"/>
    <w:rsid w:val="004D59C9"/>
    <w:rsid w:val="004E0368"/>
    <w:rsid w:val="004E2F6D"/>
    <w:rsid w:val="004E782D"/>
    <w:rsid w:val="00511DB2"/>
    <w:rsid w:val="00512262"/>
    <w:rsid w:val="00517487"/>
    <w:rsid w:val="00517D47"/>
    <w:rsid w:val="00553800"/>
    <w:rsid w:val="00554F0E"/>
    <w:rsid w:val="00556F09"/>
    <w:rsid w:val="005572D6"/>
    <w:rsid w:val="00557C17"/>
    <w:rsid w:val="005657F2"/>
    <w:rsid w:val="00565970"/>
    <w:rsid w:val="005A31E6"/>
    <w:rsid w:val="005A6431"/>
    <w:rsid w:val="005B677A"/>
    <w:rsid w:val="005C63CF"/>
    <w:rsid w:val="005D0C3D"/>
    <w:rsid w:val="005D13C4"/>
    <w:rsid w:val="005E1ECB"/>
    <w:rsid w:val="005F0D23"/>
    <w:rsid w:val="005F4006"/>
    <w:rsid w:val="005F4F0F"/>
    <w:rsid w:val="00600B5C"/>
    <w:rsid w:val="0060400B"/>
    <w:rsid w:val="00606D0B"/>
    <w:rsid w:val="00611C5F"/>
    <w:rsid w:val="00614A30"/>
    <w:rsid w:val="00616A5D"/>
    <w:rsid w:val="0062140C"/>
    <w:rsid w:val="006233A0"/>
    <w:rsid w:val="00634A10"/>
    <w:rsid w:val="00641707"/>
    <w:rsid w:val="00646CF0"/>
    <w:rsid w:val="00661C2D"/>
    <w:rsid w:val="00662E52"/>
    <w:rsid w:val="00664525"/>
    <w:rsid w:val="00665829"/>
    <w:rsid w:val="00667BDF"/>
    <w:rsid w:val="00680193"/>
    <w:rsid w:val="00690B81"/>
    <w:rsid w:val="0069703F"/>
    <w:rsid w:val="006B214A"/>
    <w:rsid w:val="006C5368"/>
    <w:rsid w:val="006C58F2"/>
    <w:rsid w:val="006C6E88"/>
    <w:rsid w:val="006D0474"/>
    <w:rsid w:val="006D142F"/>
    <w:rsid w:val="006D4AC5"/>
    <w:rsid w:val="006D595A"/>
    <w:rsid w:val="006D6454"/>
    <w:rsid w:val="006E3230"/>
    <w:rsid w:val="006E7713"/>
    <w:rsid w:val="006F0B94"/>
    <w:rsid w:val="00701D33"/>
    <w:rsid w:val="00702737"/>
    <w:rsid w:val="00706B15"/>
    <w:rsid w:val="00711171"/>
    <w:rsid w:val="00723455"/>
    <w:rsid w:val="007265D3"/>
    <w:rsid w:val="00741C03"/>
    <w:rsid w:val="00745C2A"/>
    <w:rsid w:val="00753E6B"/>
    <w:rsid w:val="00776A7C"/>
    <w:rsid w:val="00777999"/>
    <w:rsid w:val="00780A29"/>
    <w:rsid w:val="00781ED7"/>
    <w:rsid w:val="00782328"/>
    <w:rsid w:val="0078370F"/>
    <w:rsid w:val="007900DA"/>
    <w:rsid w:val="00792B44"/>
    <w:rsid w:val="0079404A"/>
    <w:rsid w:val="0079588D"/>
    <w:rsid w:val="007A1BDB"/>
    <w:rsid w:val="007A2AB8"/>
    <w:rsid w:val="007A3BEE"/>
    <w:rsid w:val="007C30BC"/>
    <w:rsid w:val="007C3EC3"/>
    <w:rsid w:val="007E39E1"/>
    <w:rsid w:val="007E5D6F"/>
    <w:rsid w:val="007E6576"/>
    <w:rsid w:val="007F25EA"/>
    <w:rsid w:val="007F32DA"/>
    <w:rsid w:val="007F34EE"/>
    <w:rsid w:val="007F3E8B"/>
    <w:rsid w:val="0081131D"/>
    <w:rsid w:val="00824D40"/>
    <w:rsid w:val="00824E1F"/>
    <w:rsid w:val="00827DE4"/>
    <w:rsid w:val="00827FC5"/>
    <w:rsid w:val="0083180C"/>
    <w:rsid w:val="0083276C"/>
    <w:rsid w:val="00852799"/>
    <w:rsid w:val="008730AD"/>
    <w:rsid w:val="0088598F"/>
    <w:rsid w:val="00887016"/>
    <w:rsid w:val="0089353B"/>
    <w:rsid w:val="008A08C0"/>
    <w:rsid w:val="008A3C6F"/>
    <w:rsid w:val="008A4036"/>
    <w:rsid w:val="008A52A5"/>
    <w:rsid w:val="008A603A"/>
    <w:rsid w:val="008B417A"/>
    <w:rsid w:val="008B697C"/>
    <w:rsid w:val="008B7AD5"/>
    <w:rsid w:val="008C361E"/>
    <w:rsid w:val="008E3EA8"/>
    <w:rsid w:val="008F24FA"/>
    <w:rsid w:val="008F531F"/>
    <w:rsid w:val="008F6D4A"/>
    <w:rsid w:val="008F6FC9"/>
    <w:rsid w:val="00900663"/>
    <w:rsid w:val="00901244"/>
    <w:rsid w:val="00910797"/>
    <w:rsid w:val="00911D26"/>
    <w:rsid w:val="0091401F"/>
    <w:rsid w:val="009147B3"/>
    <w:rsid w:val="00921F98"/>
    <w:rsid w:val="00934249"/>
    <w:rsid w:val="009345FC"/>
    <w:rsid w:val="00937F3D"/>
    <w:rsid w:val="00940179"/>
    <w:rsid w:val="009428DE"/>
    <w:rsid w:val="00942A00"/>
    <w:rsid w:val="00946800"/>
    <w:rsid w:val="00947A65"/>
    <w:rsid w:val="009563F4"/>
    <w:rsid w:val="00956B0C"/>
    <w:rsid w:val="00956C4D"/>
    <w:rsid w:val="0096092F"/>
    <w:rsid w:val="009828D3"/>
    <w:rsid w:val="00992CB9"/>
    <w:rsid w:val="009A1F5A"/>
    <w:rsid w:val="009A3663"/>
    <w:rsid w:val="009B1D49"/>
    <w:rsid w:val="009B5CC0"/>
    <w:rsid w:val="009C6EFC"/>
    <w:rsid w:val="009D3AD0"/>
    <w:rsid w:val="00A002B2"/>
    <w:rsid w:val="00A034ED"/>
    <w:rsid w:val="00A10913"/>
    <w:rsid w:val="00A20FFB"/>
    <w:rsid w:val="00A3249C"/>
    <w:rsid w:val="00A352A1"/>
    <w:rsid w:val="00A3756A"/>
    <w:rsid w:val="00A41934"/>
    <w:rsid w:val="00A445D7"/>
    <w:rsid w:val="00A45DFC"/>
    <w:rsid w:val="00A5407D"/>
    <w:rsid w:val="00A54EBE"/>
    <w:rsid w:val="00A6170F"/>
    <w:rsid w:val="00A638C5"/>
    <w:rsid w:val="00A63CD7"/>
    <w:rsid w:val="00A70251"/>
    <w:rsid w:val="00A80343"/>
    <w:rsid w:val="00A95947"/>
    <w:rsid w:val="00AA0386"/>
    <w:rsid w:val="00AB389E"/>
    <w:rsid w:val="00AB4259"/>
    <w:rsid w:val="00AB47E4"/>
    <w:rsid w:val="00AC1F93"/>
    <w:rsid w:val="00AC5480"/>
    <w:rsid w:val="00AD76B0"/>
    <w:rsid w:val="00AE5062"/>
    <w:rsid w:val="00AF1B93"/>
    <w:rsid w:val="00B02068"/>
    <w:rsid w:val="00B0360C"/>
    <w:rsid w:val="00B13B72"/>
    <w:rsid w:val="00B23AE3"/>
    <w:rsid w:val="00B26A6E"/>
    <w:rsid w:val="00B30BC3"/>
    <w:rsid w:val="00B44CBC"/>
    <w:rsid w:val="00B5534A"/>
    <w:rsid w:val="00B61207"/>
    <w:rsid w:val="00B70D65"/>
    <w:rsid w:val="00B7570E"/>
    <w:rsid w:val="00B768A9"/>
    <w:rsid w:val="00B800D9"/>
    <w:rsid w:val="00B82724"/>
    <w:rsid w:val="00B83D39"/>
    <w:rsid w:val="00B86FEB"/>
    <w:rsid w:val="00B96017"/>
    <w:rsid w:val="00BA1468"/>
    <w:rsid w:val="00BB027B"/>
    <w:rsid w:val="00BC1527"/>
    <w:rsid w:val="00BC4D75"/>
    <w:rsid w:val="00BE59E1"/>
    <w:rsid w:val="00BE5DD6"/>
    <w:rsid w:val="00BE7483"/>
    <w:rsid w:val="00C02248"/>
    <w:rsid w:val="00C040CC"/>
    <w:rsid w:val="00C15C3C"/>
    <w:rsid w:val="00C43B3D"/>
    <w:rsid w:val="00C548FC"/>
    <w:rsid w:val="00C5591D"/>
    <w:rsid w:val="00C60227"/>
    <w:rsid w:val="00C61966"/>
    <w:rsid w:val="00C701F9"/>
    <w:rsid w:val="00C73233"/>
    <w:rsid w:val="00C87461"/>
    <w:rsid w:val="00C94612"/>
    <w:rsid w:val="00CA51E8"/>
    <w:rsid w:val="00CB0023"/>
    <w:rsid w:val="00CB6D47"/>
    <w:rsid w:val="00CB7D9A"/>
    <w:rsid w:val="00CC1ADF"/>
    <w:rsid w:val="00CD0B4A"/>
    <w:rsid w:val="00CD36E4"/>
    <w:rsid w:val="00CD758F"/>
    <w:rsid w:val="00CE58B2"/>
    <w:rsid w:val="00CE689C"/>
    <w:rsid w:val="00CE69C2"/>
    <w:rsid w:val="00CE6EEE"/>
    <w:rsid w:val="00CE79D7"/>
    <w:rsid w:val="00CE7DDC"/>
    <w:rsid w:val="00CF4466"/>
    <w:rsid w:val="00D00B4B"/>
    <w:rsid w:val="00D048CA"/>
    <w:rsid w:val="00D07211"/>
    <w:rsid w:val="00D10823"/>
    <w:rsid w:val="00D150E0"/>
    <w:rsid w:val="00D16736"/>
    <w:rsid w:val="00D20F53"/>
    <w:rsid w:val="00D20FDD"/>
    <w:rsid w:val="00D50641"/>
    <w:rsid w:val="00D51863"/>
    <w:rsid w:val="00D5586E"/>
    <w:rsid w:val="00D578A6"/>
    <w:rsid w:val="00D63612"/>
    <w:rsid w:val="00D66B61"/>
    <w:rsid w:val="00D700C3"/>
    <w:rsid w:val="00D7204D"/>
    <w:rsid w:val="00D7320C"/>
    <w:rsid w:val="00D81B3E"/>
    <w:rsid w:val="00D84674"/>
    <w:rsid w:val="00D94F22"/>
    <w:rsid w:val="00DB0A0D"/>
    <w:rsid w:val="00DB49B4"/>
    <w:rsid w:val="00DC0E3B"/>
    <w:rsid w:val="00DC61D6"/>
    <w:rsid w:val="00DD149D"/>
    <w:rsid w:val="00DE4B2D"/>
    <w:rsid w:val="00DE5F42"/>
    <w:rsid w:val="00DF2B1A"/>
    <w:rsid w:val="00DF4C7F"/>
    <w:rsid w:val="00DF6045"/>
    <w:rsid w:val="00DF6A1F"/>
    <w:rsid w:val="00E031E1"/>
    <w:rsid w:val="00E1216B"/>
    <w:rsid w:val="00E206E0"/>
    <w:rsid w:val="00E21FF3"/>
    <w:rsid w:val="00E33928"/>
    <w:rsid w:val="00E45ED2"/>
    <w:rsid w:val="00E46AA8"/>
    <w:rsid w:val="00E5704B"/>
    <w:rsid w:val="00E74102"/>
    <w:rsid w:val="00E8014F"/>
    <w:rsid w:val="00E82762"/>
    <w:rsid w:val="00E96D45"/>
    <w:rsid w:val="00EB5C22"/>
    <w:rsid w:val="00EC1812"/>
    <w:rsid w:val="00EC23B2"/>
    <w:rsid w:val="00EC2874"/>
    <w:rsid w:val="00ED01F3"/>
    <w:rsid w:val="00ED4D96"/>
    <w:rsid w:val="00ED7556"/>
    <w:rsid w:val="00EE0017"/>
    <w:rsid w:val="00EE2FBA"/>
    <w:rsid w:val="00EF287B"/>
    <w:rsid w:val="00EF5835"/>
    <w:rsid w:val="00F03012"/>
    <w:rsid w:val="00F03C6D"/>
    <w:rsid w:val="00F054A7"/>
    <w:rsid w:val="00F05A9C"/>
    <w:rsid w:val="00F05E46"/>
    <w:rsid w:val="00F16121"/>
    <w:rsid w:val="00F210A1"/>
    <w:rsid w:val="00F24210"/>
    <w:rsid w:val="00F41860"/>
    <w:rsid w:val="00F424C5"/>
    <w:rsid w:val="00F44873"/>
    <w:rsid w:val="00F47184"/>
    <w:rsid w:val="00F56A5E"/>
    <w:rsid w:val="00F65538"/>
    <w:rsid w:val="00F67733"/>
    <w:rsid w:val="00F82795"/>
    <w:rsid w:val="00F91124"/>
    <w:rsid w:val="00F9503E"/>
    <w:rsid w:val="00F97936"/>
    <w:rsid w:val="00F97E43"/>
    <w:rsid w:val="00FA067A"/>
    <w:rsid w:val="00FA2EA1"/>
    <w:rsid w:val="00FB0D76"/>
    <w:rsid w:val="00FB2022"/>
    <w:rsid w:val="00FB4107"/>
    <w:rsid w:val="00FB5A89"/>
    <w:rsid w:val="00FC05F2"/>
    <w:rsid w:val="00FC138F"/>
    <w:rsid w:val="00FD385D"/>
    <w:rsid w:val="00FD4807"/>
    <w:rsid w:val="00FE0BCF"/>
    <w:rsid w:val="00FE374E"/>
    <w:rsid w:val="00FF1BFF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uiPriority w:val="99"/>
    <w:semiHidden/>
    <w:rsid w:val="00D00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character" w:styleId="UnresolvedMention">
    <w:name w:val="Unresolved Mention"/>
    <w:uiPriority w:val="99"/>
    <w:semiHidden/>
    <w:unhideWhenUsed/>
    <w:rsid w:val="00B036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7461"/>
    <w:rPr>
      <w:rFonts w:ascii="Arial" w:hAnsi="Arial"/>
      <w:szCs w:val="24"/>
    </w:rPr>
  </w:style>
  <w:style w:type="paragraph" w:styleId="Header">
    <w:name w:val="header"/>
    <w:basedOn w:val="Normal"/>
    <w:link w:val="HeaderChar"/>
    <w:rsid w:val="003667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667DD"/>
    <w:rPr>
      <w:rFonts w:ascii="Arial" w:hAnsi="Arial"/>
      <w:szCs w:val="24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9B5CC0"/>
    <w:rPr>
      <w:rFonts w:ascii="Arial" w:hAnsi="Arial"/>
      <w:lang w:val="en-US" w:eastAsia="en-US"/>
    </w:rPr>
  </w:style>
  <w:style w:type="table" w:styleId="TableGrid">
    <w:name w:val="Table Grid"/>
    <w:basedOn w:val="TableNormal"/>
    <w:uiPriority w:val="39"/>
    <w:rsid w:val="00280C0E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5F0D23"/>
    <w:rPr>
      <w:rFonts w:ascii="Calibri" w:eastAsia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256A0-8C31-4FB7-A641-FE655ACC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Manuscript template</vt:lpstr>
    </vt:vector>
  </TitlesOfParts>
  <Company>Dove Medical Press</Company>
  <LinksUpToDate>false</LinksUpToDate>
  <CharactersWithSpaces>2889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Sulekha Shafeeq</cp:lastModifiedBy>
  <cp:revision>6</cp:revision>
  <cp:lastPrinted>2009-01-07T21:57:00Z</cp:lastPrinted>
  <dcterms:created xsi:type="dcterms:W3CDTF">2022-03-18T04:38:00Z</dcterms:created>
  <dcterms:modified xsi:type="dcterms:W3CDTF">2022-03-31T02:55:00Z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http://www.zotero.org/styles/american-medical-association</vt:lpwstr>
  </property>
  <property fmtid="{D5CDD505-2E9C-101B-9397-08002B2CF9AE}" pid="4" name="Mendeley Unique User Id_1">
    <vt:lpwstr>d6d7d921-e77a-3a6c-95e7-6b9b4d97490f</vt:lpwstr>
  </property>
  <property fmtid="{D5CDD505-2E9C-101B-9397-08002B2CF9AE}" pid="5" name="Mendeley Recent Style Id 0_1">
    <vt:lpwstr>http://www.zotero.org/styles/american-medical-association-10th-edition</vt:lpwstr>
  </property>
  <property fmtid="{D5CDD505-2E9C-101B-9397-08002B2CF9AE}" pid="6" name="Mendeley Recent Style Name 0_1">
    <vt:lpwstr>American Medical Association 10th edition</vt:lpwstr>
  </property>
  <property fmtid="{D5CDD505-2E9C-101B-9397-08002B2CF9AE}" pid="7" name="Mendeley Recent Style Id 1_1">
    <vt:lpwstr>http://www.zotero.org/styles/american-medical-association</vt:lpwstr>
  </property>
  <property fmtid="{D5CDD505-2E9C-101B-9397-08002B2CF9AE}" pid="8" name="Mendeley Recent Style Name 1_1">
    <vt:lpwstr>American Medical Association 11th edition</vt:lpwstr>
  </property>
  <property fmtid="{D5CDD505-2E9C-101B-9397-08002B2CF9AE}" pid="9" name="Mendeley Recent Style Id 2_1">
    <vt:lpwstr>http://www.zotero.org/styles/american-political-science-association</vt:lpwstr>
  </property>
  <property fmtid="{D5CDD505-2E9C-101B-9397-08002B2CF9AE}" pid="10" name="Mendeley Recent Style Name 2_1">
    <vt:lpwstr>American Political Science Association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http://csl.mendeley.com/styles/612089821/bmj</vt:lpwstr>
  </property>
  <property fmtid="{D5CDD505-2E9C-101B-9397-08002B2CF9AE}" pid="14" name="Mendeley Recent Style Name 4_1">
    <vt:lpwstr>BMJ - Shalini Vasantha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17th edition (author-date)</vt:lpwstr>
  </property>
  <property fmtid="{D5CDD505-2E9C-101B-9397-08002B2CF9AE}" pid="17" name="Mendeley Recent Style Id 6_1">
    <vt:lpwstr>http://www.zotero.org/styles/harvard-cite-them-right</vt:lpwstr>
  </property>
  <property fmtid="{D5CDD505-2E9C-101B-9397-08002B2CF9AE}" pid="18" name="Mendeley Recent Style Name 6_1">
    <vt:lpwstr>Cite Them Right 10th edition - Harvard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