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903389" w14:textId="77777777" w:rsidR="00FA4970" w:rsidRPr="00CC5286" w:rsidRDefault="00FA4970" w:rsidP="009039BF">
      <w:pPr>
        <w:rPr>
          <w:rFonts w:ascii="Times New Roman" w:hAnsi="Times New Roman" w:cs="Times New Roman"/>
          <w:sz w:val="24"/>
          <w:szCs w:val="24"/>
        </w:rPr>
      </w:pPr>
    </w:p>
    <w:p w14:paraId="78E236A0" w14:textId="77777777" w:rsidR="00810CF1" w:rsidRPr="00CC5286" w:rsidRDefault="00810CF1" w:rsidP="00810CF1">
      <w:pPr>
        <w:spacing w:after="240"/>
        <w:rPr>
          <w:rFonts w:ascii="Times New Roman" w:hAnsi="Times New Roman" w:cs="Times New Roman"/>
          <w:sz w:val="24"/>
          <w:szCs w:val="24"/>
        </w:rPr>
      </w:pPr>
    </w:p>
    <w:p w14:paraId="24953D22" w14:textId="7BDE5715" w:rsidR="00940F6B" w:rsidRPr="00CC5286" w:rsidRDefault="000A41E9" w:rsidP="00940F6B">
      <w:pPr>
        <w:jc w:val="center"/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BBFB957" wp14:editId="21E67750">
            <wp:extent cx="4435200" cy="6314400"/>
            <wp:effectExtent l="0" t="0" r="381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35200" cy="63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89DE" w14:textId="77777777" w:rsidR="008F73BA" w:rsidRPr="00CC5286" w:rsidRDefault="008F73BA" w:rsidP="00F156D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D7B408" w14:textId="29F8433B" w:rsidR="008F73BA" w:rsidRPr="00CC5286" w:rsidRDefault="00900567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sz w:val="24"/>
          <w:szCs w:val="24"/>
        </w:rPr>
        <w:t>Supplementary</w:t>
      </w:r>
      <w:r w:rsidR="00B26AA9" w:rsidRPr="00CC5286">
        <w:rPr>
          <w:rFonts w:ascii="Times New Roman" w:hAnsi="Times New Roman" w:cs="Times New Roman"/>
          <w:sz w:val="24"/>
          <w:szCs w:val="24"/>
        </w:rPr>
        <w:t xml:space="preserve"> Figure 1:</w:t>
      </w:r>
      <w:r w:rsidR="00127E3D" w:rsidRPr="00CC5286">
        <w:rPr>
          <w:rFonts w:ascii="Times New Roman" w:hAnsi="Times New Roman" w:cs="Times New Roman"/>
          <w:sz w:val="24"/>
          <w:szCs w:val="24"/>
        </w:rPr>
        <w:t xml:space="preserve"> </w:t>
      </w:r>
      <w:r w:rsidR="008F73BA" w:rsidRPr="00CC5286">
        <w:rPr>
          <w:rFonts w:ascii="Times New Roman" w:hAnsi="Times New Roman" w:cs="Times New Roman"/>
          <w:sz w:val="24"/>
          <w:szCs w:val="24"/>
        </w:rPr>
        <w:t>Standard deviation histogram</w:t>
      </w:r>
    </w:p>
    <w:p w14:paraId="360FB853" w14:textId="141F2B5C" w:rsidR="008F73BA" w:rsidRPr="00CC5286" w:rsidRDefault="008F73BA" w:rsidP="00F156D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CF2EC8" w14:textId="494277A3" w:rsidR="008F73BA" w:rsidRPr="00CC5286" w:rsidRDefault="008F73BA" w:rsidP="00F156D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F47EE9" w14:textId="5FB56A30" w:rsidR="008F73BA" w:rsidRPr="00CC5286" w:rsidRDefault="008F73BA" w:rsidP="00F156D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B7A075" w14:textId="20463834" w:rsidR="008F73BA" w:rsidRPr="00CC5286" w:rsidRDefault="006A1236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0E6E43A" wp14:editId="5BA34BC2">
            <wp:extent cx="4773600" cy="6804000"/>
            <wp:effectExtent l="0" t="0" r="8255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73600" cy="68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BB53C" w14:textId="625211BE" w:rsidR="008F73BA" w:rsidRPr="00CC5286" w:rsidRDefault="00900567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sz w:val="24"/>
          <w:szCs w:val="24"/>
        </w:rPr>
        <w:t>Supplementary</w:t>
      </w:r>
      <w:r w:rsidR="00EA078A" w:rsidRPr="00CC5286">
        <w:rPr>
          <w:rFonts w:ascii="Times New Roman" w:hAnsi="Times New Roman" w:cs="Times New Roman"/>
          <w:sz w:val="24"/>
          <w:szCs w:val="24"/>
        </w:rPr>
        <w:t xml:space="preserve"> Figure </w:t>
      </w:r>
      <w:r w:rsidR="00B26AA9" w:rsidRPr="00CC5286">
        <w:rPr>
          <w:rFonts w:ascii="Times New Roman" w:hAnsi="Times New Roman" w:cs="Times New Roman"/>
          <w:sz w:val="24"/>
          <w:szCs w:val="24"/>
        </w:rPr>
        <w:t>2</w:t>
      </w:r>
      <w:r w:rsidR="00EA078A" w:rsidRPr="00CC5286">
        <w:rPr>
          <w:rFonts w:ascii="Times New Roman" w:hAnsi="Times New Roman" w:cs="Times New Roman"/>
          <w:sz w:val="24"/>
          <w:szCs w:val="24"/>
        </w:rPr>
        <w:t xml:space="preserve">: </w:t>
      </w:r>
      <w:r w:rsidR="008F73BA" w:rsidRPr="00CC5286">
        <w:rPr>
          <w:rFonts w:ascii="Times New Roman" w:hAnsi="Times New Roman" w:cs="Times New Roman"/>
          <w:sz w:val="24"/>
          <w:szCs w:val="24"/>
        </w:rPr>
        <w:t>Univariate SD scatter plot</w:t>
      </w:r>
    </w:p>
    <w:p w14:paraId="2545FCFE" w14:textId="09075719" w:rsidR="008F73BA" w:rsidRPr="00CC5286" w:rsidRDefault="008F73BA" w:rsidP="00F156D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9A4FDBF" w14:textId="49A773E9" w:rsidR="008F73BA" w:rsidRPr="00CC5286" w:rsidRDefault="008F73BA" w:rsidP="00F156DB">
      <w:pPr>
        <w:spacing w:line="48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167E4C" w14:textId="69D1A6AB" w:rsidR="008F73BA" w:rsidRPr="00CC5286" w:rsidRDefault="00FE40B9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F3D719" wp14:editId="13219C5E">
            <wp:extent cx="5278120" cy="476821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A72C4" w14:textId="14058B33" w:rsidR="007B545E" w:rsidRPr="00CC5286" w:rsidRDefault="00900567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sz w:val="24"/>
          <w:szCs w:val="24"/>
        </w:rPr>
        <w:t>Supplementary</w:t>
      </w:r>
      <w:r w:rsidR="00F87A6D" w:rsidRPr="00CC5286">
        <w:rPr>
          <w:rFonts w:ascii="Times New Roman" w:hAnsi="Times New Roman" w:cs="Times New Roman"/>
          <w:sz w:val="24"/>
          <w:szCs w:val="24"/>
        </w:rPr>
        <w:t xml:space="preserve"> Figure 3: </w:t>
      </w:r>
      <w:r w:rsidR="008F73BA" w:rsidRPr="00CC5286">
        <w:rPr>
          <w:rFonts w:ascii="Times New Roman" w:hAnsi="Times New Roman" w:cs="Times New Roman"/>
          <w:sz w:val="24"/>
          <w:szCs w:val="24"/>
        </w:rPr>
        <w:t>Standardized difference change line</w:t>
      </w:r>
    </w:p>
    <w:p w14:paraId="1A4343BD" w14:textId="218A5FE9" w:rsidR="00201334" w:rsidRPr="00CC5286" w:rsidRDefault="00201334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8E349A" w14:textId="77777777" w:rsidR="00201334" w:rsidRPr="00CC5286" w:rsidRDefault="00201334" w:rsidP="008F73BA">
      <w:pPr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C39BF4B" w14:textId="137D5C32" w:rsidR="0077795B" w:rsidRPr="0077795B" w:rsidRDefault="008C2338" w:rsidP="0077795B">
      <w:pPr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sz w:val="24"/>
          <w:szCs w:val="24"/>
        </w:rPr>
        <w:br w:type="page"/>
      </w:r>
    </w:p>
    <w:p w14:paraId="229E4697" w14:textId="4B469F96" w:rsidR="0077795B" w:rsidRPr="00F462C3" w:rsidRDefault="0077795B" w:rsidP="00C1547A">
      <w:pPr>
        <w:jc w:val="both"/>
        <w:rPr>
          <w:rFonts w:ascii="Times New Roman" w:hAnsi="Times New Roman" w:cs="Times New Roman"/>
          <w:sz w:val="24"/>
          <w:szCs w:val="24"/>
        </w:rPr>
      </w:pPr>
      <w:r w:rsidRPr="00F462C3">
        <w:rPr>
          <w:rFonts w:ascii="Times New Roman" w:hAnsi="Times New Roman" w:cs="Times New Roman"/>
          <w:sz w:val="24"/>
          <w:szCs w:val="24"/>
        </w:rPr>
        <w:lastRenderedPageBreak/>
        <w:t>Supplementary Table 1. Risk factors for BARC 2,3,5 bleeding in elderly patients receiving dual antiplatelet therapy after percutaneous coronary intervention.</w:t>
      </w:r>
    </w:p>
    <w:p w14:paraId="6F652AE3" w14:textId="77777777" w:rsidR="0077795B" w:rsidRPr="0077795B" w:rsidRDefault="0077795B" w:rsidP="0077795B"/>
    <w:tbl>
      <w:tblPr>
        <w:tblStyle w:val="2"/>
        <w:tblW w:w="8301" w:type="dxa"/>
        <w:tblLook w:val="04A0" w:firstRow="1" w:lastRow="0" w:firstColumn="1" w:lastColumn="0" w:noHBand="0" w:noVBand="1"/>
      </w:tblPr>
      <w:tblGrid>
        <w:gridCol w:w="3070"/>
        <w:gridCol w:w="3428"/>
        <w:gridCol w:w="1803"/>
      </w:tblGrid>
      <w:tr w:rsidR="008C2338" w:rsidRPr="00CC5286" w14:paraId="41EB168C" w14:textId="77777777" w:rsidTr="00E30DEC">
        <w:trPr>
          <w:trHeight w:val="482"/>
        </w:trPr>
        <w:tc>
          <w:tcPr>
            <w:tcW w:w="3070" w:type="dxa"/>
            <w:tcBorders>
              <w:bottom w:val="single" w:sz="4" w:space="0" w:color="auto"/>
            </w:tcBorders>
            <w:vAlign w:val="center"/>
            <w:hideMark/>
          </w:tcPr>
          <w:p w14:paraId="77F7EA2B" w14:textId="77777777" w:rsidR="008C2338" w:rsidRPr="0077795B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Variables</w:t>
            </w:r>
          </w:p>
        </w:tc>
        <w:tc>
          <w:tcPr>
            <w:tcW w:w="3428" w:type="dxa"/>
            <w:tcBorders>
              <w:bottom w:val="single" w:sz="4" w:space="0" w:color="auto"/>
            </w:tcBorders>
            <w:vAlign w:val="center"/>
            <w:hideMark/>
          </w:tcPr>
          <w:p w14:paraId="7CDF6CED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HR (95%CI)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  <w:hideMark/>
          </w:tcPr>
          <w:p w14:paraId="2262C34D" w14:textId="64E9AB64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  <w:i/>
                <w:iCs/>
              </w:rPr>
              <w:t>P</w:t>
            </w:r>
            <w:r w:rsidRPr="0077795B">
              <w:rPr>
                <w:rFonts w:eastAsia="Times New Roman"/>
                <w:bCs w:val="0"/>
              </w:rPr>
              <w:t xml:space="preserve"> value</w:t>
            </w:r>
          </w:p>
        </w:tc>
      </w:tr>
      <w:tr w:rsidR="008C2338" w:rsidRPr="00CC5286" w14:paraId="4FF4B3C9" w14:textId="77777777" w:rsidTr="00E30DEC">
        <w:trPr>
          <w:trHeight w:val="482"/>
        </w:trPr>
        <w:tc>
          <w:tcPr>
            <w:tcW w:w="3070" w:type="dxa"/>
            <w:tcBorders>
              <w:bottom w:val="nil"/>
            </w:tcBorders>
            <w:vAlign w:val="center"/>
            <w:hideMark/>
          </w:tcPr>
          <w:p w14:paraId="72CCCDD3" w14:textId="77777777" w:rsidR="008C2338" w:rsidRPr="0077795B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Ticagrelor use</w:t>
            </w:r>
          </w:p>
        </w:tc>
        <w:tc>
          <w:tcPr>
            <w:tcW w:w="3428" w:type="dxa"/>
            <w:tcBorders>
              <w:bottom w:val="nil"/>
            </w:tcBorders>
            <w:vAlign w:val="center"/>
            <w:hideMark/>
          </w:tcPr>
          <w:p w14:paraId="3601171B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2.325(1.565-3.456)</w:t>
            </w:r>
          </w:p>
        </w:tc>
        <w:tc>
          <w:tcPr>
            <w:tcW w:w="1803" w:type="dxa"/>
            <w:tcBorders>
              <w:bottom w:val="nil"/>
            </w:tcBorders>
            <w:vAlign w:val="center"/>
            <w:hideMark/>
          </w:tcPr>
          <w:p w14:paraId="62E03F99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&lt;0.001</w:t>
            </w:r>
          </w:p>
        </w:tc>
      </w:tr>
      <w:tr w:rsidR="008C2338" w:rsidRPr="00CC5286" w14:paraId="37B3CDBD" w14:textId="77777777" w:rsidTr="00E30DEC">
        <w:trPr>
          <w:trHeight w:val="482"/>
        </w:trPr>
        <w:tc>
          <w:tcPr>
            <w:tcW w:w="3070" w:type="dxa"/>
            <w:tcBorders>
              <w:top w:val="nil"/>
              <w:bottom w:val="nil"/>
            </w:tcBorders>
            <w:vAlign w:val="center"/>
            <w:hideMark/>
          </w:tcPr>
          <w:p w14:paraId="79A212BD" w14:textId="77777777" w:rsidR="008C2338" w:rsidRPr="0077795B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Prior bleeding</w:t>
            </w:r>
          </w:p>
        </w:tc>
        <w:tc>
          <w:tcPr>
            <w:tcW w:w="3428" w:type="dxa"/>
            <w:tcBorders>
              <w:top w:val="nil"/>
              <w:bottom w:val="nil"/>
            </w:tcBorders>
            <w:vAlign w:val="center"/>
            <w:hideMark/>
          </w:tcPr>
          <w:p w14:paraId="59B5CC01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2.393(1.106-5.176)</w:t>
            </w:r>
          </w:p>
        </w:tc>
        <w:tc>
          <w:tcPr>
            <w:tcW w:w="1803" w:type="dxa"/>
            <w:tcBorders>
              <w:top w:val="nil"/>
              <w:bottom w:val="nil"/>
            </w:tcBorders>
            <w:vAlign w:val="center"/>
            <w:hideMark/>
          </w:tcPr>
          <w:p w14:paraId="2E601935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0.027</w:t>
            </w:r>
          </w:p>
        </w:tc>
      </w:tr>
      <w:tr w:rsidR="008C2338" w:rsidRPr="00CC5286" w14:paraId="7069CCF6" w14:textId="77777777" w:rsidTr="00E30DEC">
        <w:trPr>
          <w:trHeight w:val="482"/>
        </w:trPr>
        <w:tc>
          <w:tcPr>
            <w:tcW w:w="3070" w:type="dxa"/>
            <w:tcBorders>
              <w:top w:val="nil"/>
            </w:tcBorders>
            <w:vAlign w:val="center"/>
            <w:hideMark/>
          </w:tcPr>
          <w:p w14:paraId="07E88A14" w14:textId="77777777" w:rsidR="008C2338" w:rsidRPr="0077795B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SimHei"/>
                <w:bCs w:val="0"/>
              </w:rPr>
              <w:t>Malignant tumor</w:t>
            </w:r>
          </w:p>
        </w:tc>
        <w:tc>
          <w:tcPr>
            <w:tcW w:w="3428" w:type="dxa"/>
            <w:tcBorders>
              <w:top w:val="nil"/>
            </w:tcBorders>
            <w:vAlign w:val="center"/>
            <w:hideMark/>
          </w:tcPr>
          <w:p w14:paraId="7F05E080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2.023(1.149-3.561)</w:t>
            </w:r>
          </w:p>
        </w:tc>
        <w:tc>
          <w:tcPr>
            <w:tcW w:w="1803" w:type="dxa"/>
            <w:tcBorders>
              <w:top w:val="nil"/>
            </w:tcBorders>
            <w:vAlign w:val="center"/>
            <w:hideMark/>
          </w:tcPr>
          <w:p w14:paraId="1F829A65" w14:textId="77777777" w:rsidR="008C2338" w:rsidRPr="0077795B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77795B">
              <w:rPr>
                <w:rFonts w:eastAsia="Times New Roman"/>
                <w:bCs w:val="0"/>
              </w:rPr>
              <w:t>0.015</w:t>
            </w:r>
          </w:p>
        </w:tc>
      </w:tr>
    </w:tbl>
    <w:p w14:paraId="7D1D497C" w14:textId="6E36BD46" w:rsidR="008C2338" w:rsidRPr="00CC5286" w:rsidRDefault="00E74C59" w:rsidP="00C1547A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 w:hint="eastAsia"/>
          <w:sz w:val="24"/>
          <w:szCs w:val="24"/>
        </w:rPr>
        <w:t>bbreviations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3839E0" w:rsidRPr="003839E0">
        <w:rPr>
          <w:rFonts w:ascii="Times New Roman" w:hAnsi="Times New Roman" w:cs="Times New Roman"/>
          <w:sz w:val="24"/>
          <w:szCs w:val="24"/>
        </w:rPr>
        <w:t>BARC, Bleeding Academic Research Consortium;</w:t>
      </w:r>
      <w:r w:rsidR="003839E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CI, </w:t>
      </w:r>
      <w:r w:rsidRPr="00E74C59">
        <w:rPr>
          <w:rFonts w:ascii="Times New Roman" w:hAnsi="Times New Roman" w:cs="Times New Roman"/>
          <w:sz w:val="24"/>
          <w:szCs w:val="24"/>
        </w:rPr>
        <w:t>confidence interval</w:t>
      </w:r>
      <w:r w:rsidR="003839E0">
        <w:rPr>
          <w:rFonts w:ascii="Times New Roman" w:hAnsi="Times New Roman" w:cs="Times New Roman"/>
          <w:sz w:val="24"/>
          <w:szCs w:val="24"/>
        </w:rPr>
        <w:t>; HR, h</w:t>
      </w:r>
      <w:r w:rsidR="003839E0" w:rsidRPr="00E74C59">
        <w:rPr>
          <w:rFonts w:ascii="Times New Roman" w:hAnsi="Times New Roman" w:cs="Times New Roman"/>
          <w:sz w:val="24"/>
          <w:szCs w:val="24"/>
        </w:rPr>
        <w:t>azard ratio</w:t>
      </w:r>
      <w:r w:rsidR="003839E0">
        <w:rPr>
          <w:rFonts w:ascii="Times New Roman" w:hAnsi="Times New Roman" w:cs="Times New Roman"/>
          <w:sz w:val="24"/>
          <w:szCs w:val="24"/>
        </w:rPr>
        <w:t>.</w:t>
      </w:r>
    </w:p>
    <w:p w14:paraId="1DDCB25A" w14:textId="77777777" w:rsidR="008C2338" w:rsidRPr="00CC5286" w:rsidRDefault="008C2338">
      <w:pPr>
        <w:rPr>
          <w:rFonts w:ascii="Times New Roman" w:hAnsi="Times New Roman" w:cs="Times New Roman"/>
          <w:sz w:val="24"/>
          <w:szCs w:val="24"/>
        </w:rPr>
      </w:pPr>
      <w:r w:rsidRPr="00CC5286">
        <w:rPr>
          <w:rFonts w:ascii="Times New Roman" w:hAnsi="Times New Roman" w:cs="Times New Roman"/>
          <w:sz w:val="24"/>
          <w:szCs w:val="24"/>
        </w:rPr>
        <w:br w:type="page"/>
      </w:r>
    </w:p>
    <w:p w14:paraId="13F843C7" w14:textId="054E081B" w:rsidR="00F462C3" w:rsidRPr="00F462C3" w:rsidRDefault="00F462C3" w:rsidP="00C1547A">
      <w:pPr>
        <w:jc w:val="both"/>
        <w:rPr>
          <w:rFonts w:ascii="Times New Roman" w:hAnsi="Times New Roman" w:cs="Times New Roman"/>
          <w:sz w:val="24"/>
          <w:szCs w:val="24"/>
        </w:rPr>
      </w:pPr>
      <w:r w:rsidRPr="00F462C3">
        <w:rPr>
          <w:rFonts w:ascii="Times New Roman" w:hAnsi="Times New Roman" w:cs="Times New Roman"/>
          <w:sz w:val="24"/>
          <w:szCs w:val="24"/>
        </w:rPr>
        <w:lastRenderedPageBreak/>
        <w:t>Supplementary Table 2. Risk factors for MACCEs in elderly patients undergoing percutaneous coronary intervention</w:t>
      </w:r>
    </w:p>
    <w:p w14:paraId="1D99B3E0" w14:textId="77777777" w:rsidR="00F462C3" w:rsidRDefault="00F462C3"/>
    <w:tbl>
      <w:tblPr>
        <w:tblStyle w:val="3"/>
        <w:tblW w:w="8294" w:type="dxa"/>
        <w:tblLook w:val="04A0" w:firstRow="1" w:lastRow="0" w:firstColumn="1" w:lastColumn="0" w:noHBand="0" w:noVBand="1"/>
      </w:tblPr>
      <w:tblGrid>
        <w:gridCol w:w="3348"/>
        <w:gridCol w:w="3272"/>
        <w:gridCol w:w="1674"/>
      </w:tblGrid>
      <w:tr w:rsidR="008C2338" w:rsidRPr="00F462C3" w14:paraId="0D5BA1AD" w14:textId="77777777" w:rsidTr="00E30DEC">
        <w:trPr>
          <w:trHeight w:val="482"/>
        </w:trPr>
        <w:tc>
          <w:tcPr>
            <w:tcW w:w="3348" w:type="dxa"/>
            <w:tcBorders>
              <w:bottom w:val="single" w:sz="4" w:space="0" w:color="auto"/>
            </w:tcBorders>
            <w:vAlign w:val="center"/>
            <w:hideMark/>
          </w:tcPr>
          <w:p w14:paraId="14BBC62F" w14:textId="77777777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Variables</w:t>
            </w:r>
          </w:p>
        </w:tc>
        <w:tc>
          <w:tcPr>
            <w:tcW w:w="3272" w:type="dxa"/>
            <w:tcBorders>
              <w:bottom w:val="single" w:sz="4" w:space="0" w:color="auto"/>
            </w:tcBorders>
            <w:vAlign w:val="center"/>
            <w:hideMark/>
          </w:tcPr>
          <w:p w14:paraId="02AEC31C" w14:textId="3EA54234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HR</w:t>
            </w:r>
            <w:r w:rsidR="0056333C">
              <w:rPr>
                <w:rFonts w:eastAsia="Times New Roman"/>
                <w:bCs w:val="0"/>
              </w:rPr>
              <w:t xml:space="preserve"> </w:t>
            </w:r>
            <w:r w:rsidRPr="00F462C3">
              <w:rPr>
                <w:rFonts w:eastAsia="Times New Roman"/>
                <w:bCs w:val="0"/>
              </w:rPr>
              <w:t>(95%CI)</w:t>
            </w:r>
          </w:p>
        </w:tc>
        <w:tc>
          <w:tcPr>
            <w:tcW w:w="1674" w:type="dxa"/>
            <w:tcBorders>
              <w:bottom w:val="single" w:sz="4" w:space="0" w:color="auto"/>
            </w:tcBorders>
            <w:vAlign w:val="center"/>
            <w:hideMark/>
          </w:tcPr>
          <w:p w14:paraId="057FA7F9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56333C">
              <w:rPr>
                <w:rFonts w:eastAsia="Times New Roman"/>
                <w:bCs w:val="0"/>
                <w:i/>
                <w:iCs/>
              </w:rPr>
              <w:t>P</w:t>
            </w:r>
            <w:r w:rsidRPr="00F462C3">
              <w:rPr>
                <w:rFonts w:eastAsia="Times New Roman"/>
                <w:bCs w:val="0"/>
              </w:rPr>
              <w:t xml:space="preserve"> value</w:t>
            </w:r>
          </w:p>
        </w:tc>
      </w:tr>
      <w:tr w:rsidR="008C2338" w:rsidRPr="00F462C3" w14:paraId="459ED214" w14:textId="77777777" w:rsidTr="00E30DEC">
        <w:trPr>
          <w:trHeight w:val="482"/>
        </w:trPr>
        <w:tc>
          <w:tcPr>
            <w:tcW w:w="3348" w:type="dxa"/>
            <w:tcBorders>
              <w:bottom w:val="nil"/>
            </w:tcBorders>
            <w:vAlign w:val="center"/>
            <w:hideMark/>
          </w:tcPr>
          <w:p w14:paraId="0F562662" w14:textId="77777777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Ticagrelor use</w:t>
            </w:r>
          </w:p>
        </w:tc>
        <w:tc>
          <w:tcPr>
            <w:tcW w:w="3272" w:type="dxa"/>
            <w:tcBorders>
              <w:bottom w:val="nil"/>
            </w:tcBorders>
            <w:vAlign w:val="center"/>
            <w:hideMark/>
          </w:tcPr>
          <w:p w14:paraId="770B3F33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0.981(0.720-1.337)</w:t>
            </w:r>
          </w:p>
        </w:tc>
        <w:tc>
          <w:tcPr>
            <w:tcW w:w="1674" w:type="dxa"/>
            <w:tcBorders>
              <w:bottom w:val="nil"/>
            </w:tcBorders>
            <w:vAlign w:val="center"/>
            <w:hideMark/>
          </w:tcPr>
          <w:p w14:paraId="05847590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0.904</w:t>
            </w:r>
          </w:p>
        </w:tc>
      </w:tr>
      <w:tr w:rsidR="008C2338" w:rsidRPr="00F462C3" w14:paraId="7DEAB33C" w14:textId="77777777" w:rsidTr="00E30DEC">
        <w:trPr>
          <w:trHeight w:val="482"/>
        </w:trPr>
        <w:tc>
          <w:tcPr>
            <w:tcW w:w="3348" w:type="dxa"/>
            <w:tcBorders>
              <w:top w:val="nil"/>
              <w:bottom w:val="nil"/>
            </w:tcBorders>
            <w:vAlign w:val="center"/>
            <w:hideMark/>
          </w:tcPr>
          <w:p w14:paraId="78EE2F04" w14:textId="77777777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SimHei"/>
                <w:bCs w:val="0"/>
              </w:rPr>
              <w:t>OMI</w:t>
            </w:r>
          </w:p>
        </w:tc>
        <w:tc>
          <w:tcPr>
            <w:tcW w:w="3272" w:type="dxa"/>
            <w:tcBorders>
              <w:top w:val="nil"/>
              <w:bottom w:val="nil"/>
            </w:tcBorders>
            <w:vAlign w:val="center"/>
            <w:hideMark/>
          </w:tcPr>
          <w:p w14:paraId="648E9FEA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1.536(1.026-2.221)</w:t>
            </w:r>
          </w:p>
        </w:tc>
        <w:tc>
          <w:tcPr>
            <w:tcW w:w="1674" w:type="dxa"/>
            <w:tcBorders>
              <w:top w:val="nil"/>
              <w:bottom w:val="nil"/>
            </w:tcBorders>
            <w:vAlign w:val="center"/>
            <w:hideMark/>
          </w:tcPr>
          <w:p w14:paraId="4E99D0C3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0.023</w:t>
            </w:r>
          </w:p>
        </w:tc>
      </w:tr>
      <w:tr w:rsidR="008C2338" w:rsidRPr="00F462C3" w14:paraId="78377730" w14:textId="77777777" w:rsidTr="00E30DEC">
        <w:trPr>
          <w:trHeight w:val="482"/>
        </w:trPr>
        <w:tc>
          <w:tcPr>
            <w:tcW w:w="3348" w:type="dxa"/>
            <w:tcBorders>
              <w:top w:val="nil"/>
              <w:bottom w:val="nil"/>
            </w:tcBorders>
            <w:vAlign w:val="center"/>
            <w:hideMark/>
          </w:tcPr>
          <w:p w14:paraId="2FEB024E" w14:textId="79D21039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Ischemic stroke</w:t>
            </w:r>
          </w:p>
        </w:tc>
        <w:tc>
          <w:tcPr>
            <w:tcW w:w="3272" w:type="dxa"/>
            <w:tcBorders>
              <w:top w:val="nil"/>
              <w:bottom w:val="nil"/>
            </w:tcBorders>
            <w:vAlign w:val="center"/>
            <w:hideMark/>
          </w:tcPr>
          <w:p w14:paraId="65C42767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1.409(1.096-1.811)</w:t>
            </w:r>
          </w:p>
        </w:tc>
        <w:tc>
          <w:tcPr>
            <w:tcW w:w="1674" w:type="dxa"/>
            <w:tcBorders>
              <w:top w:val="nil"/>
              <w:bottom w:val="nil"/>
            </w:tcBorders>
            <w:vAlign w:val="center"/>
            <w:hideMark/>
          </w:tcPr>
          <w:p w14:paraId="312875AF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0.007</w:t>
            </w:r>
          </w:p>
        </w:tc>
      </w:tr>
      <w:tr w:rsidR="008C2338" w:rsidRPr="00F462C3" w14:paraId="3BA31C55" w14:textId="77777777" w:rsidTr="00E30DEC">
        <w:trPr>
          <w:trHeight w:val="482"/>
        </w:trPr>
        <w:tc>
          <w:tcPr>
            <w:tcW w:w="3348" w:type="dxa"/>
            <w:tcBorders>
              <w:top w:val="nil"/>
              <w:bottom w:val="nil"/>
            </w:tcBorders>
            <w:vAlign w:val="center"/>
            <w:hideMark/>
          </w:tcPr>
          <w:p w14:paraId="02E46A9F" w14:textId="77777777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SimHei"/>
                <w:bCs w:val="0"/>
              </w:rPr>
              <w:t>PAD</w:t>
            </w:r>
          </w:p>
        </w:tc>
        <w:tc>
          <w:tcPr>
            <w:tcW w:w="3272" w:type="dxa"/>
            <w:tcBorders>
              <w:top w:val="nil"/>
              <w:bottom w:val="nil"/>
            </w:tcBorders>
            <w:vAlign w:val="center"/>
            <w:hideMark/>
          </w:tcPr>
          <w:p w14:paraId="0FDB04BF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2.400(1.108-5.199)</w:t>
            </w:r>
          </w:p>
        </w:tc>
        <w:tc>
          <w:tcPr>
            <w:tcW w:w="1674" w:type="dxa"/>
            <w:tcBorders>
              <w:top w:val="nil"/>
              <w:bottom w:val="nil"/>
            </w:tcBorders>
            <w:vAlign w:val="center"/>
            <w:hideMark/>
          </w:tcPr>
          <w:p w14:paraId="6051C298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0.026</w:t>
            </w:r>
          </w:p>
        </w:tc>
      </w:tr>
      <w:tr w:rsidR="008C2338" w:rsidRPr="00F462C3" w14:paraId="32747BF6" w14:textId="77777777" w:rsidTr="00E30DEC">
        <w:trPr>
          <w:trHeight w:val="482"/>
        </w:trPr>
        <w:tc>
          <w:tcPr>
            <w:tcW w:w="3348" w:type="dxa"/>
            <w:tcBorders>
              <w:top w:val="nil"/>
              <w:bottom w:val="nil"/>
            </w:tcBorders>
            <w:vAlign w:val="center"/>
            <w:hideMark/>
          </w:tcPr>
          <w:p w14:paraId="7B82BDEB" w14:textId="77777777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eGFR</w:t>
            </w:r>
          </w:p>
        </w:tc>
        <w:tc>
          <w:tcPr>
            <w:tcW w:w="3272" w:type="dxa"/>
            <w:tcBorders>
              <w:top w:val="nil"/>
              <w:bottom w:val="nil"/>
            </w:tcBorders>
            <w:vAlign w:val="center"/>
            <w:hideMark/>
          </w:tcPr>
          <w:p w14:paraId="61BCE6CA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0.991(0.984-0.997)</w:t>
            </w:r>
          </w:p>
        </w:tc>
        <w:tc>
          <w:tcPr>
            <w:tcW w:w="1674" w:type="dxa"/>
            <w:tcBorders>
              <w:top w:val="nil"/>
              <w:bottom w:val="nil"/>
            </w:tcBorders>
            <w:vAlign w:val="center"/>
            <w:hideMark/>
          </w:tcPr>
          <w:p w14:paraId="26EECE7E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0.006</w:t>
            </w:r>
          </w:p>
        </w:tc>
      </w:tr>
      <w:tr w:rsidR="008C2338" w:rsidRPr="00F462C3" w14:paraId="76A2393B" w14:textId="77777777" w:rsidTr="00E30DEC">
        <w:trPr>
          <w:trHeight w:val="482"/>
        </w:trPr>
        <w:tc>
          <w:tcPr>
            <w:tcW w:w="3348" w:type="dxa"/>
            <w:tcBorders>
              <w:top w:val="nil"/>
            </w:tcBorders>
            <w:vAlign w:val="center"/>
            <w:hideMark/>
          </w:tcPr>
          <w:p w14:paraId="39C44B15" w14:textId="0AC56015" w:rsidR="008C2338" w:rsidRPr="00F462C3" w:rsidRDefault="008C2338" w:rsidP="008C2338">
            <w:pPr>
              <w:spacing w:line="360" w:lineRule="auto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Multivessel disease</w:t>
            </w:r>
          </w:p>
        </w:tc>
        <w:tc>
          <w:tcPr>
            <w:tcW w:w="3272" w:type="dxa"/>
            <w:tcBorders>
              <w:top w:val="nil"/>
            </w:tcBorders>
            <w:vAlign w:val="center"/>
            <w:hideMark/>
          </w:tcPr>
          <w:p w14:paraId="3A813FBE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1.719(1.260-2.347)</w:t>
            </w:r>
          </w:p>
        </w:tc>
        <w:tc>
          <w:tcPr>
            <w:tcW w:w="1674" w:type="dxa"/>
            <w:tcBorders>
              <w:top w:val="nil"/>
            </w:tcBorders>
            <w:vAlign w:val="center"/>
            <w:hideMark/>
          </w:tcPr>
          <w:p w14:paraId="0B773112" w14:textId="77777777" w:rsidR="008C2338" w:rsidRPr="00F462C3" w:rsidRDefault="008C2338" w:rsidP="008C2338">
            <w:pPr>
              <w:spacing w:line="360" w:lineRule="auto"/>
              <w:jc w:val="center"/>
              <w:rPr>
                <w:rFonts w:eastAsia="Times New Roman"/>
                <w:bCs w:val="0"/>
                <w:kern w:val="0"/>
              </w:rPr>
            </w:pPr>
            <w:r w:rsidRPr="00F462C3">
              <w:rPr>
                <w:rFonts w:eastAsia="Times New Roman"/>
                <w:bCs w:val="0"/>
              </w:rPr>
              <w:t>0.001</w:t>
            </w:r>
          </w:p>
        </w:tc>
      </w:tr>
    </w:tbl>
    <w:p w14:paraId="7259EEC9" w14:textId="27B31CA1" w:rsidR="008C2338" w:rsidRPr="00CC5286" w:rsidRDefault="00C1547A" w:rsidP="00C1547A">
      <w:pPr>
        <w:jc w:val="both"/>
        <w:rPr>
          <w:rFonts w:ascii="Times New Roman" w:hAnsi="Times New Roman" w:cs="Times New Roman"/>
          <w:sz w:val="24"/>
          <w:szCs w:val="24"/>
        </w:rPr>
      </w:pPr>
      <w:r w:rsidRPr="00C1547A">
        <w:rPr>
          <w:rFonts w:ascii="Times New Roman" w:hAnsi="Times New Roman" w:cs="Times New Roman"/>
          <w:sz w:val="24"/>
          <w:szCs w:val="24"/>
        </w:rPr>
        <w:t xml:space="preserve">Abbreviations: CI, confidence interval; </w:t>
      </w:r>
      <w:r w:rsidRPr="00F462C3">
        <w:rPr>
          <w:rFonts w:ascii="Times New Roman" w:hAnsi="Times New Roman" w:cs="Times New Roman"/>
          <w:sz w:val="24"/>
          <w:szCs w:val="24"/>
        </w:rPr>
        <w:t>eGFR, estimated glomerular filtration rate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  <w:r w:rsidRPr="00C1547A">
        <w:rPr>
          <w:rFonts w:ascii="Times New Roman" w:hAnsi="Times New Roman" w:cs="Times New Roman"/>
          <w:sz w:val="24"/>
          <w:szCs w:val="24"/>
        </w:rPr>
        <w:t xml:space="preserve">HR, hazard ratio; </w:t>
      </w:r>
      <w:r w:rsidR="00F462C3" w:rsidRPr="00F462C3">
        <w:rPr>
          <w:rFonts w:ascii="Times New Roman" w:hAnsi="Times New Roman" w:cs="Times New Roman"/>
          <w:sz w:val="24"/>
          <w:szCs w:val="24"/>
        </w:rPr>
        <w:t>MACCEs, major adverse cardiovascular and cerebrovascular events; OMI, old myocardial infarction; PAD, peripheral artery disease</w:t>
      </w:r>
      <w:r>
        <w:rPr>
          <w:rFonts w:ascii="Times New Roman" w:hAnsi="Times New Roman" w:cs="Times New Roman"/>
          <w:sz w:val="24"/>
          <w:szCs w:val="24"/>
        </w:rPr>
        <w:t>.</w:t>
      </w:r>
      <w:r w:rsidR="00F462C3" w:rsidRPr="00F462C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16D51A8" w14:textId="77777777" w:rsidR="00C1547A" w:rsidRPr="00CC5286" w:rsidRDefault="00C1547A">
      <w:pPr>
        <w:rPr>
          <w:rFonts w:ascii="Times New Roman" w:hAnsi="Times New Roman" w:cs="Times New Roman"/>
          <w:sz w:val="24"/>
          <w:szCs w:val="24"/>
        </w:rPr>
      </w:pPr>
    </w:p>
    <w:sectPr w:rsidR="00C1547A" w:rsidRPr="00CC5286" w:rsidSect="007D7B3B">
      <w:footerReference w:type="default" r:id="rId10"/>
      <w:pgSz w:w="11906" w:h="16838"/>
      <w:pgMar w:top="1440" w:right="1797" w:bottom="1440" w:left="1797" w:header="851" w:footer="992" w:gutter="0"/>
      <w:cols w:space="425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178ABE" w14:textId="77777777" w:rsidR="008C3601" w:rsidRDefault="008C3601" w:rsidP="0036716F">
      <w:r>
        <w:separator/>
      </w:r>
    </w:p>
  </w:endnote>
  <w:endnote w:type="continuationSeparator" w:id="0">
    <w:p w14:paraId="1FF10886" w14:textId="77777777" w:rsidR="008C3601" w:rsidRDefault="008C3601" w:rsidP="003671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88046916"/>
      <w:docPartObj>
        <w:docPartGallery w:val="Page Numbers (Bottom of Page)"/>
        <w:docPartUnique/>
      </w:docPartObj>
    </w:sdtPr>
    <w:sdtEndPr/>
    <w:sdtContent>
      <w:p w14:paraId="339A973D" w14:textId="01F62511" w:rsidR="00CE257B" w:rsidRDefault="00CE257B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78E1D11" w14:textId="77777777" w:rsidR="00CE257B" w:rsidRDefault="00CE257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8C243B" w14:textId="77777777" w:rsidR="008C3601" w:rsidRDefault="008C3601" w:rsidP="0036716F">
      <w:r>
        <w:separator/>
      </w:r>
    </w:p>
  </w:footnote>
  <w:footnote w:type="continuationSeparator" w:id="0">
    <w:p w14:paraId="41B07015" w14:textId="77777777" w:rsidR="008C3601" w:rsidRDefault="008C3601" w:rsidP="0036716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removePersonalInformation/>
  <w:removeDateAndTime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MzN7cwNzQ2NzG1MDFX0lEKTi0uzszPAykwsqgFAPFzXgEtAAAA"/>
  </w:docVars>
  <w:rsids>
    <w:rsidRoot w:val="00A86DAC"/>
    <w:rsid w:val="00000E2D"/>
    <w:rsid w:val="000241FA"/>
    <w:rsid w:val="00026D6D"/>
    <w:rsid w:val="00032CED"/>
    <w:rsid w:val="000347B4"/>
    <w:rsid w:val="00051206"/>
    <w:rsid w:val="00055C0C"/>
    <w:rsid w:val="000615BD"/>
    <w:rsid w:val="000643A3"/>
    <w:rsid w:val="00064CFF"/>
    <w:rsid w:val="0007098E"/>
    <w:rsid w:val="000745B4"/>
    <w:rsid w:val="00077380"/>
    <w:rsid w:val="00090221"/>
    <w:rsid w:val="000A1FC4"/>
    <w:rsid w:val="000A41E9"/>
    <w:rsid w:val="000A4598"/>
    <w:rsid w:val="000A62DA"/>
    <w:rsid w:val="000A6EA3"/>
    <w:rsid w:val="000B2661"/>
    <w:rsid w:val="000B4F9B"/>
    <w:rsid w:val="000B762F"/>
    <w:rsid w:val="000C795F"/>
    <w:rsid w:val="000D189E"/>
    <w:rsid w:val="000E7746"/>
    <w:rsid w:val="000F361B"/>
    <w:rsid w:val="000F71CA"/>
    <w:rsid w:val="000F7EE7"/>
    <w:rsid w:val="00100D92"/>
    <w:rsid w:val="00104592"/>
    <w:rsid w:val="00105C6E"/>
    <w:rsid w:val="00107256"/>
    <w:rsid w:val="00125754"/>
    <w:rsid w:val="00127E3D"/>
    <w:rsid w:val="001309A8"/>
    <w:rsid w:val="00132F9B"/>
    <w:rsid w:val="001345B5"/>
    <w:rsid w:val="0015255B"/>
    <w:rsid w:val="00182254"/>
    <w:rsid w:val="00185CEA"/>
    <w:rsid w:val="001A0A9F"/>
    <w:rsid w:val="001D11E1"/>
    <w:rsid w:val="001E04B3"/>
    <w:rsid w:val="001F1F37"/>
    <w:rsid w:val="00201334"/>
    <w:rsid w:val="00202BB2"/>
    <w:rsid w:val="00215BF0"/>
    <w:rsid w:val="00232011"/>
    <w:rsid w:val="00232A4C"/>
    <w:rsid w:val="0023332A"/>
    <w:rsid w:val="002333F5"/>
    <w:rsid w:val="002355B8"/>
    <w:rsid w:val="00236A1A"/>
    <w:rsid w:val="0024356B"/>
    <w:rsid w:val="002506DD"/>
    <w:rsid w:val="00252CDA"/>
    <w:rsid w:val="00256192"/>
    <w:rsid w:val="0026080F"/>
    <w:rsid w:val="00260B35"/>
    <w:rsid w:val="00291382"/>
    <w:rsid w:val="00292122"/>
    <w:rsid w:val="00294BDC"/>
    <w:rsid w:val="002974DB"/>
    <w:rsid w:val="002A789B"/>
    <w:rsid w:val="002C0786"/>
    <w:rsid w:val="002C0A99"/>
    <w:rsid w:val="002C3746"/>
    <w:rsid w:val="002D2975"/>
    <w:rsid w:val="002D2CB2"/>
    <w:rsid w:val="002D3D8B"/>
    <w:rsid w:val="002D5DA2"/>
    <w:rsid w:val="002F2AFD"/>
    <w:rsid w:val="002F365E"/>
    <w:rsid w:val="002F4CAD"/>
    <w:rsid w:val="003001DA"/>
    <w:rsid w:val="00315C85"/>
    <w:rsid w:val="00320658"/>
    <w:rsid w:val="003220AF"/>
    <w:rsid w:val="00327430"/>
    <w:rsid w:val="00330285"/>
    <w:rsid w:val="003314FB"/>
    <w:rsid w:val="00345C21"/>
    <w:rsid w:val="003525B6"/>
    <w:rsid w:val="00360A59"/>
    <w:rsid w:val="0036716F"/>
    <w:rsid w:val="003839E0"/>
    <w:rsid w:val="00386D10"/>
    <w:rsid w:val="00390D41"/>
    <w:rsid w:val="0039225E"/>
    <w:rsid w:val="003973C3"/>
    <w:rsid w:val="003A7FD2"/>
    <w:rsid w:val="003C0A2E"/>
    <w:rsid w:val="003C138F"/>
    <w:rsid w:val="003C28F5"/>
    <w:rsid w:val="003C76DD"/>
    <w:rsid w:val="003C7E7E"/>
    <w:rsid w:val="003D240C"/>
    <w:rsid w:val="003E1853"/>
    <w:rsid w:val="003F67FE"/>
    <w:rsid w:val="00407AEA"/>
    <w:rsid w:val="0041004C"/>
    <w:rsid w:val="004116EF"/>
    <w:rsid w:val="0041479C"/>
    <w:rsid w:val="004255B6"/>
    <w:rsid w:val="00432620"/>
    <w:rsid w:val="00460E3B"/>
    <w:rsid w:val="004617E9"/>
    <w:rsid w:val="0048166E"/>
    <w:rsid w:val="00485FB4"/>
    <w:rsid w:val="00494525"/>
    <w:rsid w:val="004955D1"/>
    <w:rsid w:val="0049789D"/>
    <w:rsid w:val="004B3B18"/>
    <w:rsid w:val="004D24CC"/>
    <w:rsid w:val="004E2045"/>
    <w:rsid w:val="004E2F5C"/>
    <w:rsid w:val="004E536E"/>
    <w:rsid w:val="005033FF"/>
    <w:rsid w:val="005113AA"/>
    <w:rsid w:val="0051320C"/>
    <w:rsid w:val="00515EF1"/>
    <w:rsid w:val="00521F0C"/>
    <w:rsid w:val="00522801"/>
    <w:rsid w:val="00530716"/>
    <w:rsid w:val="005329D0"/>
    <w:rsid w:val="005346AE"/>
    <w:rsid w:val="00545E88"/>
    <w:rsid w:val="00555ADC"/>
    <w:rsid w:val="00557B83"/>
    <w:rsid w:val="005615BC"/>
    <w:rsid w:val="0056266B"/>
    <w:rsid w:val="0056333C"/>
    <w:rsid w:val="00573F3E"/>
    <w:rsid w:val="00574F90"/>
    <w:rsid w:val="00591073"/>
    <w:rsid w:val="0059545B"/>
    <w:rsid w:val="005A0DEE"/>
    <w:rsid w:val="005A5AFF"/>
    <w:rsid w:val="005C438E"/>
    <w:rsid w:val="005D6309"/>
    <w:rsid w:val="0061289E"/>
    <w:rsid w:val="00614153"/>
    <w:rsid w:val="00624684"/>
    <w:rsid w:val="00640C3E"/>
    <w:rsid w:val="006432F7"/>
    <w:rsid w:val="00646DC1"/>
    <w:rsid w:val="0065078C"/>
    <w:rsid w:val="0065618F"/>
    <w:rsid w:val="00660264"/>
    <w:rsid w:val="00662F69"/>
    <w:rsid w:val="00666C22"/>
    <w:rsid w:val="00677548"/>
    <w:rsid w:val="00682953"/>
    <w:rsid w:val="006A1236"/>
    <w:rsid w:val="006A4775"/>
    <w:rsid w:val="006B0C7E"/>
    <w:rsid w:val="006B6BF4"/>
    <w:rsid w:val="006C167C"/>
    <w:rsid w:val="006E312A"/>
    <w:rsid w:val="006F5D9C"/>
    <w:rsid w:val="007043C4"/>
    <w:rsid w:val="00705005"/>
    <w:rsid w:val="00712E83"/>
    <w:rsid w:val="00726F14"/>
    <w:rsid w:val="00742108"/>
    <w:rsid w:val="00746A55"/>
    <w:rsid w:val="007501A0"/>
    <w:rsid w:val="00752869"/>
    <w:rsid w:val="00755DF3"/>
    <w:rsid w:val="00760383"/>
    <w:rsid w:val="007707BA"/>
    <w:rsid w:val="0077795B"/>
    <w:rsid w:val="007779E9"/>
    <w:rsid w:val="007817DA"/>
    <w:rsid w:val="007866A7"/>
    <w:rsid w:val="00792C1E"/>
    <w:rsid w:val="007A0BF2"/>
    <w:rsid w:val="007A1BC3"/>
    <w:rsid w:val="007B02FF"/>
    <w:rsid w:val="007B1D01"/>
    <w:rsid w:val="007B20DE"/>
    <w:rsid w:val="007B545E"/>
    <w:rsid w:val="007B5A65"/>
    <w:rsid w:val="007C55A1"/>
    <w:rsid w:val="007D7B3B"/>
    <w:rsid w:val="007F251D"/>
    <w:rsid w:val="00802889"/>
    <w:rsid w:val="00803FAB"/>
    <w:rsid w:val="00805EB0"/>
    <w:rsid w:val="008073B1"/>
    <w:rsid w:val="00810BB3"/>
    <w:rsid w:val="00810CF1"/>
    <w:rsid w:val="008213C8"/>
    <w:rsid w:val="00822F1E"/>
    <w:rsid w:val="00825F23"/>
    <w:rsid w:val="00826F81"/>
    <w:rsid w:val="00830F59"/>
    <w:rsid w:val="00832CF6"/>
    <w:rsid w:val="0083725C"/>
    <w:rsid w:val="00845AB3"/>
    <w:rsid w:val="008521C7"/>
    <w:rsid w:val="00855493"/>
    <w:rsid w:val="00867560"/>
    <w:rsid w:val="00882B73"/>
    <w:rsid w:val="00887B5C"/>
    <w:rsid w:val="008A3B85"/>
    <w:rsid w:val="008A5398"/>
    <w:rsid w:val="008B1733"/>
    <w:rsid w:val="008C04B3"/>
    <w:rsid w:val="008C136A"/>
    <w:rsid w:val="008C2338"/>
    <w:rsid w:val="008C3601"/>
    <w:rsid w:val="008C4FC8"/>
    <w:rsid w:val="008E0265"/>
    <w:rsid w:val="008E3199"/>
    <w:rsid w:val="008E41EE"/>
    <w:rsid w:val="008E45D1"/>
    <w:rsid w:val="008E487F"/>
    <w:rsid w:val="008F074B"/>
    <w:rsid w:val="008F3492"/>
    <w:rsid w:val="008F73BA"/>
    <w:rsid w:val="00900567"/>
    <w:rsid w:val="00900F76"/>
    <w:rsid w:val="009039BF"/>
    <w:rsid w:val="00907137"/>
    <w:rsid w:val="009100DC"/>
    <w:rsid w:val="00915933"/>
    <w:rsid w:val="009302E4"/>
    <w:rsid w:val="00930C2E"/>
    <w:rsid w:val="00940F6B"/>
    <w:rsid w:val="009463F1"/>
    <w:rsid w:val="0096279A"/>
    <w:rsid w:val="00966247"/>
    <w:rsid w:val="0097287D"/>
    <w:rsid w:val="00972B86"/>
    <w:rsid w:val="009730D1"/>
    <w:rsid w:val="00973762"/>
    <w:rsid w:val="00975A1E"/>
    <w:rsid w:val="0097758D"/>
    <w:rsid w:val="00983A63"/>
    <w:rsid w:val="009938DF"/>
    <w:rsid w:val="00995ABF"/>
    <w:rsid w:val="009A3FBB"/>
    <w:rsid w:val="009B1D8C"/>
    <w:rsid w:val="009B40F5"/>
    <w:rsid w:val="009B57A7"/>
    <w:rsid w:val="009E705E"/>
    <w:rsid w:val="009F0768"/>
    <w:rsid w:val="009F704E"/>
    <w:rsid w:val="00A06AEF"/>
    <w:rsid w:val="00A12675"/>
    <w:rsid w:val="00A12EC6"/>
    <w:rsid w:val="00A13283"/>
    <w:rsid w:val="00A27A0C"/>
    <w:rsid w:val="00A34D25"/>
    <w:rsid w:val="00A528AC"/>
    <w:rsid w:val="00A66FC4"/>
    <w:rsid w:val="00A676EE"/>
    <w:rsid w:val="00A72117"/>
    <w:rsid w:val="00A8100D"/>
    <w:rsid w:val="00A83846"/>
    <w:rsid w:val="00A86DAC"/>
    <w:rsid w:val="00A87608"/>
    <w:rsid w:val="00AB3F2C"/>
    <w:rsid w:val="00AB4275"/>
    <w:rsid w:val="00AC5A98"/>
    <w:rsid w:val="00AC779A"/>
    <w:rsid w:val="00AC7D73"/>
    <w:rsid w:val="00AD6381"/>
    <w:rsid w:val="00AE4DEA"/>
    <w:rsid w:val="00AE5AD0"/>
    <w:rsid w:val="00AE619A"/>
    <w:rsid w:val="00AE6325"/>
    <w:rsid w:val="00AF16DE"/>
    <w:rsid w:val="00AF26A6"/>
    <w:rsid w:val="00B006C6"/>
    <w:rsid w:val="00B01232"/>
    <w:rsid w:val="00B13719"/>
    <w:rsid w:val="00B152D4"/>
    <w:rsid w:val="00B20DEB"/>
    <w:rsid w:val="00B26AA9"/>
    <w:rsid w:val="00B271F9"/>
    <w:rsid w:val="00B31D97"/>
    <w:rsid w:val="00B45FBC"/>
    <w:rsid w:val="00B52EDC"/>
    <w:rsid w:val="00B5361C"/>
    <w:rsid w:val="00B62B40"/>
    <w:rsid w:val="00B62CC7"/>
    <w:rsid w:val="00B671C6"/>
    <w:rsid w:val="00B7105F"/>
    <w:rsid w:val="00B71CD6"/>
    <w:rsid w:val="00B75165"/>
    <w:rsid w:val="00B7661D"/>
    <w:rsid w:val="00B90F3C"/>
    <w:rsid w:val="00B94488"/>
    <w:rsid w:val="00B96042"/>
    <w:rsid w:val="00B97753"/>
    <w:rsid w:val="00BA1816"/>
    <w:rsid w:val="00BB41B0"/>
    <w:rsid w:val="00BB4D4E"/>
    <w:rsid w:val="00BC017A"/>
    <w:rsid w:val="00BF26F7"/>
    <w:rsid w:val="00C0263F"/>
    <w:rsid w:val="00C07F33"/>
    <w:rsid w:val="00C11604"/>
    <w:rsid w:val="00C1547A"/>
    <w:rsid w:val="00C17ED4"/>
    <w:rsid w:val="00C238ED"/>
    <w:rsid w:val="00C31BE6"/>
    <w:rsid w:val="00C3430C"/>
    <w:rsid w:val="00C4330C"/>
    <w:rsid w:val="00C60488"/>
    <w:rsid w:val="00C6628D"/>
    <w:rsid w:val="00C72DEE"/>
    <w:rsid w:val="00C73AD5"/>
    <w:rsid w:val="00C744DE"/>
    <w:rsid w:val="00C747C4"/>
    <w:rsid w:val="00C82047"/>
    <w:rsid w:val="00C93F5C"/>
    <w:rsid w:val="00C977FE"/>
    <w:rsid w:val="00CA4A2D"/>
    <w:rsid w:val="00CB07CA"/>
    <w:rsid w:val="00CB1823"/>
    <w:rsid w:val="00CB763E"/>
    <w:rsid w:val="00CC270A"/>
    <w:rsid w:val="00CC5286"/>
    <w:rsid w:val="00CD4579"/>
    <w:rsid w:val="00CE1F81"/>
    <w:rsid w:val="00CE20E8"/>
    <w:rsid w:val="00CE257B"/>
    <w:rsid w:val="00CF4913"/>
    <w:rsid w:val="00CF4938"/>
    <w:rsid w:val="00CF7B09"/>
    <w:rsid w:val="00D14D9F"/>
    <w:rsid w:val="00D20EF8"/>
    <w:rsid w:val="00D22FEB"/>
    <w:rsid w:val="00D27C63"/>
    <w:rsid w:val="00D31316"/>
    <w:rsid w:val="00D35896"/>
    <w:rsid w:val="00D478D4"/>
    <w:rsid w:val="00D50194"/>
    <w:rsid w:val="00D60263"/>
    <w:rsid w:val="00D620C7"/>
    <w:rsid w:val="00D804E1"/>
    <w:rsid w:val="00D829B0"/>
    <w:rsid w:val="00D82F9C"/>
    <w:rsid w:val="00DA214B"/>
    <w:rsid w:val="00DD3CEE"/>
    <w:rsid w:val="00DF4519"/>
    <w:rsid w:val="00E079D1"/>
    <w:rsid w:val="00E165F9"/>
    <w:rsid w:val="00E20409"/>
    <w:rsid w:val="00E237D9"/>
    <w:rsid w:val="00E30DEC"/>
    <w:rsid w:val="00E3123C"/>
    <w:rsid w:val="00E43DFA"/>
    <w:rsid w:val="00E47655"/>
    <w:rsid w:val="00E503A3"/>
    <w:rsid w:val="00E51E68"/>
    <w:rsid w:val="00E71E56"/>
    <w:rsid w:val="00E74C59"/>
    <w:rsid w:val="00E84AC1"/>
    <w:rsid w:val="00EA078A"/>
    <w:rsid w:val="00EB456E"/>
    <w:rsid w:val="00ED5730"/>
    <w:rsid w:val="00EE1240"/>
    <w:rsid w:val="00EF2AB4"/>
    <w:rsid w:val="00EF306D"/>
    <w:rsid w:val="00F02FFA"/>
    <w:rsid w:val="00F10B5D"/>
    <w:rsid w:val="00F1410D"/>
    <w:rsid w:val="00F14C2C"/>
    <w:rsid w:val="00F156DB"/>
    <w:rsid w:val="00F215CE"/>
    <w:rsid w:val="00F232C8"/>
    <w:rsid w:val="00F2703A"/>
    <w:rsid w:val="00F4213C"/>
    <w:rsid w:val="00F462C3"/>
    <w:rsid w:val="00F6652A"/>
    <w:rsid w:val="00F745D4"/>
    <w:rsid w:val="00F758F7"/>
    <w:rsid w:val="00F75B9B"/>
    <w:rsid w:val="00F851B2"/>
    <w:rsid w:val="00F87A6D"/>
    <w:rsid w:val="00F93E46"/>
    <w:rsid w:val="00F97FF5"/>
    <w:rsid w:val="00FA4970"/>
    <w:rsid w:val="00FB25EE"/>
    <w:rsid w:val="00FB2ABC"/>
    <w:rsid w:val="00FB5688"/>
    <w:rsid w:val="00FC00DD"/>
    <w:rsid w:val="00FC7C14"/>
    <w:rsid w:val="00FD28AA"/>
    <w:rsid w:val="00FD5712"/>
    <w:rsid w:val="00FE3FA9"/>
    <w:rsid w:val="00FE40B9"/>
    <w:rsid w:val="00FE7822"/>
    <w:rsid w:val="00FF038D"/>
    <w:rsid w:val="00FF74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C424AEB"/>
  <w14:defaultImageDpi w14:val="3276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SimSun" w:hAnsi="Arial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2801"/>
  </w:style>
  <w:style w:type="paragraph" w:styleId="Heading2">
    <w:name w:val="heading 2"/>
    <w:basedOn w:val="Normal"/>
    <w:next w:val="Normal"/>
    <w:link w:val="Heading2Char"/>
    <w:qFormat/>
    <w:rsid w:val="00330285"/>
    <w:pPr>
      <w:jc w:val="center"/>
      <w:outlineLvl w:val="1"/>
    </w:pPr>
    <w:rPr>
      <w:rFonts w:ascii="Times New Roman" w:eastAsia="Times New Roman" w:hAnsi="Times New Roman" w:cs="Times New Roman"/>
      <w:b/>
      <w:bCs/>
      <w:color w:val="000000"/>
      <w:kern w:val="28"/>
      <w:sz w:val="24"/>
      <w:szCs w:val="24"/>
      <w:lang w:val="en-CA" w:eastAsia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5C438E"/>
    <w:rPr>
      <w:rFonts w:ascii="Arial" w:eastAsia="Arial" w:hAnsi="Arial"/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C438E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C438E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6716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36716F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36716F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36716F"/>
    <w:rPr>
      <w:sz w:val="18"/>
      <w:szCs w:val="18"/>
    </w:rPr>
  </w:style>
  <w:style w:type="character" w:customStyle="1" w:styleId="Heading2Char">
    <w:name w:val="Heading 2 Char"/>
    <w:basedOn w:val="DefaultParagraphFont"/>
    <w:link w:val="Heading2"/>
    <w:rsid w:val="00330285"/>
    <w:rPr>
      <w:rFonts w:ascii="Times New Roman" w:eastAsia="Times New Roman" w:hAnsi="Times New Roman" w:cs="Times New Roman"/>
      <w:b/>
      <w:bCs/>
      <w:color w:val="000000"/>
      <w:kern w:val="28"/>
      <w:sz w:val="24"/>
      <w:szCs w:val="24"/>
      <w:lang w:val="en-CA" w:eastAsia="en-CA"/>
    </w:rPr>
  </w:style>
  <w:style w:type="paragraph" w:customStyle="1" w:styleId="Body">
    <w:name w:val="Body"/>
    <w:rsid w:val="00972B8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kern w:val="0"/>
      <w:sz w:val="22"/>
      <w:bdr w:val="nil"/>
      <w:lang w:eastAsia="en-US"/>
    </w:rPr>
  </w:style>
  <w:style w:type="table" w:styleId="TableGrid">
    <w:name w:val="Table Grid"/>
    <w:basedOn w:val="TableNormal"/>
    <w:uiPriority w:val="39"/>
    <w:rsid w:val="0052280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网格型1"/>
    <w:basedOn w:val="TableNormal"/>
    <w:next w:val="TableGrid"/>
    <w:uiPriority w:val="39"/>
    <w:rsid w:val="00432620"/>
    <w:rPr>
      <w:rFonts w:asciiTheme="minorHAnsi" w:eastAsiaTheme="minorEastAsia" w:hAnsi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D35896"/>
    <w:rPr>
      <w:rFonts w:asciiTheme="majorHAnsi" w:eastAsia="SimHei" w:hAnsiTheme="majorHAnsi" w:cstheme="majorBidi"/>
      <w:sz w:val="20"/>
      <w:szCs w:val="20"/>
    </w:rPr>
  </w:style>
  <w:style w:type="table" w:customStyle="1" w:styleId="2">
    <w:name w:val="网格型2"/>
    <w:basedOn w:val="TableNormal"/>
    <w:next w:val="TableGrid"/>
    <w:uiPriority w:val="39"/>
    <w:rsid w:val="008C2338"/>
    <w:rPr>
      <w:rFonts w:ascii="Times New Roman" w:hAnsi="Times New Roman" w:cs="Times New Roman"/>
      <w:bCs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网格型3"/>
    <w:basedOn w:val="TableNormal"/>
    <w:next w:val="TableGrid"/>
    <w:uiPriority w:val="39"/>
    <w:rsid w:val="008C2338"/>
    <w:rPr>
      <w:rFonts w:ascii="Times New Roman" w:hAnsi="Times New Roman" w:cs="Times New Roman"/>
      <w:bCs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136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7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2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B405A4-1B32-44A2-80F8-D74E205124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178</Words>
  <Characters>1020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2022-03-20T23:34:00Z</dcterms:created>
  <dcterms:modified xsi:type="dcterms:W3CDTF">2022-03-20T23:34:00Z</dcterms:modified>
</cp:coreProperties>
</file>