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C919" w14:textId="64A5B5E8" w:rsidR="00280F11" w:rsidRDefault="00280F11" w:rsidP="00DB209D">
      <w:pPr>
        <w:widowControl/>
        <w:jc w:val="left"/>
        <w:rPr>
          <w:rFonts w:ascii="Times New Roman" w:hAnsi="Times New Roman" w:cs="Times New Roman"/>
          <w:b/>
          <w:bCs/>
          <w:sz w:val="20"/>
          <w:szCs w:val="20"/>
        </w:rPr>
      </w:pPr>
      <w:bookmarkStart w:id="0" w:name="_Hlk77602128"/>
      <w:r w:rsidRPr="00280F11">
        <w:rPr>
          <w:rFonts w:ascii="Times New Roman" w:hAnsi="Times New Roman" w:cs="Times New Roman"/>
          <w:b/>
          <w:bCs/>
          <w:sz w:val="20"/>
          <w:szCs w:val="20"/>
        </w:rPr>
        <w:t>Supplementary Material S1</w:t>
      </w:r>
    </w:p>
    <w:p w14:paraId="30604418" w14:textId="77777777" w:rsidR="00EE0553" w:rsidRPr="00A317E0" w:rsidRDefault="00EE0553" w:rsidP="00F318F3">
      <w:pPr>
        <w:spacing w:line="360" w:lineRule="auto"/>
        <w:rPr>
          <w:rFonts w:ascii="Times New Roman" w:hAnsi="Times New Roman" w:cs="Times New Roman"/>
          <w:b/>
          <w:bCs/>
          <w:sz w:val="20"/>
          <w:szCs w:val="20"/>
        </w:rPr>
      </w:pPr>
    </w:p>
    <w:p w14:paraId="2257F527" w14:textId="77777777" w:rsidR="00EE0553" w:rsidRPr="00A317E0" w:rsidRDefault="00EE0553" w:rsidP="00EE0553">
      <w:pPr>
        <w:spacing w:line="360" w:lineRule="auto"/>
        <w:rPr>
          <w:rFonts w:ascii="Times New Roman" w:hAnsi="Times New Roman" w:cs="Times New Roman"/>
          <w:b/>
          <w:bCs/>
          <w:sz w:val="20"/>
          <w:szCs w:val="20"/>
        </w:rPr>
      </w:pPr>
      <w:r w:rsidRPr="00A317E0">
        <w:rPr>
          <w:rFonts w:ascii="Times New Roman" w:hAnsi="Times New Roman" w:cs="Times New Roman"/>
          <w:b/>
          <w:bCs/>
          <w:sz w:val="20"/>
          <w:szCs w:val="20"/>
        </w:rPr>
        <w:t xml:space="preserve">Pathological diagnosis of HCC </w:t>
      </w:r>
    </w:p>
    <w:p w14:paraId="6B11A6B9" w14:textId="0B90679A" w:rsidR="00EE0553" w:rsidRPr="00A317E0" w:rsidRDefault="00EE0553" w:rsidP="00EE0553">
      <w:pPr>
        <w:spacing w:line="360" w:lineRule="auto"/>
        <w:rPr>
          <w:rFonts w:ascii="Times New Roman" w:hAnsi="Times New Roman" w:cs="Times New Roman"/>
          <w:sz w:val="20"/>
          <w:szCs w:val="20"/>
        </w:rPr>
      </w:pPr>
      <w:r w:rsidRPr="00A317E0">
        <w:rPr>
          <w:rFonts w:ascii="Times New Roman" w:hAnsi="Times New Roman" w:cs="Times New Roman"/>
          <w:sz w:val="20"/>
          <w:szCs w:val="20"/>
        </w:rPr>
        <w:t xml:space="preserve">Pathological diagnosis of HCC </w:t>
      </w:r>
      <w:r w:rsidR="008476F6" w:rsidRPr="00A317E0">
        <w:rPr>
          <w:rFonts w:ascii="Times New Roman" w:hAnsi="Times New Roman" w:cs="Times New Roman"/>
          <w:sz w:val="20"/>
          <w:szCs w:val="20"/>
        </w:rPr>
        <w:t>i</w:t>
      </w:r>
      <w:r w:rsidR="00385A13" w:rsidRPr="00A317E0">
        <w:rPr>
          <w:rFonts w:ascii="Times New Roman" w:hAnsi="Times New Roman" w:cs="Times New Roman"/>
          <w:sz w:val="20"/>
          <w:szCs w:val="20"/>
        </w:rPr>
        <w:t>s</w:t>
      </w:r>
      <w:r w:rsidRPr="00A317E0">
        <w:rPr>
          <w:rFonts w:ascii="Times New Roman" w:hAnsi="Times New Roman" w:cs="Times New Roman"/>
          <w:sz w:val="20"/>
          <w:szCs w:val="20"/>
        </w:rPr>
        <w:t xml:space="preserve"> based on the International Consensus recommendations using the required histological and immunohistological analyses</w:t>
      </w:r>
      <w:r w:rsidR="00C34D81">
        <w:rPr>
          <w:rFonts w:ascii="Times New Roman" w:hAnsi="Times New Roman" w:cs="Times New Roman"/>
          <w:sz w:val="20"/>
          <w:szCs w:val="20"/>
        </w:rPr>
        <w:t>.</w:t>
      </w:r>
      <w:r w:rsidR="003E46D9" w:rsidRPr="00A317E0">
        <w:rPr>
          <w:rFonts w:ascii="Times New Roman" w:hAnsi="Times New Roman" w:cs="Times New Roman"/>
          <w:sz w:val="20"/>
          <w:szCs w:val="20"/>
        </w:rPr>
        <w:fldChar w:fldCharType="begin"/>
      </w:r>
      <w:r w:rsidR="003E46D9" w:rsidRPr="00A317E0">
        <w:rPr>
          <w:rFonts w:ascii="Times New Roman" w:hAnsi="Times New Roman" w:cs="Times New Roman"/>
          <w:sz w:val="20"/>
          <w:szCs w:val="20"/>
        </w:rPr>
        <w:instrText xml:space="preserve"> ADDIN EN.CITE &lt;EndNote&gt;&lt;Cite&gt;&lt;Author&gt;European Association For The Study Of The&lt;/Author&gt;&lt;Year&gt;2012&lt;/Year&gt;&lt;RecNum&gt;516&lt;/RecNum&gt;&lt;DisplayText&gt;[1]&lt;/DisplayText&gt;&lt;record&gt;&lt;rec-number&gt;516&lt;/rec-number&gt;&lt;foreign-keys&gt;&lt;key app="EN" db-id="xwt0adefrwftfkexst35pzfdtzrttpxvxft9" timestamp="1638198879"&gt;516&lt;/key&gt;&lt;/foreign-keys&gt;&lt;ref-type name="Journal Article"&gt;17&lt;/ref-type&gt;&lt;contributors&gt;&lt;authors&gt;&lt;author&gt;European Association For The Study Of The, Liver&lt;/author&gt;&lt;author&gt;European Organisation For, Research&lt;/author&gt;&lt;author&gt;Treatment Of, Cancer&lt;/author&gt;&lt;/authors&gt;&lt;/contributors&gt;&lt;auth-address&gt;EASL Office, 7 rue des Battoirs, CH-1205 Geneva, Switzerland. easloffice@easloffice.eu&lt;/auth-address&gt;&lt;titles&gt;&lt;title&gt;EASL-EORTC clinical practice guidelines: management of hepatocellular carcinoma&lt;/title&gt;&lt;secondary-title&gt;J Hepatol&lt;/secondary-title&gt;&lt;/titles&gt;&lt;periodical&gt;&lt;full-title&gt;J Hepatol&lt;/full-title&gt;&lt;/periodical&gt;&lt;pages&gt;908-43&lt;/pages&gt;&lt;volume&gt;56&lt;/volume&gt;&lt;number&gt;4&lt;/number&gt;&lt;edition&gt;2012/03/20&lt;/edition&gt;&lt;keywords&gt;&lt;keyword&gt;Adolescent&lt;/keyword&gt;&lt;keyword&gt;Aged&lt;/keyword&gt;&lt;keyword&gt;Carcinoma, Hepatocellular/*diagnosis/epidemiology/pathology/*therapy&lt;/keyword&gt;&lt;keyword&gt;Female&lt;/keyword&gt;&lt;keyword&gt;Humans&lt;/keyword&gt;&lt;keyword&gt;Liver Neoplasms/*diagnosis/epidemiology/pathology/*therapy&lt;/keyword&gt;&lt;keyword&gt;Male&lt;/keyword&gt;&lt;keyword&gt;Middle Aged&lt;/keyword&gt;&lt;keyword&gt;Young Adult&lt;/keyword&gt;&lt;/keywords&gt;&lt;dates&gt;&lt;year&gt;2012&lt;/year&gt;&lt;pub-dates&gt;&lt;date&gt;Apr&lt;/date&gt;&lt;/pub-dates&gt;&lt;/dates&gt;&lt;isbn&gt;1600-0641 (Electronic)&amp;#xD;0168-8278 (Linking)&lt;/isbn&gt;&lt;accession-num&gt;22424438&lt;/accession-num&gt;&lt;urls&gt;&lt;related-urls&gt;&lt;url&gt;https://www.ncbi.nlm.nih.gov/pubmed/22424438&lt;/url&gt;&lt;/related-urls&gt;&lt;/urls&gt;&lt;electronic-resource-num&gt;10.1016/j.jhep.2011.12.001&lt;/electronic-resource-num&gt;&lt;/record&gt;&lt;/Cite&gt;&lt;/EndNote&gt;</w:instrText>
      </w:r>
      <w:r w:rsidR="003E46D9" w:rsidRPr="00A317E0">
        <w:rPr>
          <w:rFonts w:ascii="Times New Roman" w:hAnsi="Times New Roman" w:cs="Times New Roman"/>
          <w:sz w:val="20"/>
          <w:szCs w:val="20"/>
        </w:rPr>
        <w:fldChar w:fldCharType="separate"/>
      </w:r>
      <w:r w:rsidR="003E46D9" w:rsidRPr="00A317E0">
        <w:rPr>
          <w:rFonts w:ascii="Times New Roman" w:hAnsi="Times New Roman" w:cs="Times New Roman"/>
          <w:noProof/>
          <w:sz w:val="20"/>
          <w:szCs w:val="20"/>
        </w:rPr>
        <w:t>[1]</w:t>
      </w:r>
      <w:r w:rsidR="003E46D9" w:rsidRPr="00A317E0">
        <w:rPr>
          <w:rFonts w:ascii="Times New Roman" w:hAnsi="Times New Roman" w:cs="Times New Roman"/>
          <w:sz w:val="20"/>
          <w:szCs w:val="20"/>
        </w:rPr>
        <w:fldChar w:fldCharType="end"/>
      </w:r>
    </w:p>
    <w:p w14:paraId="75F82233" w14:textId="77777777" w:rsidR="00EE0553" w:rsidRPr="00A317E0" w:rsidRDefault="00EE0553" w:rsidP="00EE0553">
      <w:pPr>
        <w:spacing w:line="360" w:lineRule="auto"/>
        <w:rPr>
          <w:rFonts w:ascii="Times New Roman" w:hAnsi="Times New Roman" w:cs="Times New Roman"/>
          <w:b/>
          <w:bCs/>
          <w:sz w:val="20"/>
          <w:szCs w:val="20"/>
        </w:rPr>
      </w:pPr>
    </w:p>
    <w:p w14:paraId="67BB9657" w14:textId="77777777" w:rsidR="00EE0553" w:rsidRPr="00A317E0" w:rsidRDefault="00EE0553" w:rsidP="00EE0553">
      <w:pPr>
        <w:spacing w:line="360" w:lineRule="auto"/>
        <w:rPr>
          <w:rFonts w:ascii="Times New Roman" w:hAnsi="Times New Roman" w:cs="Times New Roman"/>
          <w:b/>
          <w:bCs/>
          <w:sz w:val="20"/>
          <w:szCs w:val="20"/>
        </w:rPr>
      </w:pPr>
      <w:r w:rsidRPr="00A317E0">
        <w:rPr>
          <w:rFonts w:ascii="Times New Roman" w:hAnsi="Times New Roman" w:cs="Times New Roman"/>
          <w:b/>
          <w:bCs/>
          <w:sz w:val="20"/>
          <w:szCs w:val="20"/>
        </w:rPr>
        <w:t xml:space="preserve">Clinical diagnosis of HCC </w:t>
      </w:r>
    </w:p>
    <w:p w14:paraId="4DD0646B" w14:textId="72F3FB88" w:rsidR="00EE0553" w:rsidRPr="00A317E0" w:rsidRDefault="00EE0553" w:rsidP="00EE0553">
      <w:pPr>
        <w:spacing w:line="360" w:lineRule="auto"/>
        <w:rPr>
          <w:rFonts w:ascii="Times New Roman" w:hAnsi="Times New Roman" w:cs="Times New Roman"/>
          <w:sz w:val="20"/>
          <w:szCs w:val="20"/>
        </w:rPr>
      </w:pPr>
      <w:r w:rsidRPr="00A317E0">
        <w:rPr>
          <w:rFonts w:ascii="Times New Roman" w:hAnsi="Times New Roman" w:cs="Times New Roman"/>
          <w:sz w:val="20"/>
          <w:szCs w:val="20"/>
        </w:rPr>
        <w:t xml:space="preserve">Non-invasive criteria </w:t>
      </w:r>
      <w:r w:rsidR="00C34D81">
        <w:rPr>
          <w:rFonts w:ascii="Times New Roman" w:hAnsi="Times New Roman" w:cs="Times New Roman"/>
          <w:sz w:val="20"/>
          <w:szCs w:val="20"/>
        </w:rPr>
        <w:t xml:space="preserve">are </w:t>
      </w:r>
      <w:r w:rsidRPr="00A317E0">
        <w:rPr>
          <w:rFonts w:ascii="Times New Roman" w:hAnsi="Times New Roman" w:cs="Times New Roman"/>
          <w:sz w:val="20"/>
          <w:szCs w:val="20"/>
        </w:rPr>
        <w:t xml:space="preserve">applied to patients </w:t>
      </w:r>
      <w:r w:rsidR="00C34D81">
        <w:rPr>
          <w:rFonts w:ascii="Times New Roman" w:hAnsi="Times New Roman" w:cs="Times New Roman"/>
          <w:sz w:val="20"/>
          <w:szCs w:val="20"/>
        </w:rPr>
        <w:t xml:space="preserve">with high risk </w:t>
      </w:r>
      <w:r w:rsidRPr="00A317E0">
        <w:rPr>
          <w:rFonts w:ascii="Times New Roman" w:hAnsi="Times New Roman" w:cs="Times New Roman"/>
          <w:sz w:val="20"/>
          <w:szCs w:val="20"/>
        </w:rPr>
        <w:t>for nodule(s) ≥1 cm, and are based on imaging techniques obtained by multiphasic CT, dynamic contrast-enhanced MRI. Diagnosis is based on the identification of the typical hallmarks</w:t>
      </w:r>
      <w:r w:rsidR="008476F6" w:rsidRPr="00A317E0">
        <w:rPr>
          <w:rFonts w:ascii="Times New Roman" w:hAnsi="Times New Roman" w:cs="Times New Roman"/>
          <w:sz w:val="20"/>
          <w:szCs w:val="20"/>
        </w:rPr>
        <w:t xml:space="preserve"> </w:t>
      </w:r>
      <w:r w:rsidRPr="00A317E0">
        <w:rPr>
          <w:rFonts w:ascii="Times New Roman" w:hAnsi="Times New Roman" w:cs="Times New Roman"/>
          <w:sz w:val="20"/>
          <w:szCs w:val="20"/>
        </w:rPr>
        <w:t>of HCC, which differ according to imaging techniques or contrast agents</w:t>
      </w:r>
      <w:r w:rsidR="00E51E9B" w:rsidRPr="00A317E0">
        <w:rPr>
          <w:rFonts w:ascii="Times New Roman" w:hAnsi="Times New Roman" w:cs="Times New Roman"/>
          <w:sz w:val="20"/>
          <w:szCs w:val="20"/>
        </w:rPr>
        <w:t xml:space="preserve"> </w:t>
      </w:r>
      <w:r w:rsidRPr="00A317E0">
        <w:rPr>
          <w:rFonts w:ascii="Times New Roman" w:hAnsi="Times New Roman" w:cs="Times New Roman"/>
          <w:sz w:val="20"/>
          <w:szCs w:val="20"/>
        </w:rPr>
        <w:t>(APHE with washout in the portal venous or delayed phases on CT and MRI using extracellular contrast agents or gadobenate dimeglumine, APHE with washout in the portal venous phase on MRI using gadoxetic acid)</w:t>
      </w:r>
      <w:r w:rsidR="00E51E9B" w:rsidRPr="00A317E0">
        <w:rPr>
          <w:rFonts w:ascii="Times New Roman" w:hAnsi="Times New Roman" w:cs="Times New Roman"/>
          <w:sz w:val="20"/>
          <w:szCs w:val="20"/>
        </w:rPr>
        <w:t>.</w:t>
      </w:r>
      <w:r w:rsidR="003E46D9" w:rsidRPr="00A317E0">
        <w:rPr>
          <w:rFonts w:ascii="Times New Roman" w:hAnsi="Times New Roman" w:cs="Times New Roman"/>
          <w:sz w:val="20"/>
          <w:szCs w:val="20"/>
        </w:rPr>
        <w:fldChar w:fldCharType="begin"/>
      </w:r>
      <w:r w:rsidR="003E46D9" w:rsidRPr="00A317E0">
        <w:rPr>
          <w:rFonts w:ascii="Times New Roman" w:hAnsi="Times New Roman" w:cs="Times New Roman"/>
          <w:sz w:val="20"/>
          <w:szCs w:val="20"/>
        </w:rPr>
        <w:instrText xml:space="preserve"> ADDIN EN.CITE &lt;EndNote&gt;&lt;Cite&gt;&lt;Author&gt;European Association For The Study Of The&lt;/Author&gt;&lt;Year&gt;2012&lt;/Year&gt;&lt;RecNum&gt;516&lt;/RecNum&gt;&lt;DisplayText&gt;[1]&lt;/DisplayText&gt;&lt;record&gt;&lt;rec-number&gt;516&lt;/rec-number&gt;&lt;foreign-keys&gt;&lt;key app="EN" db-id="xwt0adefrwftfkexst35pzfdtzrttpxvxft9" timestamp="1638198879"&gt;516&lt;/key&gt;&lt;/foreign-keys&gt;&lt;ref-type name="Journal Article"&gt;17&lt;/ref-type&gt;&lt;contributors&gt;&lt;authors&gt;&lt;author&gt;European Association For The Study Of The, Liver&lt;/author&gt;&lt;author&gt;European Organisation For, Research&lt;/author&gt;&lt;author&gt;Treatment Of, Cancer&lt;/author&gt;&lt;/authors&gt;&lt;/contributors&gt;&lt;auth-address&gt;EASL Office, 7 rue des Battoirs, CH-1205 Geneva, Switzerland. easloffice@easloffice.eu&lt;/auth-address&gt;&lt;titles&gt;&lt;title&gt;EASL-EORTC clinical practice guidelines: management of hepatocellular carcinoma&lt;/title&gt;&lt;secondary-title&gt;J Hepatol&lt;/secondary-title&gt;&lt;/titles&gt;&lt;periodical&gt;&lt;full-title&gt;J Hepatol&lt;/full-title&gt;&lt;/periodical&gt;&lt;pages&gt;908-43&lt;/pages&gt;&lt;volume&gt;56&lt;/volume&gt;&lt;number&gt;4&lt;/number&gt;&lt;edition&gt;2012/03/20&lt;/edition&gt;&lt;keywords&gt;&lt;keyword&gt;Adolescent&lt;/keyword&gt;&lt;keyword&gt;Aged&lt;/keyword&gt;&lt;keyword&gt;Carcinoma, Hepatocellular/*diagnosis/epidemiology/pathology/*therapy&lt;/keyword&gt;&lt;keyword&gt;Female&lt;/keyword&gt;&lt;keyword&gt;Humans&lt;/keyword&gt;&lt;keyword&gt;Liver Neoplasms/*diagnosis/epidemiology/pathology/*therapy&lt;/keyword&gt;&lt;keyword&gt;Male&lt;/keyword&gt;&lt;keyword&gt;Middle Aged&lt;/keyword&gt;&lt;keyword&gt;Young Adult&lt;/keyword&gt;&lt;/keywords&gt;&lt;dates&gt;&lt;year&gt;2012&lt;/year&gt;&lt;pub-dates&gt;&lt;date&gt;Apr&lt;/date&gt;&lt;/pub-dates&gt;&lt;/dates&gt;&lt;isbn&gt;1600-0641 (Electronic)&amp;#xD;0168-8278 (Linking)&lt;/isbn&gt;&lt;accession-num&gt;22424438&lt;/accession-num&gt;&lt;urls&gt;&lt;related-urls&gt;&lt;url&gt;https://www.ncbi.nlm.nih.gov/pubmed/22424438&lt;/url&gt;&lt;/related-urls&gt;&lt;/urls&gt;&lt;electronic-resource-num&gt;10.1016/j.jhep.2011.12.001&lt;/electronic-resource-num&gt;&lt;/record&gt;&lt;/Cite&gt;&lt;/EndNote&gt;</w:instrText>
      </w:r>
      <w:r w:rsidR="003E46D9" w:rsidRPr="00A317E0">
        <w:rPr>
          <w:rFonts w:ascii="Times New Roman" w:hAnsi="Times New Roman" w:cs="Times New Roman"/>
          <w:sz w:val="20"/>
          <w:szCs w:val="20"/>
        </w:rPr>
        <w:fldChar w:fldCharType="separate"/>
      </w:r>
      <w:r w:rsidR="003E46D9" w:rsidRPr="00A317E0">
        <w:rPr>
          <w:rFonts w:ascii="Times New Roman" w:hAnsi="Times New Roman" w:cs="Times New Roman"/>
          <w:noProof/>
          <w:sz w:val="20"/>
          <w:szCs w:val="20"/>
        </w:rPr>
        <w:t>[1]</w:t>
      </w:r>
      <w:r w:rsidR="003E46D9" w:rsidRPr="00A317E0">
        <w:rPr>
          <w:rFonts w:ascii="Times New Roman" w:hAnsi="Times New Roman" w:cs="Times New Roman"/>
          <w:sz w:val="20"/>
          <w:szCs w:val="20"/>
        </w:rPr>
        <w:fldChar w:fldCharType="end"/>
      </w:r>
    </w:p>
    <w:p w14:paraId="29572885" w14:textId="77777777" w:rsidR="00385A13" w:rsidRPr="00A317E0" w:rsidRDefault="00385A13" w:rsidP="00EE0553">
      <w:pPr>
        <w:spacing w:line="360" w:lineRule="auto"/>
        <w:rPr>
          <w:rFonts w:ascii="Times New Roman" w:hAnsi="Times New Roman" w:cs="Times New Roman"/>
          <w:b/>
          <w:bCs/>
          <w:sz w:val="20"/>
          <w:szCs w:val="20"/>
        </w:rPr>
      </w:pPr>
    </w:p>
    <w:p w14:paraId="789317A2" w14:textId="33A94698" w:rsidR="002E08B7" w:rsidRPr="00A317E0" w:rsidRDefault="002E08B7" w:rsidP="00F318F3">
      <w:pPr>
        <w:spacing w:line="360" w:lineRule="auto"/>
        <w:rPr>
          <w:rFonts w:ascii="Times New Roman" w:hAnsi="Times New Roman" w:cs="Times New Roman"/>
          <w:b/>
          <w:bCs/>
          <w:sz w:val="20"/>
          <w:szCs w:val="20"/>
        </w:rPr>
      </w:pPr>
      <w:r w:rsidRPr="00A317E0">
        <w:rPr>
          <w:rFonts w:ascii="Times New Roman" w:hAnsi="Times New Roman" w:cs="Times New Roman"/>
          <w:b/>
          <w:bCs/>
          <w:sz w:val="20"/>
          <w:szCs w:val="20"/>
        </w:rPr>
        <w:t xml:space="preserve">Data Collection </w:t>
      </w:r>
    </w:p>
    <w:p w14:paraId="3DFE9BE9" w14:textId="0FC2B80B" w:rsidR="002E08B7" w:rsidRPr="00A317E0" w:rsidRDefault="002E08B7"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Electronic medical records were reviewed to collect clinical and laboratory data for each patient. Data included age, sex, presence of cirrhosis, serum AFP, total bilirubin level, Child-pugh class, underlying liver disease, treatment modality, time (months) between LRT and treatment response evaluation, size and segment location of each lesion.</w:t>
      </w:r>
    </w:p>
    <w:p w14:paraId="49ADEE3A" w14:textId="77777777" w:rsidR="002E08B7" w:rsidRPr="00A317E0" w:rsidRDefault="002E08B7" w:rsidP="00F318F3">
      <w:pPr>
        <w:spacing w:line="360" w:lineRule="auto"/>
        <w:rPr>
          <w:rFonts w:ascii="Times New Roman" w:hAnsi="Times New Roman" w:cs="Times New Roman"/>
          <w:b/>
          <w:bCs/>
          <w:sz w:val="20"/>
          <w:szCs w:val="20"/>
        </w:rPr>
      </w:pPr>
    </w:p>
    <w:bookmarkEnd w:id="0"/>
    <w:p w14:paraId="08CDFD6B" w14:textId="5676AC9A" w:rsidR="00A017DA" w:rsidRPr="00A317E0" w:rsidRDefault="0041347F" w:rsidP="00F318F3">
      <w:pPr>
        <w:spacing w:line="360" w:lineRule="auto"/>
        <w:rPr>
          <w:rFonts w:ascii="Times New Roman" w:hAnsi="Times New Roman" w:cs="Times New Roman"/>
          <w:b/>
          <w:bCs/>
          <w:sz w:val="20"/>
          <w:szCs w:val="20"/>
        </w:rPr>
      </w:pPr>
      <w:r w:rsidRPr="00A317E0">
        <w:rPr>
          <w:rFonts w:ascii="Times New Roman" w:hAnsi="Times New Roman" w:cs="Times New Roman"/>
          <w:b/>
          <w:bCs/>
          <w:sz w:val="20"/>
          <w:szCs w:val="20"/>
        </w:rPr>
        <w:t xml:space="preserve">Imaging protocols </w:t>
      </w:r>
      <w:bookmarkStart w:id="1" w:name="_Hlk77603254"/>
      <w:r w:rsidRPr="00A317E0">
        <w:rPr>
          <w:rFonts w:ascii="Times New Roman" w:hAnsi="Times New Roman" w:cs="Times New Roman"/>
          <w:b/>
          <w:bCs/>
          <w:sz w:val="20"/>
          <w:szCs w:val="20"/>
        </w:rPr>
        <w:t>and scanning parameters</w:t>
      </w:r>
      <w:bookmarkEnd w:id="1"/>
      <w:r w:rsidRPr="00A317E0">
        <w:rPr>
          <w:rFonts w:ascii="Times New Roman" w:hAnsi="Times New Roman" w:cs="Times New Roman"/>
          <w:b/>
          <w:bCs/>
          <w:sz w:val="20"/>
          <w:szCs w:val="20"/>
        </w:rPr>
        <w:t xml:space="preserve"> of CEUS</w:t>
      </w:r>
    </w:p>
    <w:p w14:paraId="1C1ECC59" w14:textId="255AA1F1" w:rsidR="00E10925" w:rsidRPr="00A317E0" w:rsidRDefault="00E10925" w:rsidP="00F318F3">
      <w:pPr>
        <w:spacing w:line="360" w:lineRule="auto"/>
        <w:rPr>
          <w:rFonts w:ascii="Times New Roman" w:hAnsi="Times New Roman" w:cs="Times New Roman"/>
          <w:sz w:val="20"/>
          <w:szCs w:val="20"/>
        </w:rPr>
      </w:pPr>
      <w:bookmarkStart w:id="2" w:name="_Hlk96611014"/>
      <w:r w:rsidRPr="00A317E0">
        <w:rPr>
          <w:rFonts w:ascii="Times New Roman" w:hAnsi="Times New Roman" w:cs="Times New Roman"/>
          <w:sz w:val="20"/>
          <w:szCs w:val="20"/>
        </w:rPr>
        <w:t>The ultrasound equipment was as follows: (1) Acuson Sequoia 512 with a 4 V1 vector transducer (frequency range, 1.0–4.0 MHz) and a contrast-specific mode of contrast pulse sequencing; (2) Aplio SSA-770 or Aplio 500 with a 375BT convex transducer (frequency range, 1.9–6.0 MHz) and a Contrast Harmonic Imaging mode; and (3) Aixplorer Ultrasound system equipped with the SC6–1 convex probe (frequency range, 1.0–6.0 MHz). The process of contrast-enhanced ultrasound was as followed: first, the entire liver was scanned with grayscale ultrasound and doppler ultrasound. Then, the imaging mode was changed to CEUS. A 2.4-ml bolus of SonoVue (Bracco Imaging SpA, Milan, Italy) was injected into the antecubital vein, and then received a flush with 5 ml of 0.9% saline solution.</w:t>
      </w:r>
      <w:bookmarkEnd w:id="2"/>
      <w:r w:rsidRPr="00A317E0">
        <w:rPr>
          <w:rFonts w:ascii="Times New Roman" w:hAnsi="Times New Roman" w:cs="Times New Roman"/>
          <w:sz w:val="20"/>
          <w:szCs w:val="20"/>
        </w:rPr>
        <w:t xml:space="preserve"> The CEUS process was classified into AP (from 10–20 s to 30–45 s after the injection), PVP (from 30–45 s to 120 s after the </w:t>
      </w:r>
      <w:r w:rsidRPr="00A317E0">
        <w:rPr>
          <w:rFonts w:ascii="Times New Roman" w:hAnsi="Times New Roman" w:cs="Times New Roman"/>
          <w:sz w:val="20"/>
          <w:szCs w:val="20"/>
        </w:rPr>
        <w:lastRenderedPageBreak/>
        <w:t>injection), and LP (121–360 s after the injection). Videos were recorded as digital imaging data and communications in medicine (DICOM) files.</w:t>
      </w:r>
    </w:p>
    <w:p w14:paraId="418ADC94" w14:textId="4698B17D" w:rsidR="0041347F" w:rsidRPr="00A317E0" w:rsidRDefault="0041347F" w:rsidP="00F318F3">
      <w:pPr>
        <w:spacing w:line="360" w:lineRule="auto"/>
        <w:rPr>
          <w:rFonts w:ascii="Times New Roman" w:hAnsi="Times New Roman" w:cs="Times New Roman"/>
          <w:sz w:val="20"/>
          <w:szCs w:val="20"/>
        </w:rPr>
      </w:pPr>
    </w:p>
    <w:p w14:paraId="1A5C060C" w14:textId="3C0AB9E4" w:rsidR="0041347F" w:rsidRPr="00A317E0" w:rsidRDefault="0041347F" w:rsidP="00F318F3">
      <w:pPr>
        <w:spacing w:line="360" w:lineRule="auto"/>
        <w:rPr>
          <w:rFonts w:ascii="Times New Roman" w:hAnsi="Times New Roman" w:cs="Times New Roman"/>
          <w:b/>
          <w:bCs/>
          <w:sz w:val="20"/>
          <w:szCs w:val="20"/>
        </w:rPr>
      </w:pPr>
      <w:r w:rsidRPr="00A317E0">
        <w:rPr>
          <w:rFonts w:ascii="Times New Roman" w:hAnsi="Times New Roman" w:cs="Times New Roman"/>
          <w:b/>
          <w:bCs/>
          <w:sz w:val="20"/>
          <w:szCs w:val="20"/>
        </w:rPr>
        <w:t>Imaging protocols and scanning parameters of CT</w:t>
      </w:r>
    </w:p>
    <w:p w14:paraId="1B816878" w14:textId="63FD731F" w:rsidR="00E10925" w:rsidRPr="00A317E0" w:rsidRDefault="00E10925" w:rsidP="00F318F3">
      <w:pPr>
        <w:spacing w:line="360" w:lineRule="auto"/>
        <w:rPr>
          <w:rFonts w:ascii="Times New Roman" w:hAnsi="Times New Roman" w:cs="Times New Roman"/>
          <w:sz w:val="20"/>
          <w:szCs w:val="20"/>
        </w:rPr>
      </w:pPr>
      <w:bookmarkStart w:id="3" w:name="_Hlk96611308"/>
      <w:r w:rsidRPr="00A317E0">
        <w:rPr>
          <w:rFonts w:ascii="Times New Roman" w:hAnsi="Times New Roman" w:cs="Times New Roman"/>
          <w:sz w:val="20"/>
          <w:szCs w:val="20"/>
        </w:rPr>
        <w:t xml:space="preserve">CECT was performed with one of the following equipment: a 64-detector row (Aquilion CXL, Toshiba Medical System, Tokyo, Japan) or 320-detector row CT machine (Aquilion One, Toshiba Medical System, Tokyo, Japan). </w:t>
      </w:r>
      <w:bookmarkEnd w:id="3"/>
      <w:r w:rsidRPr="00A317E0">
        <w:rPr>
          <w:rFonts w:ascii="Times New Roman" w:hAnsi="Times New Roman" w:cs="Times New Roman"/>
          <w:sz w:val="20"/>
          <w:szCs w:val="20"/>
        </w:rPr>
        <w:t xml:space="preserve">The scanning parameters were set as follows: tube voltage, 120 kV; tube current, 250 mA; and slice thicknesses, 1 mm and 10 mm. After a routine unenhanced scan, </w:t>
      </w:r>
      <w:bookmarkStart w:id="4" w:name="_Hlk96611299"/>
      <w:r w:rsidRPr="00A317E0">
        <w:rPr>
          <w:rFonts w:ascii="Times New Roman" w:hAnsi="Times New Roman" w:cs="Times New Roman"/>
          <w:sz w:val="20"/>
          <w:szCs w:val="20"/>
        </w:rPr>
        <w:t xml:space="preserve">1.5 mL/kg of contrast media (Ultravist, Bayer, Germany) was injected into an antecubital vein at a rate of 3.0 mL/s via a pump injector (P3T abdomen module, Medrad Inc.). </w:t>
      </w:r>
      <w:bookmarkEnd w:id="4"/>
      <w:r w:rsidRPr="00A317E0">
        <w:rPr>
          <w:rFonts w:ascii="Times New Roman" w:hAnsi="Times New Roman" w:cs="Times New Roman"/>
          <w:sz w:val="20"/>
          <w:szCs w:val="20"/>
        </w:rPr>
        <w:t xml:space="preserve">The hepatic arterial phase CT images were obtained at 35 s, and the portal venous phase CT images were obtained at 65 s. Unenhanced, hepatic arterial phase and portal venous phase CT images were collected, and images were recorded as digital imaging data and communications in medicine (DICOM) files. </w:t>
      </w:r>
    </w:p>
    <w:p w14:paraId="68205932" w14:textId="77777777" w:rsidR="00E10925" w:rsidRPr="00A317E0" w:rsidRDefault="00E10925" w:rsidP="00F318F3">
      <w:pPr>
        <w:spacing w:line="360" w:lineRule="auto"/>
        <w:rPr>
          <w:rFonts w:ascii="Times New Roman" w:hAnsi="Times New Roman" w:cs="Times New Roman"/>
          <w:sz w:val="20"/>
          <w:szCs w:val="20"/>
        </w:rPr>
      </w:pPr>
    </w:p>
    <w:p w14:paraId="363B56E9" w14:textId="7E74F678" w:rsidR="0041347F" w:rsidRPr="00A317E0" w:rsidRDefault="0041347F" w:rsidP="00F318F3">
      <w:pPr>
        <w:spacing w:line="360" w:lineRule="auto"/>
        <w:rPr>
          <w:rFonts w:ascii="Times New Roman" w:hAnsi="Times New Roman" w:cs="Times New Roman"/>
          <w:b/>
          <w:bCs/>
          <w:sz w:val="20"/>
          <w:szCs w:val="20"/>
        </w:rPr>
      </w:pPr>
      <w:r w:rsidRPr="00A317E0">
        <w:rPr>
          <w:rFonts w:ascii="Times New Roman" w:hAnsi="Times New Roman" w:cs="Times New Roman"/>
          <w:b/>
          <w:bCs/>
          <w:sz w:val="20"/>
          <w:szCs w:val="20"/>
        </w:rPr>
        <w:t>Imaging protocols and scanning parameters of MRI</w:t>
      </w:r>
    </w:p>
    <w:p w14:paraId="069E84F0" w14:textId="5AA68222" w:rsidR="00E10925" w:rsidRDefault="00D97EA6" w:rsidP="00FA5DA2">
      <w:pPr>
        <w:spacing w:line="360" w:lineRule="auto"/>
        <w:rPr>
          <w:rFonts w:ascii="Times New Roman" w:hAnsi="Times New Roman" w:cs="Times New Roman"/>
          <w:sz w:val="20"/>
          <w:szCs w:val="20"/>
        </w:rPr>
      </w:pPr>
      <w:bookmarkStart w:id="5" w:name="_Hlk96611346"/>
      <w:r w:rsidRPr="00A317E0">
        <w:rPr>
          <w:rFonts w:ascii="Times New Roman" w:hAnsi="Times New Roman" w:cs="Times New Roman"/>
          <w:sz w:val="20"/>
          <w:szCs w:val="20"/>
        </w:rPr>
        <w:t>MRI examination was performed by using a 3.0-T system (Siemens Healthineers)</w:t>
      </w:r>
      <w:bookmarkEnd w:id="5"/>
      <w:r w:rsidRPr="00A317E0">
        <w:rPr>
          <w:rFonts w:ascii="Times New Roman" w:hAnsi="Times New Roman" w:cs="Times New Roman"/>
          <w:sz w:val="20"/>
          <w:szCs w:val="20"/>
        </w:rPr>
        <w:t>. Eight-channel phased array coil was used, and the scanning scale covered from the top to the lower edge of the liver. The MR scan sequence included: half-Fourier single-shot turbo spin-echo (HASTE) sequence, fast low angle shot (FLASH) T1WI in/out of phase sequence imaging, FLASH T1WI fat suppression (FS) sequence axial imaging, and turbo spin-echo (TSE) T2WI navigation trigger axial imaging. The images in arterial phase, portal phase, and hepatic venous phase were obtained by performing three-dimensional volume interpolated breath hold test (3D VIBE) T1WI (FS) sequence during suspended respiration at 30–35 s, 65–70 s, and 100–120 s, respectively</w:t>
      </w:r>
      <w:r w:rsidR="00AA4103">
        <w:rPr>
          <w:rFonts w:ascii="Times New Roman" w:hAnsi="Times New Roman" w:cs="Times New Roman"/>
          <w:sz w:val="20"/>
          <w:szCs w:val="20"/>
        </w:rPr>
        <w:t>,</w:t>
      </w:r>
      <w:r w:rsidR="00AA4103" w:rsidRPr="00FA5DA2">
        <w:t xml:space="preserve"> </w:t>
      </w:r>
      <w:r w:rsidR="00FA5DA2" w:rsidRPr="00FA5DA2">
        <w:rPr>
          <w:rFonts w:ascii="Times New Roman" w:hAnsi="Times New Roman" w:cs="Times New Roman"/>
          <w:sz w:val="20"/>
          <w:szCs w:val="20"/>
        </w:rPr>
        <w:t>after as bolus injection of</w:t>
      </w:r>
      <w:bookmarkStart w:id="6" w:name="_Hlk96612847"/>
      <w:r w:rsidR="00FA5DA2" w:rsidRPr="00FA5DA2">
        <w:rPr>
          <w:rFonts w:ascii="Times New Roman" w:hAnsi="Times New Roman" w:cs="Times New Roman"/>
          <w:sz w:val="20"/>
          <w:szCs w:val="20"/>
        </w:rPr>
        <w:t xml:space="preserve"> </w:t>
      </w:r>
      <w:bookmarkStart w:id="7" w:name="_Hlk96612817"/>
      <w:r w:rsidR="00FA5DA2" w:rsidRPr="00FA5DA2">
        <w:rPr>
          <w:rFonts w:ascii="Times New Roman" w:hAnsi="Times New Roman" w:cs="Times New Roman"/>
          <w:sz w:val="20"/>
          <w:szCs w:val="20"/>
        </w:rPr>
        <w:t xml:space="preserve">Gd-EOB-DTPA </w:t>
      </w:r>
      <w:bookmarkEnd w:id="7"/>
      <w:r w:rsidR="00FA5DA2" w:rsidRPr="00FA5DA2">
        <w:rPr>
          <w:rFonts w:ascii="Times New Roman" w:hAnsi="Times New Roman" w:cs="Times New Roman"/>
          <w:sz w:val="20"/>
          <w:szCs w:val="20"/>
        </w:rPr>
        <w:t>(Primovist®,0.1 mL/kg body weight) with a flow rate of 1 mL/s</w:t>
      </w:r>
      <w:bookmarkEnd w:id="6"/>
      <w:r w:rsidR="00FA5DA2" w:rsidRPr="00FA5DA2">
        <w:rPr>
          <w:rFonts w:ascii="Times New Roman" w:hAnsi="Times New Roman" w:cs="Times New Roman"/>
          <w:sz w:val="20"/>
          <w:szCs w:val="20"/>
        </w:rPr>
        <w:t>.</w:t>
      </w:r>
      <w:r w:rsidR="00FA5DA2">
        <w:rPr>
          <w:rFonts w:ascii="Times New Roman" w:hAnsi="Times New Roman" w:cs="Times New Roman" w:hint="eastAsia"/>
          <w:sz w:val="20"/>
          <w:szCs w:val="20"/>
        </w:rPr>
        <w:t xml:space="preserve"> </w:t>
      </w:r>
      <w:r w:rsidR="00FA5DA2" w:rsidRPr="00FA5DA2">
        <w:rPr>
          <w:rFonts w:ascii="Times New Roman" w:hAnsi="Times New Roman" w:cs="Times New Roman"/>
          <w:sz w:val="20"/>
          <w:szCs w:val="20"/>
        </w:rPr>
        <w:t>Additional hepatobiliary phase images were obtained at</w:t>
      </w:r>
      <w:r w:rsidR="00FA5DA2">
        <w:rPr>
          <w:rFonts w:ascii="Times New Roman" w:hAnsi="Times New Roman" w:cs="Times New Roman" w:hint="eastAsia"/>
          <w:sz w:val="20"/>
          <w:szCs w:val="20"/>
        </w:rPr>
        <w:t xml:space="preserve"> </w:t>
      </w:r>
      <w:r w:rsidR="00FA5DA2" w:rsidRPr="00FA5DA2">
        <w:rPr>
          <w:rFonts w:ascii="Times New Roman" w:hAnsi="Times New Roman" w:cs="Times New Roman"/>
          <w:sz w:val="20"/>
          <w:szCs w:val="20"/>
        </w:rPr>
        <w:t>20 min after injection.</w:t>
      </w:r>
      <w:r w:rsidR="00FA5DA2">
        <w:rPr>
          <w:rFonts w:ascii="Times New Roman" w:hAnsi="Times New Roman" w:cs="Times New Roman"/>
          <w:sz w:val="20"/>
          <w:szCs w:val="20"/>
        </w:rPr>
        <w:t xml:space="preserve"> </w:t>
      </w:r>
      <w:r w:rsidR="00B243A9" w:rsidRPr="00A317E0">
        <w:rPr>
          <w:rFonts w:ascii="Times New Roman" w:hAnsi="Times New Roman" w:cs="Times New Roman"/>
          <w:sz w:val="20"/>
          <w:szCs w:val="20"/>
        </w:rPr>
        <w:t xml:space="preserve">Images were recorded as digital imaging data and communications in medicine (DICOM) files. </w:t>
      </w:r>
    </w:p>
    <w:p w14:paraId="0949F090" w14:textId="3F6B4DA9" w:rsidR="007D6D21" w:rsidRDefault="007D6D21" w:rsidP="00F318F3">
      <w:pPr>
        <w:spacing w:line="360" w:lineRule="auto"/>
        <w:rPr>
          <w:rFonts w:ascii="Times New Roman" w:hAnsi="Times New Roman" w:cs="Times New Roman"/>
          <w:sz w:val="20"/>
          <w:szCs w:val="20"/>
        </w:rPr>
      </w:pPr>
    </w:p>
    <w:p w14:paraId="128F2257" w14:textId="602B9682" w:rsidR="007D6D21" w:rsidRPr="00DB209D" w:rsidRDefault="007D6D21" w:rsidP="00F318F3">
      <w:pPr>
        <w:spacing w:line="360" w:lineRule="auto"/>
        <w:rPr>
          <w:rFonts w:ascii="Times New Roman" w:hAnsi="Times New Roman" w:cs="Times New Roman"/>
          <w:b/>
          <w:bCs/>
          <w:szCs w:val="20"/>
        </w:rPr>
      </w:pPr>
      <w:r w:rsidRPr="00DB209D">
        <w:rPr>
          <w:rFonts w:ascii="Times New Roman" w:hAnsi="Times New Roman" w:cs="Times New Roman"/>
          <w:b/>
          <w:bCs/>
          <w:szCs w:val="20"/>
        </w:rPr>
        <w:t>The details of the diagnoses of viable lesions were shown in the supplementary mater</w:t>
      </w:r>
      <w:r w:rsidR="00772572">
        <w:rPr>
          <w:rFonts w:ascii="Times New Roman" w:hAnsi="Times New Roman" w:cs="Times New Roman"/>
          <w:b/>
          <w:bCs/>
          <w:szCs w:val="20"/>
        </w:rPr>
        <w:t>i</w:t>
      </w:r>
      <w:r w:rsidRPr="00DB209D">
        <w:rPr>
          <w:rFonts w:ascii="Times New Roman" w:hAnsi="Times New Roman" w:cs="Times New Roman"/>
          <w:b/>
          <w:bCs/>
          <w:szCs w:val="20"/>
        </w:rPr>
        <w:t>al.</w:t>
      </w:r>
    </w:p>
    <w:p w14:paraId="379E01DC" w14:textId="15A170D4" w:rsidR="007D6D21" w:rsidRDefault="007D6D21" w:rsidP="00F318F3">
      <w:pPr>
        <w:spacing w:line="360" w:lineRule="auto"/>
        <w:rPr>
          <w:rFonts w:ascii="Times New Roman" w:hAnsi="Times New Roman" w:cs="Times New Roman"/>
          <w:szCs w:val="24"/>
        </w:rPr>
      </w:pPr>
      <w:r w:rsidRPr="009B4A01">
        <w:rPr>
          <w:rFonts w:ascii="Times New Roman" w:hAnsi="Times New Roman" w:cs="Times New Roman"/>
          <w:szCs w:val="24"/>
        </w:rPr>
        <w:t>First,</w:t>
      </w:r>
      <w:bookmarkStart w:id="8" w:name="OLE_LINK5"/>
      <w:r w:rsidRPr="009B4A01">
        <w:rPr>
          <w:rFonts w:ascii="Times New Roman" w:hAnsi="Times New Roman" w:cs="Times New Roman"/>
          <w:szCs w:val="24"/>
        </w:rPr>
        <w:t xml:space="preserve"> both CT and MRI indicated viable lesion and the patient was submitted to further treatment</w:t>
      </w:r>
      <w:r>
        <w:rPr>
          <w:rFonts w:ascii="Times New Roman" w:hAnsi="Times New Roman" w:cs="Times New Roman"/>
        </w:rPr>
        <w:t xml:space="preserve"> </w:t>
      </w:r>
      <w:r w:rsidRPr="009B4A01">
        <w:rPr>
          <w:rFonts w:ascii="Times New Roman" w:hAnsi="Times New Roman" w:cs="Times New Roman"/>
          <w:szCs w:val="24"/>
        </w:rPr>
        <w:t>(n=</w:t>
      </w:r>
      <w:r>
        <w:rPr>
          <w:rFonts w:ascii="Times New Roman" w:hAnsi="Times New Roman" w:cs="Times New Roman"/>
        </w:rPr>
        <w:t>42</w:t>
      </w:r>
      <w:r w:rsidRPr="009B4A01">
        <w:rPr>
          <w:rFonts w:ascii="Times New Roman" w:hAnsi="Times New Roman" w:cs="Times New Roman"/>
          <w:szCs w:val="24"/>
        </w:rPr>
        <w:t xml:space="preserve">). Second, biopsy or hepatectomy was performed and the lesion was confirmed to be viable </w:t>
      </w:r>
      <w:r w:rsidRPr="009B4A01">
        <w:rPr>
          <w:rFonts w:ascii="Times New Roman" w:hAnsi="Times New Roman" w:cs="Times New Roman"/>
          <w:szCs w:val="24"/>
        </w:rPr>
        <w:lastRenderedPageBreak/>
        <w:t>by histopathology</w:t>
      </w:r>
      <w:r w:rsidRPr="009B4A01">
        <w:rPr>
          <w:rFonts w:ascii="Times New Roman" w:hAnsi="Times New Roman" w:cs="Times New Roman"/>
          <w:szCs w:val="24"/>
        </w:rPr>
        <w:t>（</w:t>
      </w:r>
      <w:r w:rsidRPr="009B4A01">
        <w:rPr>
          <w:rFonts w:ascii="Times New Roman" w:hAnsi="Times New Roman" w:cs="Times New Roman"/>
          <w:szCs w:val="24"/>
        </w:rPr>
        <w:t>n=</w:t>
      </w:r>
      <w:r>
        <w:rPr>
          <w:rFonts w:ascii="Times New Roman" w:hAnsi="Times New Roman" w:cs="Times New Roman"/>
        </w:rPr>
        <w:t>25</w:t>
      </w:r>
      <w:r>
        <w:rPr>
          <w:rFonts w:ascii="Times New Roman" w:hAnsi="Times New Roman" w:cs="Times New Roman" w:hint="eastAsia"/>
        </w:rPr>
        <w:t>）</w:t>
      </w:r>
      <w:r w:rsidRPr="009B4A01">
        <w:rPr>
          <w:rFonts w:ascii="Times New Roman" w:hAnsi="Times New Roman" w:cs="Times New Roman"/>
          <w:szCs w:val="24"/>
        </w:rPr>
        <w:t>.</w:t>
      </w:r>
      <w:bookmarkEnd w:id="8"/>
      <w:r w:rsidRPr="009B4A01">
        <w:rPr>
          <w:rFonts w:ascii="Times New Roman" w:hAnsi="Times New Roman" w:cs="Times New Roman"/>
          <w:szCs w:val="24"/>
        </w:rPr>
        <w:t xml:space="preserve"> Third, the non-enhancement area or equivocal area became typical arterial enhancement with subsequent washout or an increase of 20% of the diameters of the equivocal area in the follow-up CT/MRI</w:t>
      </w:r>
      <w:r w:rsidRPr="009B4A01">
        <w:rPr>
          <w:rFonts w:ascii="Times New Roman" w:hAnsi="Times New Roman" w:cs="Times New Roman"/>
          <w:szCs w:val="24"/>
        </w:rPr>
        <w:t>（</w:t>
      </w:r>
      <w:r w:rsidRPr="009B4A01">
        <w:rPr>
          <w:rFonts w:ascii="Times New Roman" w:hAnsi="Times New Roman" w:cs="Times New Roman"/>
          <w:szCs w:val="24"/>
        </w:rPr>
        <w:t>n=</w:t>
      </w:r>
      <w:r>
        <w:rPr>
          <w:rFonts w:ascii="Times New Roman" w:hAnsi="Times New Roman" w:cs="Times New Roman"/>
        </w:rPr>
        <w:t>51</w:t>
      </w:r>
      <w:r w:rsidRPr="009B4A01">
        <w:rPr>
          <w:rFonts w:ascii="Times New Roman" w:hAnsi="Times New Roman" w:cs="Times New Roman"/>
          <w:szCs w:val="24"/>
        </w:rPr>
        <w:t>）</w:t>
      </w:r>
      <w:r w:rsidRPr="009B4A01">
        <w:rPr>
          <w:rFonts w:ascii="Times New Roman" w:hAnsi="Times New Roman" w:cs="Times New Roman"/>
          <w:szCs w:val="24"/>
        </w:rPr>
        <w:t>.</w:t>
      </w:r>
    </w:p>
    <w:p w14:paraId="47C6CF10" w14:textId="77777777" w:rsidR="005370FA" w:rsidRDefault="005370FA" w:rsidP="00F318F3">
      <w:pPr>
        <w:spacing w:line="360" w:lineRule="auto"/>
        <w:rPr>
          <w:rFonts w:ascii="Times New Roman" w:hAnsi="Times New Roman" w:cs="Times New Roman"/>
          <w:sz w:val="20"/>
          <w:szCs w:val="20"/>
        </w:rPr>
      </w:pPr>
    </w:p>
    <w:p w14:paraId="598E0B8D" w14:textId="2E74895F" w:rsidR="00022672" w:rsidRPr="00A317E0" w:rsidRDefault="005370FA" w:rsidP="00F318F3">
      <w:pPr>
        <w:spacing w:line="360" w:lineRule="auto"/>
        <w:rPr>
          <w:rFonts w:ascii="Times New Roman" w:hAnsi="Times New Roman" w:cs="Times New Roman"/>
          <w:sz w:val="20"/>
          <w:szCs w:val="20"/>
        </w:rPr>
      </w:pPr>
      <w:r>
        <w:rPr>
          <w:rFonts w:ascii="Times New Roman" w:hAnsi="Times New Roman" w:cs="Times New Roman" w:hint="eastAsia"/>
          <w:sz w:val="20"/>
          <w:szCs w:val="20"/>
        </w:rPr>
        <w:t>R</w:t>
      </w:r>
      <w:r>
        <w:rPr>
          <w:rFonts w:ascii="Times New Roman" w:hAnsi="Times New Roman" w:cs="Times New Roman"/>
          <w:sz w:val="20"/>
          <w:szCs w:val="20"/>
        </w:rPr>
        <w:t>eference:</w:t>
      </w:r>
    </w:p>
    <w:p w14:paraId="54CE2BEC" w14:textId="77777777" w:rsidR="00022672" w:rsidRPr="00A317E0" w:rsidRDefault="00022672" w:rsidP="00022672">
      <w:pPr>
        <w:pStyle w:val="EndNoteBibliography"/>
        <w:ind w:left="720" w:hanging="720"/>
        <w:rPr>
          <w:rFonts w:ascii="Times New Roman" w:hAnsi="Times New Roman" w:cs="Times New Roman"/>
          <w:szCs w:val="20"/>
        </w:rPr>
      </w:pPr>
      <w:r w:rsidRPr="00A317E0">
        <w:rPr>
          <w:rFonts w:ascii="Times New Roman" w:hAnsi="Times New Roman" w:cs="Times New Roman"/>
          <w:b/>
          <w:bCs/>
          <w:szCs w:val="20"/>
        </w:rPr>
        <w:fldChar w:fldCharType="begin"/>
      </w:r>
      <w:r w:rsidRPr="00A317E0">
        <w:rPr>
          <w:rFonts w:ascii="Times New Roman" w:hAnsi="Times New Roman" w:cs="Times New Roman"/>
          <w:b/>
          <w:bCs/>
          <w:szCs w:val="20"/>
        </w:rPr>
        <w:instrText xml:space="preserve"> ADDIN EN.REFLIST </w:instrText>
      </w:r>
      <w:r w:rsidRPr="00A317E0">
        <w:rPr>
          <w:rFonts w:ascii="Times New Roman" w:hAnsi="Times New Roman" w:cs="Times New Roman"/>
          <w:b/>
          <w:bCs/>
          <w:szCs w:val="20"/>
        </w:rPr>
        <w:fldChar w:fldCharType="separate"/>
      </w:r>
      <w:r w:rsidRPr="00A317E0">
        <w:rPr>
          <w:rFonts w:ascii="Times New Roman" w:hAnsi="Times New Roman" w:cs="Times New Roman"/>
          <w:szCs w:val="20"/>
        </w:rPr>
        <w:t>1</w:t>
      </w:r>
      <w:r w:rsidRPr="00A317E0">
        <w:rPr>
          <w:rFonts w:ascii="Times New Roman" w:hAnsi="Times New Roman" w:cs="Times New Roman"/>
          <w:szCs w:val="20"/>
        </w:rPr>
        <w:tab/>
        <w:t>European Association For The Study Of The L, European Organisation For R, Treatment Of C (2012) EASL-EORTC clinical practice guidelines: management of hepatocellular carcinoma. J Hepatol 56:908-943</w:t>
      </w:r>
    </w:p>
    <w:p w14:paraId="64D4E6ED" w14:textId="0477D3CE" w:rsidR="00F318F3" w:rsidRPr="00A317E0" w:rsidRDefault="00022672" w:rsidP="00022672">
      <w:pPr>
        <w:widowControl/>
        <w:jc w:val="left"/>
        <w:rPr>
          <w:rFonts w:ascii="Times New Roman" w:hAnsi="Times New Roman" w:cs="Times New Roman"/>
          <w:b/>
          <w:bCs/>
          <w:sz w:val="20"/>
          <w:szCs w:val="20"/>
        </w:rPr>
      </w:pPr>
      <w:r w:rsidRPr="00A317E0">
        <w:rPr>
          <w:rFonts w:ascii="Times New Roman" w:hAnsi="Times New Roman" w:cs="Times New Roman"/>
          <w:b/>
          <w:bCs/>
          <w:sz w:val="20"/>
          <w:szCs w:val="20"/>
        </w:rPr>
        <w:fldChar w:fldCharType="end"/>
      </w:r>
      <w:r w:rsidR="00F318F3" w:rsidRPr="00A317E0">
        <w:rPr>
          <w:rFonts w:ascii="Times New Roman" w:hAnsi="Times New Roman" w:cs="Times New Roman"/>
          <w:b/>
          <w:bCs/>
          <w:sz w:val="20"/>
          <w:szCs w:val="20"/>
        </w:rPr>
        <w:br w:type="page"/>
      </w:r>
    </w:p>
    <w:p w14:paraId="06107BC4" w14:textId="0484A382" w:rsidR="00D80DB8" w:rsidRPr="00A317E0" w:rsidRDefault="00645BF3" w:rsidP="00F318F3">
      <w:pPr>
        <w:spacing w:line="360" w:lineRule="auto"/>
        <w:rPr>
          <w:rFonts w:ascii="Times New Roman" w:hAnsi="Times New Roman" w:cs="Times New Roman"/>
          <w:b/>
          <w:bCs/>
          <w:sz w:val="20"/>
          <w:szCs w:val="20"/>
        </w:rPr>
      </w:pPr>
      <w:r w:rsidRPr="00A317E0">
        <w:rPr>
          <w:rFonts w:ascii="Times New Roman" w:hAnsi="Times New Roman" w:cs="Times New Roman"/>
          <w:b/>
          <w:bCs/>
          <w:sz w:val="20"/>
          <w:szCs w:val="20"/>
        </w:rPr>
        <w:lastRenderedPageBreak/>
        <w:t xml:space="preserve">Table </w:t>
      </w:r>
      <w:r w:rsidR="00280F11">
        <w:rPr>
          <w:rFonts w:ascii="Times New Roman" w:hAnsi="Times New Roman" w:cs="Times New Roman"/>
          <w:b/>
          <w:bCs/>
          <w:sz w:val="20"/>
          <w:szCs w:val="20"/>
        </w:rPr>
        <w:t>S</w:t>
      </w:r>
      <w:r w:rsidR="00280F11" w:rsidRPr="00A317E0">
        <w:rPr>
          <w:rFonts w:ascii="Times New Roman" w:hAnsi="Times New Roman" w:cs="Times New Roman"/>
          <w:b/>
          <w:bCs/>
          <w:sz w:val="20"/>
          <w:szCs w:val="20"/>
        </w:rPr>
        <w:t xml:space="preserve">1 </w:t>
      </w:r>
      <w:r w:rsidRPr="00A317E0">
        <w:rPr>
          <w:rFonts w:ascii="Times New Roman" w:hAnsi="Times New Roman" w:cs="Times New Roman"/>
          <w:b/>
          <w:bCs/>
          <w:sz w:val="20"/>
          <w:szCs w:val="20"/>
        </w:rPr>
        <w:t xml:space="preserve">Categories of </w:t>
      </w:r>
      <w:r w:rsidR="00D80DB8" w:rsidRPr="00A317E0">
        <w:rPr>
          <w:rFonts w:ascii="Times New Roman" w:hAnsi="Times New Roman" w:cs="Times New Roman"/>
          <w:b/>
          <w:bCs/>
          <w:sz w:val="20"/>
          <w:szCs w:val="20"/>
        </w:rPr>
        <w:t>CEUS</w:t>
      </w:r>
      <w:r w:rsidR="001B786C" w:rsidRPr="00A317E0">
        <w:rPr>
          <w:rFonts w:ascii="Times New Roman" w:hAnsi="Times New Roman" w:cs="Times New Roman"/>
          <w:b/>
          <w:bCs/>
          <w:sz w:val="20"/>
          <w:szCs w:val="20"/>
        </w:rPr>
        <w:t xml:space="preserve"> </w:t>
      </w:r>
      <w:r w:rsidR="00437BB3">
        <w:rPr>
          <w:rFonts w:ascii="Times New Roman" w:hAnsi="Times New Roman" w:cs="Times New Roman"/>
          <w:b/>
          <w:bCs/>
          <w:sz w:val="20"/>
          <w:szCs w:val="20"/>
        </w:rPr>
        <w:t>t</w:t>
      </w:r>
      <w:r w:rsidR="001B786C" w:rsidRPr="00A317E0">
        <w:rPr>
          <w:rFonts w:ascii="Times New Roman" w:hAnsi="Times New Roman" w:cs="Times New Roman"/>
          <w:b/>
          <w:bCs/>
          <w:sz w:val="20"/>
          <w:szCs w:val="20"/>
        </w:rPr>
        <w:t xml:space="preserve">reatment </w:t>
      </w:r>
      <w:r w:rsidR="00437BB3">
        <w:rPr>
          <w:rFonts w:ascii="Times New Roman" w:hAnsi="Times New Roman" w:cs="Times New Roman"/>
          <w:b/>
          <w:bCs/>
          <w:sz w:val="20"/>
          <w:szCs w:val="20"/>
        </w:rPr>
        <w:t>r</w:t>
      </w:r>
      <w:r w:rsidR="00437BB3" w:rsidRPr="00A317E0">
        <w:rPr>
          <w:rFonts w:ascii="Times New Roman" w:hAnsi="Times New Roman" w:cs="Times New Roman"/>
          <w:b/>
          <w:bCs/>
          <w:sz w:val="20"/>
          <w:szCs w:val="20"/>
        </w:rPr>
        <w:t xml:space="preserve">esponse </w:t>
      </w:r>
      <w:r w:rsidR="00437BB3">
        <w:rPr>
          <w:rFonts w:ascii="Times New Roman" w:hAnsi="Times New Roman" w:cs="Times New Roman"/>
          <w:b/>
          <w:bCs/>
          <w:sz w:val="20"/>
          <w:szCs w:val="20"/>
        </w:rPr>
        <w:t>f</w:t>
      </w:r>
      <w:r w:rsidR="00437BB3" w:rsidRPr="00A317E0">
        <w:rPr>
          <w:rFonts w:ascii="Times New Roman" w:hAnsi="Times New Roman" w:cs="Times New Roman"/>
          <w:b/>
          <w:bCs/>
          <w:sz w:val="20"/>
          <w:szCs w:val="20"/>
        </w:rPr>
        <w:t xml:space="preserve">eatures </w:t>
      </w:r>
      <w:r w:rsidR="001B786C" w:rsidRPr="00A317E0">
        <w:rPr>
          <w:rFonts w:ascii="Times New Roman" w:hAnsi="Times New Roman" w:cs="Times New Roman"/>
          <w:b/>
          <w:bCs/>
          <w:sz w:val="20"/>
          <w:szCs w:val="20"/>
        </w:rPr>
        <w:t>for liver treated lesion</w:t>
      </w:r>
      <w:r w:rsidR="00B97F6E" w:rsidRPr="00A317E0">
        <w:rPr>
          <w:rFonts w:ascii="Times New Roman" w:hAnsi="Times New Roman" w:cs="Times New Roman"/>
          <w:b/>
          <w:bCs/>
          <w:sz w:val="20"/>
          <w:szCs w:val="20"/>
        </w:rPr>
        <w:t>s</w:t>
      </w:r>
      <w:r w:rsidRPr="00A317E0">
        <w:rPr>
          <w:rFonts w:ascii="Times New Roman" w:hAnsi="Times New Roman" w:cs="Times New Roman"/>
          <w:b/>
          <w:bCs/>
          <w:sz w:val="20"/>
          <w:szCs w:val="20"/>
        </w:rPr>
        <w:t>.</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D80DB8" w:rsidRPr="00A317E0" w14:paraId="48F44236" w14:textId="77777777" w:rsidTr="00DB209D">
        <w:tc>
          <w:tcPr>
            <w:tcW w:w="4148" w:type="dxa"/>
            <w:tcBorders>
              <w:top w:val="single" w:sz="4" w:space="0" w:color="auto"/>
              <w:bottom w:val="single" w:sz="4" w:space="0" w:color="auto"/>
            </w:tcBorders>
          </w:tcPr>
          <w:p w14:paraId="52FFE07A" w14:textId="4EA21D6F" w:rsidR="00D80DB8" w:rsidRPr="00A317E0" w:rsidRDefault="00D80DB8"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Response Category</w:t>
            </w:r>
          </w:p>
        </w:tc>
        <w:tc>
          <w:tcPr>
            <w:tcW w:w="4148" w:type="dxa"/>
            <w:tcBorders>
              <w:top w:val="single" w:sz="4" w:space="0" w:color="auto"/>
              <w:bottom w:val="single" w:sz="4" w:space="0" w:color="auto"/>
            </w:tcBorders>
          </w:tcPr>
          <w:p w14:paraId="3D538A7A" w14:textId="6B6C30D3" w:rsidR="00D80DB8" w:rsidRPr="00A317E0" w:rsidRDefault="00D80DB8"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Criteria</w:t>
            </w:r>
          </w:p>
        </w:tc>
      </w:tr>
      <w:tr w:rsidR="00D80DB8" w:rsidRPr="00A317E0" w14:paraId="5C3D7321" w14:textId="77777777" w:rsidTr="00DB209D">
        <w:tc>
          <w:tcPr>
            <w:tcW w:w="4148" w:type="dxa"/>
            <w:tcBorders>
              <w:top w:val="single" w:sz="4" w:space="0" w:color="auto"/>
            </w:tcBorders>
          </w:tcPr>
          <w:p w14:paraId="5D9CEDED" w14:textId="1D2EFFF5" w:rsidR="00D80DB8" w:rsidRPr="00A317E0" w:rsidRDefault="001B786C"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CEUS TRA</w:t>
            </w:r>
            <w:r w:rsidR="00D80DB8" w:rsidRPr="00A317E0">
              <w:rPr>
                <w:rFonts w:ascii="Times New Roman" w:hAnsi="Times New Roman" w:cs="Times New Roman"/>
                <w:sz w:val="20"/>
                <w:szCs w:val="20"/>
              </w:rPr>
              <w:t xml:space="preserve"> </w:t>
            </w:r>
            <w:r w:rsidR="000C76EB" w:rsidRPr="00A317E0">
              <w:rPr>
                <w:rFonts w:ascii="Times New Roman" w:hAnsi="Times New Roman" w:cs="Times New Roman"/>
                <w:sz w:val="20"/>
                <w:szCs w:val="20"/>
              </w:rPr>
              <w:t>Nonviable</w:t>
            </w:r>
          </w:p>
        </w:tc>
        <w:tc>
          <w:tcPr>
            <w:tcW w:w="4148" w:type="dxa"/>
            <w:tcBorders>
              <w:top w:val="single" w:sz="4" w:space="0" w:color="auto"/>
            </w:tcBorders>
          </w:tcPr>
          <w:p w14:paraId="689AC9AA" w14:textId="77777777" w:rsidR="00D80DB8" w:rsidRPr="00A317E0" w:rsidRDefault="00D80DB8"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No lesional enhancement OR</w:t>
            </w:r>
          </w:p>
          <w:p w14:paraId="686094E8" w14:textId="05834651" w:rsidR="00D80DB8" w:rsidRPr="00A317E0" w:rsidRDefault="00D80DB8"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Treatment-specific expected enhancement pattern</w:t>
            </w:r>
          </w:p>
        </w:tc>
      </w:tr>
      <w:tr w:rsidR="00D80DB8" w:rsidRPr="00A317E0" w14:paraId="58407C3C" w14:textId="77777777" w:rsidTr="00DB209D">
        <w:tc>
          <w:tcPr>
            <w:tcW w:w="4148" w:type="dxa"/>
          </w:tcPr>
          <w:p w14:paraId="3C769394" w14:textId="3C2684BE" w:rsidR="00D80DB8" w:rsidRPr="00A317E0" w:rsidRDefault="001B786C"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CEUS TRA</w:t>
            </w:r>
            <w:r w:rsidR="00D80DB8" w:rsidRPr="00A317E0">
              <w:rPr>
                <w:rFonts w:ascii="Times New Roman" w:hAnsi="Times New Roman" w:cs="Times New Roman"/>
                <w:sz w:val="20"/>
                <w:szCs w:val="20"/>
              </w:rPr>
              <w:t xml:space="preserve"> Equivocal</w:t>
            </w:r>
          </w:p>
        </w:tc>
        <w:tc>
          <w:tcPr>
            <w:tcW w:w="4148" w:type="dxa"/>
          </w:tcPr>
          <w:p w14:paraId="2C085F65" w14:textId="7FB14A72" w:rsidR="00D80DB8" w:rsidRPr="00A317E0" w:rsidRDefault="00D80DB8"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Enhancement atypical for treatment-specific expected enhancement pattern and not meeting criteria for probably or definitely viable</w:t>
            </w:r>
          </w:p>
        </w:tc>
      </w:tr>
      <w:tr w:rsidR="00D80DB8" w:rsidRPr="00A317E0" w14:paraId="5F0C3055" w14:textId="77777777" w:rsidTr="00DB209D">
        <w:tc>
          <w:tcPr>
            <w:tcW w:w="4148" w:type="dxa"/>
          </w:tcPr>
          <w:p w14:paraId="3CEADBC5" w14:textId="59880F05" w:rsidR="00D80DB8" w:rsidRPr="00A317E0" w:rsidRDefault="001B786C"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CEUS TRA</w:t>
            </w:r>
            <w:r w:rsidR="00D80DB8" w:rsidRPr="00A317E0">
              <w:rPr>
                <w:rFonts w:ascii="Times New Roman" w:hAnsi="Times New Roman" w:cs="Times New Roman"/>
                <w:sz w:val="20"/>
                <w:szCs w:val="20"/>
              </w:rPr>
              <w:t xml:space="preserve"> Viable</w:t>
            </w:r>
          </w:p>
        </w:tc>
        <w:tc>
          <w:tcPr>
            <w:tcW w:w="4148" w:type="dxa"/>
          </w:tcPr>
          <w:p w14:paraId="12E28195" w14:textId="77777777" w:rsidR="00D80DB8" w:rsidRPr="00A317E0" w:rsidRDefault="00D80DB8"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Nodular, masslike, or thick irregular tissue in or along the treated lesion with any of the following:</w:t>
            </w:r>
          </w:p>
          <w:p w14:paraId="2B55084F" w14:textId="77777777" w:rsidR="00D80DB8" w:rsidRPr="00A317E0" w:rsidRDefault="00D80DB8"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Arterial phase hyperenhancement OR</w:t>
            </w:r>
          </w:p>
          <w:p w14:paraId="1F812228" w14:textId="77777777" w:rsidR="00D80DB8" w:rsidRPr="00A317E0" w:rsidRDefault="00D80DB8"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Washout appearance OR</w:t>
            </w:r>
          </w:p>
          <w:p w14:paraId="18FDE378" w14:textId="581E6A7D" w:rsidR="00D80DB8" w:rsidRPr="00A317E0" w:rsidRDefault="00D80DB8" w:rsidP="00F318F3">
            <w:pPr>
              <w:spacing w:line="360" w:lineRule="auto"/>
              <w:rPr>
                <w:rFonts w:ascii="Times New Roman" w:hAnsi="Times New Roman" w:cs="Times New Roman"/>
                <w:sz w:val="20"/>
                <w:szCs w:val="20"/>
              </w:rPr>
            </w:pPr>
            <w:r w:rsidRPr="00A317E0">
              <w:rPr>
                <w:rFonts w:ascii="Times New Roman" w:hAnsi="Times New Roman" w:cs="Times New Roman"/>
                <w:sz w:val="20"/>
                <w:szCs w:val="20"/>
              </w:rPr>
              <w:t>Enhancement similar to pretreatment</w:t>
            </w:r>
          </w:p>
        </w:tc>
      </w:tr>
    </w:tbl>
    <w:p w14:paraId="7B339F5D" w14:textId="72D52E4A" w:rsidR="00D80DB8" w:rsidRPr="00DB209D" w:rsidRDefault="00437BB3" w:rsidP="00F318F3">
      <w:pPr>
        <w:spacing w:line="360" w:lineRule="auto"/>
        <w:rPr>
          <w:rFonts w:ascii="Times New Roman" w:hAnsi="Times New Roman" w:cs="Times New Roman"/>
          <w:sz w:val="18"/>
          <w:szCs w:val="18"/>
        </w:rPr>
      </w:pPr>
      <w:r w:rsidRPr="00DB209D">
        <w:rPr>
          <w:rFonts w:ascii="Times New Roman" w:eastAsia="等线" w:hAnsi="Times New Roman" w:cs="Times New Roman"/>
          <w:color w:val="000000"/>
          <w:kern w:val="0"/>
          <w:sz w:val="18"/>
          <w:szCs w:val="18"/>
        </w:rPr>
        <w:t>Note. - TRA = t</w:t>
      </w:r>
      <w:r w:rsidR="000079F7" w:rsidRPr="00DB209D">
        <w:rPr>
          <w:rFonts w:ascii="Times New Roman" w:eastAsia="等线" w:hAnsi="Times New Roman" w:cs="Times New Roman"/>
          <w:color w:val="000000"/>
          <w:kern w:val="0"/>
          <w:sz w:val="18"/>
          <w:szCs w:val="18"/>
        </w:rPr>
        <w:t xml:space="preserve">reatment </w:t>
      </w:r>
      <w:r w:rsidRPr="00DB209D">
        <w:rPr>
          <w:rFonts w:ascii="Times New Roman" w:eastAsia="等线" w:hAnsi="Times New Roman" w:cs="Times New Roman"/>
          <w:color w:val="000000"/>
          <w:kern w:val="0"/>
          <w:sz w:val="18"/>
          <w:szCs w:val="18"/>
        </w:rPr>
        <w:t>r</w:t>
      </w:r>
      <w:r w:rsidR="000079F7" w:rsidRPr="00DB209D">
        <w:rPr>
          <w:rFonts w:ascii="Times New Roman" w:eastAsia="等线" w:hAnsi="Times New Roman" w:cs="Times New Roman"/>
          <w:color w:val="000000"/>
          <w:kern w:val="0"/>
          <w:sz w:val="18"/>
          <w:szCs w:val="18"/>
        </w:rPr>
        <w:t xml:space="preserve">esponse </w:t>
      </w:r>
      <w:r w:rsidRPr="00DB209D">
        <w:rPr>
          <w:rFonts w:ascii="Times New Roman" w:eastAsia="等线" w:hAnsi="Times New Roman" w:cs="Times New Roman"/>
          <w:color w:val="000000"/>
          <w:kern w:val="0"/>
          <w:sz w:val="18"/>
          <w:szCs w:val="18"/>
        </w:rPr>
        <w:t>a</w:t>
      </w:r>
      <w:r w:rsidR="000079F7" w:rsidRPr="00DB209D">
        <w:rPr>
          <w:rFonts w:ascii="Times New Roman" w:eastAsia="等线" w:hAnsi="Times New Roman" w:cs="Times New Roman"/>
          <w:color w:val="000000"/>
          <w:kern w:val="0"/>
          <w:sz w:val="18"/>
          <w:szCs w:val="18"/>
        </w:rPr>
        <w:t>lgorithm</w:t>
      </w:r>
      <w:r w:rsidRPr="00DB209D">
        <w:rPr>
          <w:rFonts w:ascii="Times New Roman" w:eastAsia="等线" w:hAnsi="Times New Roman" w:cs="Times New Roman"/>
          <w:color w:val="000000"/>
          <w:kern w:val="0"/>
          <w:sz w:val="18"/>
          <w:szCs w:val="18"/>
        </w:rPr>
        <w:t>;</w:t>
      </w:r>
      <w:r w:rsidR="00DB209D">
        <w:rPr>
          <w:rFonts w:ascii="Times New Roman" w:eastAsia="等线" w:hAnsi="Times New Roman" w:cs="Times New Roman"/>
          <w:color w:val="000000"/>
          <w:kern w:val="0"/>
          <w:sz w:val="18"/>
          <w:szCs w:val="18"/>
        </w:rPr>
        <w:t xml:space="preserve"> </w:t>
      </w:r>
      <w:r w:rsidRPr="00437BB3">
        <w:rPr>
          <w:rFonts w:ascii="Times New Roman" w:eastAsia="等线" w:hAnsi="Times New Roman" w:cs="Times New Roman"/>
          <w:color w:val="000000"/>
          <w:kern w:val="0"/>
          <w:sz w:val="18"/>
          <w:szCs w:val="18"/>
        </w:rPr>
        <w:t>CEUS = contrast-enhanced ultrasonography</w:t>
      </w:r>
      <w:r w:rsidR="00C67E14">
        <w:rPr>
          <w:rFonts w:ascii="Times New Roman" w:eastAsia="等线" w:hAnsi="Times New Roman" w:cs="Times New Roman"/>
          <w:color w:val="000000"/>
          <w:kern w:val="0"/>
          <w:sz w:val="18"/>
          <w:szCs w:val="18"/>
        </w:rPr>
        <w:t>.</w:t>
      </w:r>
    </w:p>
    <w:p w14:paraId="20279E17" w14:textId="77777777" w:rsidR="00F318F3" w:rsidRPr="00A317E0" w:rsidRDefault="00F318F3">
      <w:pPr>
        <w:widowControl/>
        <w:jc w:val="left"/>
        <w:rPr>
          <w:rFonts w:ascii="Times New Roman" w:hAnsi="Times New Roman" w:cs="Times New Roman"/>
          <w:b/>
          <w:bCs/>
          <w:sz w:val="20"/>
          <w:szCs w:val="20"/>
        </w:rPr>
      </w:pPr>
      <w:r w:rsidRPr="00A317E0">
        <w:rPr>
          <w:rFonts w:ascii="Times New Roman" w:hAnsi="Times New Roman" w:cs="Times New Roman"/>
          <w:b/>
          <w:bCs/>
          <w:sz w:val="20"/>
          <w:szCs w:val="20"/>
        </w:rPr>
        <w:br w:type="page"/>
      </w:r>
    </w:p>
    <w:p w14:paraId="607D3C29" w14:textId="5771C6D7" w:rsidR="00D80DB8" w:rsidRPr="00A317E0" w:rsidRDefault="00645BF3" w:rsidP="00F318F3">
      <w:pPr>
        <w:spacing w:line="360" w:lineRule="auto"/>
        <w:rPr>
          <w:rFonts w:ascii="Times New Roman" w:hAnsi="Times New Roman" w:cs="Times New Roman"/>
          <w:b/>
          <w:bCs/>
          <w:sz w:val="20"/>
          <w:szCs w:val="20"/>
        </w:rPr>
      </w:pPr>
      <w:r w:rsidRPr="00A317E0">
        <w:rPr>
          <w:rFonts w:ascii="Times New Roman" w:hAnsi="Times New Roman" w:cs="Times New Roman"/>
          <w:b/>
          <w:bCs/>
          <w:sz w:val="20"/>
          <w:szCs w:val="20"/>
        </w:rPr>
        <w:lastRenderedPageBreak/>
        <w:t xml:space="preserve">Table </w:t>
      </w:r>
      <w:r w:rsidR="00280F11">
        <w:rPr>
          <w:rFonts w:ascii="Times New Roman" w:hAnsi="Times New Roman" w:cs="Times New Roman"/>
          <w:b/>
          <w:bCs/>
          <w:sz w:val="20"/>
          <w:szCs w:val="20"/>
        </w:rPr>
        <w:t>S</w:t>
      </w:r>
      <w:r w:rsidR="00280F11" w:rsidRPr="00A317E0">
        <w:rPr>
          <w:rFonts w:ascii="Times New Roman" w:hAnsi="Times New Roman" w:cs="Times New Roman"/>
          <w:b/>
          <w:bCs/>
          <w:sz w:val="20"/>
          <w:szCs w:val="20"/>
        </w:rPr>
        <w:t xml:space="preserve">2 </w:t>
      </w:r>
      <w:r w:rsidR="00D80DB8" w:rsidRPr="00A317E0">
        <w:rPr>
          <w:rFonts w:ascii="Times New Roman" w:hAnsi="Times New Roman" w:cs="Times New Roman"/>
          <w:b/>
          <w:bCs/>
          <w:sz w:val="20"/>
          <w:szCs w:val="20"/>
        </w:rPr>
        <w:t>CEUS</w:t>
      </w:r>
      <w:r w:rsidRPr="00A317E0">
        <w:rPr>
          <w:rFonts w:ascii="Times New Roman" w:hAnsi="Times New Roman" w:cs="Times New Roman"/>
          <w:b/>
          <w:bCs/>
          <w:sz w:val="20"/>
          <w:szCs w:val="20"/>
        </w:rPr>
        <w:t xml:space="preserve"> </w:t>
      </w:r>
      <w:r w:rsidR="00016BDA">
        <w:rPr>
          <w:rFonts w:ascii="Times New Roman" w:hAnsi="Times New Roman" w:cs="Times New Roman"/>
          <w:b/>
          <w:bCs/>
          <w:sz w:val="20"/>
          <w:szCs w:val="20"/>
        </w:rPr>
        <w:t>t</w:t>
      </w:r>
      <w:r w:rsidR="00D80DB8" w:rsidRPr="00A317E0">
        <w:rPr>
          <w:rFonts w:ascii="Times New Roman" w:hAnsi="Times New Roman" w:cs="Times New Roman"/>
          <w:b/>
          <w:bCs/>
          <w:sz w:val="20"/>
          <w:szCs w:val="20"/>
        </w:rPr>
        <w:t xml:space="preserve">reatment </w:t>
      </w:r>
      <w:r w:rsidR="00016BDA">
        <w:rPr>
          <w:rFonts w:ascii="Times New Roman" w:hAnsi="Times New Roman" w:cs="Times New Roman"/>
          <w:b/>
          <w:bCs/>
          <w:sz w:val="20"/>
          <w:szCs w:val="20"/>
        </w:rPr>
        <w:t>r</w:t>
      </w:r>
      <w:r w:rsidR="00016BDA" w:rsidRPr="00A317E0">
        <w:rPr>
          <w:rFonts w:ascii="Times New Roman" w:hAnsi="Times New Roman" w:cs="Times New Roman"/>
          <w:b/>
          <w:bCs/>
          <w:sz w:val="20"/>
          <w:szCs w:val="20"/>
        </w:rPr>
        <w:t xml:space="preserve">esponse </w:t>
      </w:r>
      <w:r w:rsidR="00016BDA">
        <w:rPr>
          <w:rFonts w:ascii="Times New Roman" w:hAnsi="Times New Roman" w:cs="Times New Roman"/>
          <w:b/>
          <w:bCs/>
          <w:sz w:val="20"/>
          <w:szCs w:val="20"/>
        </w:rPr>
        <w:t>f</w:t>
      </w:r>
      <w:r w:rsidR="00016BDA" w:rsidRPr="00A317E0">
        <w:rPr>
          <w:rFonts w:ascii="Times New Roman" w:hAnsi="Times New Roman" w:cs="Times New Roman"/>
          <w:b/>
          <w:bCs/>
          <w:sz w:val="20"/>
          <w:szCs w:val="20"/>
        </w:rPr>
        <w:t xml:space="preserve">eatures </w:t>
      </w:r>
      <w:r w:rsidR="001B786C" w:rsidRPr="00A317E0">
        <w:rPr>
          <w:rFonts w:ascii="Times New Roman" w:hAnsi="Times New Roman" w:cs="Times New Roman"/>
          <w:b/>
          <w:bCs/>
          <w:sz w:val="20"/>
          <w:szCs w:val="20"/>
        </w:rPr>
        <w:t>for liver treated lesion</w:t>
      </w:r>
      <w:r w:rsidR="00B97F6E" w:rsidRPr="00A317E0">
        <w:rPr>
          <w:rFonts w:ascii="Times New Roman" w:hAnsi="Times New Roman" w:cs="Times New Roman"/>
          <w:b/>
          <w:bCs/>
          <w:sz w:val="20"/>
          <w:szCs w:val="20"/>
        </w:rPr>
        <w:t>s</w:t>
      </w:r>
      <w:r w:rsidRPr="00A317E0">
        <w:rPr>
          <w:rFonts w:ascii="Times New Roman" w:hAnsi="Times New Roman" w:cs="Times New Roman"/>
          <w:b/>
          <w:bCs/>
          <w:sz w:val="20"/>
          <w:szCs w:val="20"/>
        </w:rPr>
        <w:t>.</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E6B7F" w:rsidRPr="00A317E0" w14:paraId="49C2756C" w14:textId="77777777" w:rsidTr="002E6B7F">
        <w:tc>
          <w:tcPr>
            <w:tcW w:w="4148" w:type="dxa"/>
            <w:tcBorders>
              <w:top w:val="single" w:sz="4" w:space="0" w:color="auto"/>
              <w:bottom w:val="single" w:sz="4" w:space="0" w:color="auto"/>
            </w:tcBorders>
          </w:tcPr>
          <w:p w14:paraId="2042725A" w14:textId="5F494B84" w:rsidR="002E6B7F" w:rsidRPr="00A317E0" w:rsidRDefault="002E6B7F" w:rsidP="002E6B7F">
            <w:pPr>
              <w:spacing w:line="360" w:lineRule="auto"/>
              <w:rPr>
                <w:rFonts w:ascii="Times New Roman" w:hAnsi="Times New Roman" w:cs="Times New Roman"/>
                <w:sz w:val="20"/>
                <w:szCs w:val="20"/>
              </w:rPr>
            </w:pPr>
            <w:r w:rsidRPr="002E6B7F">
              <w:rPr>
                <w:rFonts w:ascii="Times New Roman" w:hAnsi="Times New Roman" w:cs="Times New Roman"/>
                <w:sz w:val="20"/>
                <w:szCs w:val="20"/>
              </w:rPr>
              <w:t>CEUS treatment response features</w:t>
            </w:r>
          </w:p>
        </w:tc>
        <w:tc>
          <w:tcPr>
            <w:tcW w:w="4148" w:type="dxa"/>
            <w:tcBorders>
              <w:top w:val="single" w:sz="4" w:space="0" w:color="auto"/>
              <w:bottom w:val="single" w:sz="4" w:space="0" w:color="auto"/>
            </w:tcBorders>
          </w:tcPr>
          <w:p w14:paraId="3029AC44" w14:textId="3B3F6431" w:rsidR="002E6B7F" w:rsidRPr="00A317E0" w:rsidRDefault="002E6B7F" w:rsidP="002E6B7F">
            <w:pPr>
              <w:spacing w:line="360" w:lineRule="auto"/>
              <w:rPr>
                <w:rFonts w:ascii="Times New Roman" w:hAnsi="Times New Roman" w:cs="Times New Roman"/>
                <w:sz w:val="20"/>
                <w:szCs w:val="20"/>
              </w:rPr>
            </w:pPr>
            <w:r w:rsidRPr="00A317E0">
              <w:rPr>
                <w:rFonts w:ascii="Times New Roman" w:hAnsi="Times New Roman" w:cs="Times New Roman"/>
                <w:sz w:val="20"/>
                <w:szCs w:val="20"/>
              </w:rPr>
              <w:t>Criteria</w:t>
            </w:r>
          </w:p>
        </w:tc>
      </w:tr>
      <w:tr w:rsidR="002E6B7F" w:rsidRPr="00A317E0" w14:paraId="48C8BBC5" w14:textId="77777777" w:rsidTr="002E6B7F">
        <w:tc>
          <w:tcPr>
            <w:tcW w:w="4148" w:type="dxa"/>
            <w:tcBorders>
              <w:top w:val="single" w:sz="4" w:space="0" w:color="auto"/>
            </w:tcBorders>
          </w:tcPr>
          <w:p w14:paraId="6DE7388C" w14:textId="662CE8B9" w:rsidR="002E6B7F" w:rsidRPr="00A317E0" w:rsidRDefault="002E6B7F" w:rsidP="002E6B7F">
            <w:pPr>
              <w:spacing w:line="360" w:lineRule="auto"/>
              <w:rPr>
                <w:rFonts w:ascii="Times New Roman" w:hAnsi="Times New Roman" w:cs="Times New Roman"/>
                <w:sz w:val="20"/>
                <w:szCs w:val="20"/>
              </w:rPr>
            </w:pPr>
            <w:bookmarkStart w:id="9" w:name="_Hlk77880976"/>
            <w:r w:rsidRPr="00A317E0">
              <w:rPr>
                <w:rFonts w:ascii="Times New Roman" w:hAnsi="Times New Roman" w:cs="Times New Roman"/>
                <w:sz w:val="20"/>
                <w:szCs w:val="20"/>
              </w:rPr>
              <w:t>Treatment-specific expected enhancement</w:t>
            </w:r>
            <w:bookmarkEnd w:id="9"/>
          </w:p>
        </w:tc>
        <w:tc>
          <w:tcPr>
            <w:tcW w:w="4148" w:type="dxa"/>
            <w:tcBorders>
              <w:top w:val="single" w:sz="4" w:space="0" w:color="auto"/>
            </w:tcBorders>
          </w:tcPr>
          <w:p w14:paraId="5A7154A2" w14:textId="465CE32E" w:rsidR="002E6B7F" w:rsidRPr="00A317E0" w:rsidRDefault="002E6B7F" w:rsidP="002E6B7F">
            <w:pPr>
              <w:spacing w:line="360" w:lineRule="auto"/>
              <w:rPr>
                <w:rFonts w:ascii="Times New Roman" w:hAnsi="Times New Roman" w:cs="Times New Roman"/>
                <w:sz w:val="20"/>
                <w:szCs w:val="20"/>
              </w:rPr>
            </w:pPr>
            <w:bookmarkStart w:id="10" w:name="_Hlk77881004"/>
            <w:r w:rsidRPr="00A317E0">
              <w:rPr>
                <w:rFonts w:ascii="Times New Roman" w:hAnsi="Times New Roman" w:cs="Times New Roman"/>
                <w:sz w:val="20"/>
                <w:szCs w:val="20"/>
              </w:rPr>
              <w:t>Expected temporal and spatial pattern of posttreatment enhancement attributable to treatment-related changes in parenchymal perfusion.</w:t>
            </w:r>
            <w:bookmarkEnd w:id="10"/>
          </w:p>
        </w:tc>
      </w:tr>
      <w:tr w:rsidR="002E6B7F" w:rsidRPr="00A317E0" w14:paraId="04763983" w14:textId="77777777" w:rsidTr="002E6B7F">
        <w:tc>
          <w:tcPr>
            <w:tcW w:w="4148" w:type="dxa"/>
          </w:tcPr>
          <w:p w14:paraId="57D84424" w14:textId="3AB51B9E" w:rsidR="002E6B7F" w:rsidRPr="00A317E0" w:rsidRDefault="002E6B7F" w:rsidP="002E6B7F">
            <w:pPr>
              <w:spacing w:line="360" w:lineRule="auto"/>
              <w:rPr>
                <w:rFonts w:ascii="Times New Roman" w:hAnsi="Times New Roman" w:cs="Times New Roman"/>
                <w:sz w:val="20"/>
                <w:szCs w:val="20"/>
              </w:rPr>
            </w:pPr>
            <w:bookmarkStart w:id="11" w:name="_Hlk77881013"/>
            <w:r w:rsidRPr="00A317E0">
              <w:rPr>
                <w:rFonts w:ascii="Times New Roman" w:hAnsi="Times New Roman" w:cs="Times New Roman"/>
                <w:sz w:val="20"/>
                <w:szCs w:val="20"/>
              </w:rPr>
              <w:t>No lesional enhancement</w:t>
            </w:r>
          </w:p>
        </w:tc>
        <w:tc>
          <w:tcPr>
            <w:tcW w:w="4148" w:type="dxa"/>
          </w:tcPr>
          <w:p w14:paraId="1EBAEF2C" w14:textId="4F331A93" w:rsidR="002E6B7F" w:rsidRPr="00A317E0" w:rsidRDefault="002E6B7F" w:rsidP="002E6B7F">
            <w:pPr>
              <w:spacing w:line="360" w:lineRule="auto"/>
              <w:rPr>
                <w:rFonts w:ascii="Times New Roman" w:hAnsi="Times New Roman" w:cs="Times New Roman"/>
                <w:sz w:val="20"/>
                <w:szCs w:val="20"/>
              </w:rPr>
            </w:pPr>
            <w:r w:rsidRPr="00A317E0">
              <w:rPr>
                <w:rFonts w:ascii="Times New Roman" w:hAnsi="Times New Roman" w:cs="Times New Roman"/>
                <w:sz w:val="20"/>
                <w:szCs w:val="20"/>
              </w:rPr>
              <w:t>Absence of enhancement within or along the margin of a treated lesion. Complete disappearance after locoregional treatment is considered equivalent to absence of enhancement.</w:t>
            </w:r>
          </w:p>
        </w:tc>
      </w:tr>
      <w:tr w:rsidR="002E6B7F" w:rsidRPr="00A317E0" w14:paraId="7E271D1A" w14:textId="77777777" w:rsidTr="002E6B7F">
        <w:tc>
          <w:tcPr>
            <w:tcW w:w="4148" w:type="dxa"/>
          </w:tcPr>
          <w:p w14:paraId="468917DA" w14:textId="3AD98616" w:rsidR="002E6B7F" w:rsidRPr="00A317E0" w:rsidRDefault="002E6B7F" w:rsidP="002E6B7F">
            <w:pPr>
              <w:spacing w:line="360" w:lineRule="auto"/>
              <w:rPr>
                <w:rFonts w:ascii="Times New Roman" w:hAnsi="Times New Roman" w:cs="Times New Roman"/>
                <w:sz w:val="20"/>
                <w:szCs w:val="20"/>
              </w:rPr>
            </w:pPr>
            <w:bookmarkStart w:id="12" w:name="OLE_LINK1"/>
            <w:bookmarkEnd w:id="11"/>
            <w:r w:rsidRPr="00A317E0">
              <w:rPr>
                <w:rFonts w:ascii="Times New Roman" w:hAnsi="Times New Roman" w:cs="Times New Roman"/>
                <w:sz w:val="20"/>
                <w:szCs w:val="20"/>
              </w:rPr>
              <w:t>Posttreatment APHE</w:t>
            </w:r>
            <w:bookmarkEnd w:id="12"/>
          </w:p>
        </w:tc>
        <w:tc>
          <w:tcPr>
            <w:tcW w:w="4148" w:type="dxa"/>
          </w:tcPr>
          <w:p w14:paraId="1464E80E" w14:textId="072DCDD1" w:rsidR="002E6B7F" w:rsidRPr="00A317E0" w:rsidRDefault="002E6B7F" w:rsidP="002E6B7F">
            <w:pPr>
              <w:spacing w:line="360" w:lineRule="auto"/>
              <w:rPr>
                <w:rFonts w:ascii="Times New Roman" w:hAnsi="Times New Roman" w:cs="Times New Roman"/>
                <w:sz w:val="20"/>
                <w:szCs w:val="20"/>
              </w:rPr>
            </w:pPr>
            <w:r w:rsidRPr="00A317E0">
              <w:rPr>
                <w:rFonts w:ascii="Times New Roman" w:hAnsi="Times New Roman" w:cs="Times New Roman"/>
                <w:sz w:val="20"/>
                <w:szCs w:val="20"/>
              </w:rPr>
              <w:t>Nodular, masslike, or thick and irregular APHE contained within or along the margin of a treated lesion suggests posttreatment tumor viability.</w:t>
            </w:r>
          </w:p>
        </w:tc>
      </w:tr>
      <w:tr w:rsidR="002E6B7F" w:rsidRPr="00A317E0" w14:paraId="7FACD986" w14:textId="77777777" w:rsidTr="002E6B7F">
        <w:tc>
          <w:tcPr>
            <w:tcW w:w="4148" w:type="dxa"/>
          </w:tcPr>
          <w:p w14:paraId="3D945B3E" w14:textId="55762D28" w:rsidR="002E6B7F" w:rsidRPr="00A317E0" w:rsidRDefault="002E6B7F" w:rsidP="002E6B7F">
            <w:pPr>
              <w:spacing w:line="360" w:lineRule="auto"/>
              <w:rPr>
                <w:rFonts w:ascii="Times New Roman" w:hAnsi="Times New Roman" w:cs="Times New Roman"/>
                <w:sz w:val="20"/>
                <w:szCs w:val="20"/>
              </w:rPr>
            </w:pPr>
            <w:bookmarkStart w:id="13" w:name="_Hlk77880958"/>
            <w:r w:rsidRPr="00A317E0">
              <w:rPr>
                <w:rFonts w:ascii="Times New Roman" w:hAnsi="Times New Roman" w:cs="Times New Roman"/>
                <w:sz w:val="20"/>
                <w:szCs w:val="20"/>
              </w:rPr>
              <w:t>Posttreatment washout</w:t>
            </w:r>
            <w:bookmarkEnd w:id="13"/>
          </w:p>
        </w:tc>
        <w:tc>
          <w:tcPr>
            <w:tcW w:w="4148" w:type="dxa"/>
          </w:tcPr>
          <w:p w14:paraId="7F7D2978" w14:textId="2C5B15ED" w:rsidR="002E6B7F" w:rsidRPr="00A317E0" w:rsidRDefault="002E6B7F" w:rsidP="002E6B7F">
            <w:pPr>
              <w:spacing w:line="360" w:lineRule="auto"/>
              <w:rPr>
                <w:rFonts w:ascii="Times New Roman" w:hAnsi="Times New Roman" w:cs="Times New Roman"/>
                <w:sz w:val="20"/>
                <w:szCs w:val="20"/>
              </w:rPr>
            </w:pPr>
            <w:bookmarkStart w:id="14" w:name="_Hlk77880948"/>
            <w:r w:rsidRPr="00A317E0">
              <w:rPr>
                <w:rFonts w:ascii="Times New Roman" w:hAnsi="Times New Roman" w:cs="Times New Roman"/>
                <w:sz w:val="20"/>
                <w:szCs w:val="20"/>
              </w:rPr>
              <w:t>Nodular, masslike, or thick and irregular washout appearance contained within or along the margin of a treated lesion suggests posttreatment tumor viability.</w:t>
            </w:r>
            <w:bookmarkEnd w:id="14"/>
          </w:p>
        </w:tc>
      </w:tr>
      <w:tr w:rsidR="002E6B7F" w:rsidRPr="00A317E0" w14:paraId="58F64F91" w14:textId="77777777" w:rsidTr="002E6B7F">
        <w:tc>
          <w:tcPr>
            <w:tcW w:w="4148" w:type="dxa"/>
          </w:tcPr>
          <w:p w14:paraId="2521F07A" w14:textId="5F88D078" w:rsidR="002E6B7F" w:rsidRPr="00A317E0" w:rsidRDefault="002E6B7F" w:rsidP="002E6B7F">
            <w:pPr>
              <w:spacing w:line="360" w:lineRule="auto"/>
              <w:rPr>
                <w:rFonts w:ascii="Times New Roman" w:hAnsi="Times New Roman" w:cs="Times New Roman"/>
                <w:sz w:val="20"/>
                <w:szCs w:val="20"/>
              </w:rPr>
            </w:pPr>
            <w:r w:rsidRPr="00A317E0">
              <w:rPr>
                <w:rFonts w:ascii="Times New Roman" w:hAnsi="Times New Roman" w:cs="Times New Roman"/>
                <w:sz w:val="20"/>
                <w:szCs w:val="20"/>
              </w:rPr>
              <w:t>Posttreatment enhancement similar to pretreatment</w:t>
            </w:r>
          </w:p>
        </w:tc>
        <w:tc>
          <w:tcPr>
            <w:tcW w:w="4148" w:type="dxa"/>
          </w:tcPr>
          <w:p w14:paraId="22134978" w14:textId="18E3B050" w:rsidR="002E6B7F" w:rsidRPr="00A317E0" w:rsidRDefault="002E6B7F" w:rsidP="002E6B7F">
            <w:pPr>
              <w:spacing w:line="360" w:lineRule="auto"/>
              <w:rPr>
                <w:rFonts w:ascii="Times New Roman" w:hAnsi="Times New Roman" w:cs="Times New Roman"/>
                <w:sz w:val="20"/>
                <w:szCs w:val="20"/>
              </w:rPr>
            </w:pPr>
            <w:r w:rsidRPr="00A317E0">
              <w:rPr>
                <w:rFonts w:ascii="Times New Roman" w:hAnsi="Times New Roman" w:cs="Times New Roman"/>
                <w:sz w:val="20"/>
                <w:szCs w:val="20"/>
              </w:rPr>
              <w:t>Nodular, masslike, or thick and irregular enhancement similar to pretreatment enhancement in all postcontrast phases contained within or along the margin of a treated lesion suggests posttreatment tumor viability, even in the absence of APHE or washout appearance.</w:t>
            </w:r>
          </w:p>
        </w:tc>
      </w:tr>
    </w:tbl>
    <w:p w14:paraId="162BA0DA" w14:textId="7C70642B" w:rsidR="008D0C40" w:rsidRPr="00DB209D" w:rsidRDefault="000079F7" w:rsidP="00F318F3">
      <w:pPr>
        <w:spacing w:line="360" w:lineRule="auto"/>
        <w:rPr>
          <w:rFonts w:ascii="Times New Roman" w:hAnsi="Times New Roman" w:cs="Times New Roman"/>
          <w:sz w:val="18"/>
          <w:szCs w:val="18"/>
        </w:rPr>
      </w:pPr>
      <w:r w:rsidRPr="00DB209D">
        <w:rPr>
          <w:rFonts w:ascii="Times New Roman" w:eastAsia="等线" w:hAnsi="Times New Roman" w:cs="Times New Roman"/>
          <w:color w:val="000000"/>
          <w:kern w:val="0"/>
          <w:sz w:val="18"/>
          <w:szCs w:val="18"/>
        </w:rPr>
        <w:t>Note. - APHE=arterial phase hyperenhancement</w:t>
      </w:r>
      <w:r w:rsidR="00437BB3">
        <w:rPr>
          <w:rFonts w:ascii="Times New Roman" w:eastAsia="等线" w:hAnsi="Times New Roman" w:cs="Times New Roman"/>
          <w:color w:val="000000"/>
          <w:kern w:val="0"/>
          <w:sz w:val="18"/>
          <w:szCs w:val="18"/>
        </w:rPr>
        <w:t>.</w:t>
      </w:r>
    </w:p>
    <w:p w14:paraId="37F588C8" w14:textId="77777777" w:rsidR="00F318F3" w:rsidRPr="00A317E0" w:rsidRDefault="00F318F3">
      <w:pPr>
        <w:widowControl/>
        <w:jc w:val="left"/>
        <w:rPr>
          <w:rFonts w:ascii="Times New Roman" w:hAnsi="Times New Roman" w:cs="Times New Roman"/>
          <w:b/>
          <w:bCs/>
          <w:sz w:val="20"/>
          <w:szCs w:val="20"/>
        </w:rPr>
      </w:pPr>
      <w:r w:rsidRPr="00A317E0">
        <w:rPr>
          <w:rFonts w:ascii="Times New Roman" w:hAnsi="Times New Roman" w:cs="Times New Roman"/>
          <w:b/>
          <w:bCs/>
          <w:sz w:val="20"/>
          <w:szCs w:val="20"/>
        </w:rPr>
        <w:br w:type="page"/>
      </w:r>
    </w:p>
    <w:p w14:paraId="784BD69C" w14:textId="51D62733" w:rsidR="0065403A" w:rsidRPr="00A317E0" w:rsidRDefault="007A280A" w:rsidP="00F318F3">
      <w:pPr>
        <w:spacing w:line="360" w:lineRule="auto"/>
        <w:rPr>
          <w:rFonts w:ascii="Times New Roman" w:hAnsi="Times New Roman" w:cs="Times New Roman"/>
          <w:b/>
          <w:bCs/>
          <w:sz w:val="20"/>
          <w:szCs w:val="20"/>
        </w:rPr>
      </w:pPr>
      <w:r w:rsidRPr="00A317E0">
        <w:rPr>
          <w:rFonts w:ascii="Times New Roman" w:eastAsia="等线" w:hAnsi="Times New Roman" w:cs="Times New Roman"/>
          <w:b/>
          <w:bCs/>
          <w:color w:val="000000"/>
          <w:kern w:val="0"/>
          <w:sz w:val="20"/>
          <w:szCs w:val="20"/>
        </w:rPr>
        <w:lastRenderedPageBreak/>
        <w:t xml:space="preserve">Table </w:t>
      </w:r>
      <w:r w:rsidR="00280F11">
        <w:rPr>
          <w:rFonts w:ascii="Times New Roman" w:eastAsia="等线" w:hAnsi="Times New Roman" w:cs="Times New Roman"/>
          <w:b/>
          <w:bCs/>
          <w:color w:val="000000"/>
          <w:kern w:val="0"/>
          <w:sz w:val="20"/>
          <w:szCs w:val="20"/>
        </w:rPr>
        <w:t>S</w:t>
      </w:r>
      <w:r w:rsidR="00280F11" w:rsidRPr="00A317E0">
        <w:rPr>
          <w:rFonts w:ascii="Times New Roman" w:eastAsia="等线" w:hAnsi="Times New Roman" w:cs="Times New Roman"/>
          <w:b/>
          <w:bCs/>
          <w:color w:val="000000"/>
          <w:kern w:val="0"/>
          <w:sz w:val="20"/>
          <w:szCs w:val="20"/>
        </w:rPr>
        <w:t>3</w:t>
      </w:r>
      <w:r w:rsidR="00280F11">
        <w:rPr>
          <w:rFonts w:ascii="Times New Roman" w:eastAsia="等线" w:hAnsi="Times New Roman" w:cs="Times New Roman"/>
          <w:b/>
          <w:bCs/>
          <w:color w:val="000000"/>
          <w:kern w:val="0"/>
          <w:sz w:val="20"/>
          <w:szCs w:val="20"/>
        </w:rPr>
        <w:t xml:space="preserve"> </w:t>
      </w:r>
      <w:r w:rsidRPr="00A317E0">
        <w:rPr>
          <w:rFonts w:ascii="Times New Roman" w:eastAsia="等线" w:hAnsi="Times New Roman" w:cs="Times New Roman"/>
          <w:b/>
          <w:bCs/>
          <w:color w:val="000000"/>
          <w:kern w:val="0"/>
          <w:sz w:val="20"/>
          <w:szCs w:val="20"/>
        </w:rPr>
        <w:t xml:space="preserve">The inter-reader agreement for major features and categories between CEUS </w:t>
      </w:r>
      <w:r w:rsidR="00823F9B" w:rsidRPr="00A317E0">
        <w:rPr>
          <w:rFonts w:ascii="Times New Roman" w:eastAsia="等线" w:hAnsi="Times New Roman" w:cs="Times New Roman"/>
          <w:b/>
          <w:bCs/>
          <w:color w:val="000000"/>
          <w:kern w:val="0"/>
          <w:sz w:val="20"/>
          <w:szCs w:val="20"/>
        </w:rPr>
        <w:t xml:space="preserve">Treatment Response Algorithm </w:t>
      </w:r>
      <w:r w:rsidRPr="00A317E0">
        <w:rPr>
          <w:rFonts w:ascii="Times New Roman" w:eastAsia="等线" w:hAnsi="Times New Roman" w:cs="Times New Roman"/>
          <w:b/>
          <w:bCs/>
          <w:color w:val="000000"/>
          <w:kern w:val="0"/>
          <w:sz w:val="20"/>
          <w:szCs w:val="20"/>
        </w:rPr>
        <w:t>and CT/MRI Liver Imaging Reporting and Data System Treatment Response</w:t>
      </w:r>
      <w:r w:rsidR="00406850" w:rsidRPr="00A317E0">
        <w:rPr>
          <w:rFonts w:ascii="Times New Roman" w:eastAsia="等线" w:hAnsi="Times New Roman" w:cs="Times New Roman"/>
          <w:b/>
          <w:bCs/>
          <w:color w:val="000000"/>
          <w:kern w:val="0"/>
          <w:sz w:val="20"/>
          <w:szCs w:val="20"/>
        </w:rPr>
        <w:t xml:space="preserve"> Algorithm</w:t>
      </w:r>
      <w:r w:rsidRPr="00A317E0">
        <w:rPr>
          <w:rFonts w:ascii="Times New Roman" w:eastAsia="等线" w:hAnsi="Times New Roman" w:cs="Times New Roman"/>
          <w:b/>
          <w:bCs/>
          <w:color w:val="000000"/>
          <w:kern w:val="0"/>
          <w:sz w:val="20"/>
          <w:szCs w:val="20"/>
        </w:rPr>
        <w:t>.</w:t>
      </w:r>
    </w:p>
    <w:tbl>
      <w:tblPr>
        <w:tblW w:w="5000" w:type="pct"/>
        <w:tblLook w:val="04A0" w:firstRow="1" w:lastRow="0" w:firstColumn="1" w:lastColumn="0" w:noHBand="0" w:noVBand="1"/>
      </w:tblPr>
      <w:tblGrid>
        <w:gridCol w:w="5321"/>
        <w:gridCol w:w="1493"/>
        <w:gridCol w:w="1492"/>
      </w:tblGrid>
      <w:tr w:rsidR="00CF5D4B" w:rsidRPr="00A317E0" w14:paraId="2ED2FDD2" w14:textId="77777777" w:rsidTr="008A1C2C">
        <w:trPr>
          <w:trHeight w:val="278"/>
        </w:trPr>
        <w:tc>
          <w:tcPr>
            <w:tcW w:w="3203" w:type="pct"/>
            <w:tcBorders>
              <w:top w:val="single" w:sz="4" w:space="0" w:color="auto"/>
              <w:left w:val="nil"/>
              <w:bottom w:val="single" w:sz="4" w:space="0" w:color="auto"/>
              <w:right w:val="nil"/>
            </w:tcBorders>
            <w:shd w:val="clear" w:color="auto" w:fill="auto"/>
            <w:noWrap/>
            <w:vAlign w:val="bottom"/>
            <w:hideMark/>
          </w:tcPr>
          <w:p w14:paraId="479D34F6" w14:textId="6F9E3116"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TRA Features and Categories</w:t>
            </w:r>
          </w:p>
        </w:tc>
        <w:tc>
          <w:tcPr>
            <w:tcW w:w="899" w:type="pct"/>
            <w:tcBorders>
              <w:top w:val="single" w:sz="4" w:space="0" w:color="auto"/>
              <w:left w:val="nil"/>
              <w:bottom w:val="single" w:sz="4" w:space="0" w:color="auto"/>
              <w:right w:val="nil"/>
            </w:tcBorders>
            <w:noWrap/>
            <w:vAlign w:val="bottom"/>
            <w:hideMark/>
          </w:tcPr>
          <w:p w14:paraId="750589E5" w14:textId="57DE708D"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Kappa</w:t>
            </w:r>
          </w:p>
        </w:tc>
        <w:tc>
          <w:tcPr>
            <w:tcW w:w="899" w:type="pct"/>
            <w:tcBorders>
              <w:top w:val="single" w:sz="4" w:space="0" w:color="auto"/>
              <w:left w:val="nil"/>
              <w:bottom w:val="single" w:sz="4" w:space="0" w:color="auto"/>
              <w:right w:val="nil"/>
            </w:tcBorders>
            <w:hideMark/>
          </w:tcPr>
          <w:p w14:paraId="70880FCC" w14:textId="77777777"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95% CI</w:t>
            </w:r>
          </w:p>
        </w:tc>
      </w:tr>
      <w:tr w:rsidR="00CF5D4B" w:rsidRPr="00A317E0" w14:paraId="003CC40F" w14:textId="77777777" w:rsidTr="008A1C2C">
        <w:trPr>
          <w:trHeight w:val="278"/>
        </w:trPr>
        <w:tc>
          <w:tcPr>
            <w:tcW w:w="3203" w:type="pct"/>
            <w:tcBorders>
              <w:top w:val="nil"/>
              <w:left w:val="nil"/>
              <w:bottom w:val="nil"/>
              <w:right w:val="nil"/>
            </w:tcBorders>
            <w:shd w:val="clear" w:color="auto" w:fill="auto"/>
            <w:noWrap/>
            <w:vAlign w:val="bottom"/>
            <w:hideMark/>
          </w:tcPr>
          <w:p w14:paraId="6F602CBD" w14:textId="77777777"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CEUS</w:t>
            </w:r>
          </w:p>
        </w:tc>
        <w:tc>
          <w:tcPr>
            <w:tcW w:w="899" w:type="pct"/>
            <w:tcBorders>
              <w:top w:val="nil"/>
              <w:left w:val="nil"/>
              <w:bottom w:val="nil"/>
              <w:right w:val="nil"/>
            </w:tcBorders>
            <w:noWrap/>
            <w:vAlign w:val="bottom"/>
            <w:hideMark/>
          </w:tcPr>
          <w:p w14:paraId="57A14B7D" w14:textId="4904EAB7" w:rsidR="00CF5D4B" w:rsidRPr="00A317E0" w:rsidRDefault="00CF5D4B" w:rsidP="00F318F3">
            <w:pPr>
              <w:widowControl/>
              <w:spacing w:line="360" w:lineRule="auto"/>
              <w:jc w:val="left"/>
              <w:rPr>
                <w:rFonts w:ascii="Times New Roman" w:eastAsia="等线" w:hAnsi="Times New Roman" w:cs="Times New Roman"/>
                <w:kern w:val="0"/>
                <w:sz w:val="20"/>
                <w:szCs w:val="20"/>
              </w:rPr>
            </w:pPr>
          </w:p>
        </w:tc>
        <w:tc>
          <w:tcPr>
            <w:tcW w:w="899" w:type="pct"/>
            <w:tcBorders>
              <w:top w:val="nil"/>
              <w:left w:val="nil"/>
              <w:bottom w:val="nil"/>
              <w:right w:val="nil"/>
            </w:tcBorders>
            <w:hideMark/>
          </w:tcPr>
          <w:p w14:paraId="61D9EBED" w14:textId="77777777" w:rsidR="00CF5D4B" w:rsidRPr="00A317E0" w:rsidRDefault="00CF5D4B" w:rsidP="00F318F3">
            <w:pPr>
              <w:widowControl/>
              <w:spacing w:line="360" w:lineRule="auto"/>
              <w:jc w:val="left"/>
              <w:rPr>
                <w:rFonts w:ascii="Times New Roman" w:eastAsia="Times New Roman" w:hAnsi="Times New Roman" w:cs="Times New Roman"/>
                <w:kern w:val="0"/>
                <w:sz w:val="20"/>
                <w:szCs w:val="20"/>
              </w:rPr>
            </w:pPr>
          </w:p>
        </w:tc>
      </w:tr>
      <w:tr w:rsidR="00CF5D4B" w:rsidRPr="00A317E0" w14:paraId="4FC6F1EF" w14:textId="77777777" w:rsidTr="008A1C2C">
        <w:trPr>
          <w:trHeight w:val="278"/>
        </w:trPr>
        <w:tc>
          <w:tcPr>
            <w:tcW w:w="3203" w:type="pct"/>
            <w:tcBorders>
              <w:top w:val="nil"/>
              <w:left w:val="nil"/>
              <w:bottom w:val="nil"/>
              <w:right w:val="nil"/>
            </w:tcBorders>
            <w:shd w:val="clear" w:color="auto" w:fill="auto"/>
            <w:noWrap/>
            <w:vAlign w:val="bottom"/>
            <w:hideMark/>
          </w:tcPr>
          <w:p w14:paraId="363A2893" w14:textId="1CA1986B"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APHE</w:t>
            </w:r>
          </w:p>
        </w:tc>
        <w:tc>
          <w:tcPr>
            <w:tcW w:w="899" w:type="pct"/>
            <w:tcBorders>
              <w:top w:val="nil"/>
              <w:left w:val="nil"/>
              <w:bottom w:val="nil"/>
              <w:right w:val="nil"/>
            </w:tcBorders>
            <w:noWrap/>
            <w:vAlign w:val="bottom"/>
            <w:hideMark/>
          </w:tcPr>
          <w:p w14:paraId="703360EC" w14:textId="7FF5955C"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0.75 </w:t>
            </w:r>
          </w:p>
        </w:tc>
        <w:tc>
          <w:tcPr>
            <w:tcW w:w="899" w:type="pct"/>
            <w:tcBorders>
              <w:top w:val="nil"/>
              <w:left w:val="nil"/>
              <w:bottom w:val="nil"/>
              <w:right w:val="nil"/>
            </w:tcBorders>
            <w:noWrap/>
            <w:vAlign w:val="bottom"/>
            <w:hideMark/>
          </w:tcPr>
          <w:p w14:paraId="7E1A3DEF" w14:textId="710CCA0A"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0.52, 0.98</w:t>
            </w:r>
          </w:p>
        </w:tc>
      </w:tr>
      <w:tr w:rsidR="00CF5D4B" w:rsidRPr="00A317E0" w14:paraId="7430B3C3" w14:textId="77777777" w:rsidTr="008A1C2C">
        <w:trPr>
          <w:trHeight w:val="278"/>
        </w:trPr>
        <w:tc>
          <w:tcPr>
            <w:tcW w:w="3203" w:type="pct"/>
            <w:tcBorders>
              <w:top w:val="nil"/>
              <w:left w:val="nil"/>
              <w:bottom w:val="nil"/>
              <w:right w:val="nil"/>
            </w:tcBorders>
            <w:shd w:val="clear" w:color="auto" w:fill="auto"/>
            <w:noWrap/>
            <w:vAlign w:val="bottom"/>
            <w:hideMark/>
          </w:tcPr>
          <w:p w14:paraId="1E3C3E42" w14:textId="7E60FB89"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Washout</w:t>
            </w:r>
          </w:p>
        </w:tc>
        <w:tc>
          <w:tcPr>
            <w:tcW w:w="899" w:type="pct"/>
            <w:tcBorders>
              <w:top w:val="nil"/>
              <w:left w:val="nil"/>
              <w:bottom w:val="nil"/>
              <w:right w:val="nil"/>
            </w:tcBorders>
            <w:noWrap/>
            <w:vAlign w:val="bottom"/>
            <w:hideMark/>
          </w:tcPr>
          <w:p w14:paraId="082D3B0D" w14:textId="6123DB74"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0.63 </w:t>
            </w:r>
          </w:p>
        </w:tc>
        <w:tc>
          <w:tcPr>
            <w:tcW w:w="899" w:type="pct"/>
            <w:tcBorders>
              <w:top w:val="nil"/>
              <w:left w:val="nil"/>
              <w:bottom w:val="nil"/>
              <w:right w:val="nil"/>
            </w:tcBorders>
            <w:noWrap/>
            <w:vAlign w:val="bottom"/>
            <w:hideMark/>
          </w:tcPr>
          <w:p w14:paraId="4A3F29BA" w14:textId="1C89E46C"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0.36, 0.90</w:t>
            </w:r>
          </w:p>
        </w:tc>
      </w:tr>
      <w:tr w:rsidR="00CF5D4B" w:rsidRPr="00A317E0" w14:paraId="34B80FA0" w14:textId="77777777" w:rsidTr="008A1C2C">
        <w:trPr>
          <w:trHeight w:val="278"/>
        </w:trPr>
        <w:tc>
          <w:tcPr>
            <w:tcW w:w="3203" w:type="pct"/>
            <w:tcBorders>
              <w:top w:val="nil"/>
              <w:left w:val="nil"/>
              <w:bottom w:val="nil"/>
              <w:right w:val="nil"/>
            </w:tcBorders>
            <w:shd w:val="clear" w:color="auto" w:fill="auto"/>
            <w:noWrap/>
            <w:vAlign w:val="bottom"/>
            <w:hideMark/>
          </w:tcPr>
          <w:p w14:paraId="0B6D2EF6" w14:textId="699EBF96"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Treatment-specific expected enhancement</w:t>
            </w:r>
          </w:p>
        </w:tc>
        <w:tc>
          <w:tcPr>
            <w:tcW w:w="899" w:type="pct"/>
            <w:tcBorders>
              <w:top w:val="nil"/>
              <w:left w:val="nil"/>
              <w:bottom w:val="nil"/>
              <w:right w:val="nil"/>
            </w:tcBorders>
            <w:noWrap/>
            <w:vAlign w:val="bottom"/>
            <w:hideMark/>
          </w:tcPr>
          <w:p w14:paraId="76AF553A" w14:textId="14B77181"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0.55 </w:t>
            </w:r>
          </w:p>
        </w:tc>
        <w:tc>
          <w:tcPr>
            <w:tcW w:w="899" w:type="pct"/>
            <w:tcBorders>
              <w:top w:val="nil"/>
              <w:left w:val="nil"/>
              <w:bottom w:val="nil"/>
              <w:right w:val="nil"/>
            </w:tcBorders>
            <w:noWrap/>
            <w:vAlign w:val="bottom"/>
            <w:hideMark/>
          </w:tcPr>
          <w:p w14:paraId="3F65854F" w14:textId="6CD7594E"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0.10, 0.99</w:t>
            </w:r>
          </w:p>
        </w:tc>
      </w:tr>
      <w:tr w:rsidR="00CF5D4B" w:rsidRPr="00A317E0" w14:paraId="778A3FBB" w14:textId="77777777" w:rsidTr="008A1C2C">
        <w:trPr>
          <w:trHeight w:val="278"/>
        </w:trPr>
        <w:tc>
          <w:tcPr>
            <w:tcW w:w="3203" w:type="pct"/>
            <w:tcBorders>
              <w:top w:val="nil"/>
              <w:left w:val="nil"/>
              <w:bottom w:val="nil"/>
              <w:right w:val="nil"/>
            </w:tcBorders>
            <w:shd w:val="clear" w:color="auto" w:fill="auto"/>
            <w:noWrap/>
            <w:vAlign w:val="bottom"/>
            <w:hideMark/>
          </w:tcPr>
          <w:p w14:paraId="143C447F" w14:textId="0A28D169"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Indeterminate enhancement </w:t>
            </w:r>
          </w:p>
        </w:tc>
        <w:tc>
          <w:tcPr>
            <w:tcW w:w="899" w:type="pct"/>
            <w:tcBorders>
              <w:top w:val="nil"/>
              <w:left w:val="nil"/>
              <w:bottom w:val="nil"/>
              <w:right w:val="nil"/>
            </w:tcBorders>
            <w:noWrap/>
            <w:vAlign w:val="bottom"/>
            <w:hideMark/>
          </w:tcPr>
          <w:p w14:paraId="671C67AB" w14:textId="3B66B97D"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0.56 </w:t>
            </w:r>
          </w:p>
        </w:tc>
        <w:tc>
          <w:tcPr>
            <w:tcW w:w="899" w:type="pct"/>
            <w:tcBorders>
              <w:top w:val="nil"/>
              <w:left w:val="nil"/>
              <w:bottom w:val="nil"/>
              <w:right w:val="nil"/>
            </w:tcBorders>
            <w:noWrap/>
            <w:vAlign w:val="bottom"/>
            <w:hideMark/>
          </w:tcPr>
          <w:p w14:paraId="47C1F96A" w14:textId="49C02EFC"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0.17, 0.94</w:t>
            </w:r>
          </w:p>
        </w:tc>
      </w:tr>
      <w:tr w:rsidR="00CF5D4B" w:rsidRPr="00A317E0" w14:paraId="56CFC223" w14:textId="77777777" w:rsidTr="008A1C2C">
        <w:trPr>
          <w:trHeight w:val="278"/>
        </w:trPr>
        <w:tc>
          <w:tcPr>
            <w:tcW w:w="3203" w:type="pct"/>
            <w:tcBorders>
              <w:top w:val="nil"/>
              <w:left w:val="nil"/>
              <w:bottom w:val="nil"/>
              <w:right w:val="nil"/>
            </w:tcBorders>
            <w:shd w:val="clear" w:color="auto" w:fill="auto"/>
            <w:noWrap/>
            <w:vAlign w:val="bottom"/>
            <w:hideMark/>
          </w:tcPr>
          <w:p w14:paraId="0DBBDC2D" w14:textId="5AF65C8B"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No lesional enhancement</w:t>
            </w:r>
          </w:p>
        </w:tc>
        <w:tc>
          <w:tcPr>
            <w:tcW w:w="899" w:type="pct"/>
            <w:tcBorders>
              <w:top w:val="nil"/>
              <w:left w:val="nil"/>
              <w:bottom w:val="nil"/>
              <w:right w:val="nil"/>
            </w:tcBorders>
            <w:noWrap/>
            <w:vAlign w:val="bottom"/>
            <w:hideMark/>
          </w:tcPr>
          <w:p w14:paraId="7AFA6BE8" w14:textId="2770E4D8"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0.74 </w:t>
            </w:r>
          </w:p>
        </w:tc>
        <w:tc>
          <w:tcPr>
            <w:tcW w:w="899" w:type="pct"/>
            <w:tcBorders>
              <w:top w:val="nil"/>
              <w:left w:val="nil"/>
              <w:bottom w:val="nil"/>
              <w:right w:val="nil"/>
            </w:tcBorders>
            <w:noWrap/>
            <w:vAlign w:val="bottom"/>
            <w:hideMark/>
          </w:tcPr>
          <w:p w14:paraId="740AA102" w14:textId="0DD89B08"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0.54, 0.93</w:t>
            </w:r>
          </w:p>
        </w:tc>
      </w:tr>
      <w:tr w:rsidR="00CF5D4B" w:rsidRPr="00A317E0" w14:paraId="70F17D92" w14:textId="77777777" w:rsidTr="008A1C2C">
        <w:trPr>
          <w:trHeight w:val="278"/>
        </w:trPr>
        <w:tc>
          <w:tcPr>
            <w:tcW w:w="3203" w:type="pct"/>
            <w:tcBorders>
              <w:top w:val="nil"/>
              <w:left w:val="nil"/>
              <w:bottom w:val="nil"/>
              <w:right w:val="nil"/>
            </w:tcBorders>
            <w:shd w:val="clear" w:color="auto" w:fill="auto"/>
            <w:noWrap/>
            <w:vAlign w:val="bottom"/>
            <w:hideMark/>
          </w:tcPr>
          <w:p w14:paraId="7B578EA8" w14:textId="0FB31B2D"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TRA Category</w:t>
            </w:r>
          </w:p>
        </w:tc>
        <w:tc>
          <w:tcPr>
            <w:tcW w:w="899" w:type="pct"/>
            <w:tcBorders>
              <w:top w:val="nil"/>
              <w:left w:val="nil"/>
              <w:bottom w:val="nil"/>
              <w:right w:val="nil"/>
            </w:tcBorders>
            <w:noWrap/>
            <w:vAlign w:val="bottom"/>
            <w:hideMark/>
          </w:tcPr>
          <w:p w14:paraId="6908A9FB" w14:textId="1C76C841"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0.74 </w:t>
            </w:r>
          </w:p>
        </w:tc>
        <w:tc>
          <w:tcPr>
            <w:tcW w:w="899" w:type="pct"/>
            <w:tcBorders>
              <w:top w:val="nil"/>
              <w:left w:val="nil"/>
              <w:bottom w:val="nil"/>
              <w:right w:val="nil"/>
            </w:tcBorders>
            <w:noWrap/>
            <w:vAlign w:val="bottom"/>
            <w:hideMark/>
          </w:tcPr>
          <w:p w14:paraId="0C6DF234" w14:textId="039BDF77" w:rsidR="00CF5D4B" w:rsidRPr="00A317E0" w:rsidRDefault="00CF5D4B" w:rsidP="00F318F3">
            <w:pPr>
              <w:widowControl/>
              <w:spacing w:line="360" w:lineRule="auto"/>
              <w:jc w:val="left"/>
              <w:rPr>
                <w:rFonts w:ascii="Times New Roman" w:eastAsia="等线" w:hAnsi="Times New Roman" w:cs="Times New Roman"/>
                <w:kern w:val="0"/>
                <w:sz w:val="20"/>
                <w:szCs w:val="20"/>
              </w:rPr>
            </w:pPr>
            <w:r>
              <w:rPr>
                <w:rFonts w:ascii="Times New Roman" w:eastAsia="等线" w:hAnsi="Times New Roman" w:cs="Times New Roman"/>
                <w:kern w:val="0"/>
                <w:sz w:val="20"/>
                <w:szCs w:val="20"/>
              </w:rPr>
              <w:t>0</w:t>
            </w:r>
            <w:r w:rsidRPr="00A317E0">
              <w:rPr>
                <w:rFonts w:ascii="Times New Roman" w:eastAsia="等线" w:hAnsi="Times New Roman" w:cs="Times New Roman"/>
                <w:kern w:val="0"/>
                <w:sz w:val="20"/>
                <w:szCs w:val="20"/>
              </w:rPr>
              <w:t>.55, 0.93</w:t>
            </w:r>
          </w:p>
        </w:tc>
      </w:tr>
      <w:tr w:rsidR="00CF5D4B" w:rsidRPr="00A317E0" w14:paraId="45F8E28F" w14:textId="77777777" w:rsidTr="008A1C2C">
        <w:trPr>
          <w:trHeight w:val="278"/>
        </w:trPr>
        <w:tc>
          <w:tcPr>
            <w:tcW w:w="3203" w:type="pct"/>
            <w:tcBorders>
              <w:top w:val="nil"/>
              <w:left w:val="nil"/>
              <w:bottom w:val="nil"/>
              <w:right w:val="nil"/>
            </w:tcBorders>
            <w:shd w:val="clear" w:color="auto" w:fill="auto"/>
            <w:noWrap/>
            <w:vAlign w:val="bottom"/>
          </w:tcPr>
          <w:p w14:paraId="7AC87C2E" w14:textId="0A08E8B7"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Pr>
                <w:rFonts w:ascii="Times New Roman" w:eastAsia="等线" w:hAnsi="Times New Roman" w:cs="Times New Roman"/>
                <w:kern w:val="0"/>
                <w:sz w:val="20"/>
                <w:szCs w:val="20"/>
              </w:rPr>
              <w:t>Size of viable lesions</w:t>
            </w:r>
          </w:p>
        </w:tc>
        <w:tc>
          <w:tcPr>
            <w:tcW w:w="899" w:type="pct"/>
            <w:tcBorders>
              <w:top w:val="nil"/>
              <w:left w:val="nil"/>
              <w:bottom w:val="nil"/>
              <w:right w:val="nil"/>
            </w:tcBorders>
            <w:noWrap/>
            <w:vAlign w:val="bottom"/>
          </w:tcPr>
          <w:p w14:paraId="1A99A7F6" w14:textId="33E51EEB" w:rsidR="00CF5D4B" w:rsidRPr="00A317E0" w:rsidRDefault="00CF5D4B" w:rsidP="00F318F3">
            <w:pPr>
              <w:widowControl/>
              <w:spacing w:line="360" w:lineRule="auto"/>
              <w:jc w:val="left"/>
              <w:rPr>
                <w:rFonts w:ascii="Times New Roman" w:eastAsia="等线" w:hAnsi="Times New Roman" w:cs="Times New Roman"/>
                <w:kern w:val="0"/>
                <w:sz w:val="20"/>
                <w:szCs w:val="20"/>
              </w:rPr>
            </w:pPr>
            <w:r>
              <w:rPr>
                <w:rFonts w:ascii="Times New Roman" w:eastAsia="等线" w:hAnsi="Times New Roman" w:cs="Times New Roman" w:hint="eastAsia"/>
                <w:kern w:val="0"/>
                <w:sz w:val="20"/>
                <w:szCs w:val="20"/>
              </w:rPr>
              <w:t>I</w:t>
            </w:r>
            <w:r>
              <w:rPr>
                <w:rFonts w:ascii="Times New Roman" w:eastAsia="等线" w:hAnsi="Times New Roman" w:cs="Times New Roman"/>
                <w:kern w:val="0"/>
                <w:sz w:val="20"/>
                <w:szCs w:val="20"/>
              </w:rPr>
              <w:t>CC=0.91</w:t>
            </w:r>
          </w:p>
        </w:tc>
        <w:tc>
          <w:tcPr>
            <w:tcW w:w="899" w:type="pct"/>
            <w:tcBorders>
              <w:top w:val="nil"/>
              <w:left w:val="nil"/>
              <w:bottom w:val="nil"/>
              <w:right w:val="nil"/>
            </w:tcBorders>
            <w:noWrap/>
            <w:vAlign w:val="bottom"/>
          </w:tcPr>
          <w:p w14:paraId="13CD4C68" w14:textId="5D8DDF58"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CF5D4B">
              <w:rPr>
                <w:rFonts w:ascii="Times New Roman" w:eastAsia="等线" w:hAnsi="Times New Roman" w:cs="Times New Roman"/>
                <w:kern w:val="0"/>
                <w:sz w:val="20"/>
                <w:szCs w:val="20"/>
              </w:rPr>
              <w:t>0.87, 0.94</w:t>
            </w:r>
          </w:p>
        </w:tc>
      </w:tr>
      <w:tr w:rsidR="00CF5D4B" w:rsidRPr="00A317E0" w14:paraId="433FB4A1" w14:textId="77777777" w:rsidTr="008A1C2C">
        <w:trPr>
          <w:trHeight w:val="278"/>
        </w:trPr>
        <w:tc>
          <w:tcPr>
            <w:tcW w:w="3203" w:type="pct"/>
            <w:tcBorders>
              <w:top w:val="nil"/>
              <w:left w:val="nil"/>
              <w:bottom w:val="nil"/>
              <w:right w:val="nil"/>
            </w:tcBorders>
            <w:shd w:val="clear" w:color="auto" w:fill="auto"/>
            <w:noWrap/>
            <w:vAlign w:val="bottom"/>
            <w:hideMark/>
          </w:tcPr>
          <w:p w14:paraId="7B6B2B38" w14:textId="77777777"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CT/MRI</w:t>
            </w:r>
          </w:p>
        </w:tc>
        <w:tc>
          <w:tcPr>
            <w:tcW w:w="899" w:type="pct"/>
            <w:tcBorders>
              <w:top w:val="nil"/>
              <w:left w:val="nil"/>
              <w:bottom w:val="nil"/>
              <w:right w:val="nil"/>
            </w:tcBorders>
            <w:noWrap/>
            <w:vAlign w:val="bottom"/>
            <w:hideMark/>
          </w:tcPr>
          <w:p w14:paraId="5965F3CF" w14:textId="0B1ECB10" w:rsidR="00CF5D4B" w:rsidRPr="00A317E0" w:rsidRDefault="00CF5D4B" w:rsidP="00F318F3">
            <w:pPr>
              <w:widowControl/>
              <w:spacing w:line="360" w:lineRule="auto"/>
              <w:jc w:val="left"/>
              <w:rPr>
                <w:rFonts w:ascii="Times New Roman" w:eastAsia="等线" w:hAnsi="Times New Roman" w:cs="Times New Roman"/>
                <w:kern w:val="0"/>
                <w:sz w:val="20"/>
                <w:szCs w:val="20"/>
              </w:rPr>
            </w:pPr>
          </w:p>
        </w:tc>
        <w:tc>
          <w:tcPr>
            <w:tcW w:w="899" w:type="pct"/>
            <w:tcBorders>
              <w:top w:val="nil"/>
              <w:left w:val="nil"/>
              <w:bottom w:val="nil"/>
              <w:right w:val="nil"/>
            </w:tcBorders>
            <w:noWrap/>
            <w:vAlign w:val="bottom"/>
            <w:hideMark/>
          </w:tcPr>
          <w:p w14:paraId="37473EC4" w14:textId="77777777" w:rsidR="00CF5D4B" w:rsidRPr="00A317E0" w:rsidRDefault="00CF5D4B" w:rsidP="00F318F3">
            <w:pPr>
              <w:widowControl/>
              <w:spacing w:line="360" w:lineRule="auto"/>
              <w:jc w:val="left"/>
              <w:rPr>
                <w:rFonts w:ascii="Times New Roman" w:eastAsia="Times New Roman" w:hAnsi="Times New Roman" w:cs="Times New Roman"/>
                <w:kern w:val="0"/>
                <w:sz w:val="20"/>
                <w:szCs w:val="20"/>
              </w:rPr>
            </w:pPr>
          </w:p>
        </w:tc>
      </w:tr>
      <w:tr w:rsidR="00CF5D4B" w:rsidRPr="00A317E0" w14:paraId="02CD8322" w14:textId="77777777" w:rsidTr="008A1C2C">
        <w:trPr>
          <w:trHeight w:val="278"/>
        </w:trPr>
        <w:tc>
          <w:tcPr>
            <w:tcW w:w="3203" w:type="pct"/>
            <w:tcBorders>
              <w:top w:val="nil"/>
              <w:left w:val="nil"/>
              <w:bottom w:val="nil"/>
              <w:right w:val="nil"/>
            </w:tcBorders>
            <w:shd w:val="clear" w:color="auto" w:fill="auto"/>
            <w:noWrap/>
            <w:vAlign w:val="bottom"/>
            <w:hideMark/>
          </w:tcPr>
          <w:p w14:paraId="7E014CA4" w14:textId="6AFF3ED2"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APHE</w:t>
            </w:r>
          </w:p>
        </w:tc>
        <w:tc>
          <w:tcPr>
            <w:tcW w:w="899" w:type="pct"/>
            <w:tcBorders>
              <w:top w:val="nil"/>
              <w:left w:val="nil"/>
              <w:bottom w:val="nil"/>
              <w:right w:val="nil"/>
            </w:tcBorders>
            <w:noWrap/>
            <w:vAlign w:val="bottom"/>
            <w:hideMark/>
          </w:tcPr>
          <w:p w14:paraId="12E62CB6" w14:textId="1B8F86F3"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0.72 </w:t>
            </w:r>
          </w:p>
        </w:tc>
        <w:tc>
          <w:tcPr>
            <w:tcW w:w="899" w:type="pct"/>
            <w:tcBorders>
              <w:top w:val="nil"/>
              <w:left w:val="nil"/>
              <w:bottom w:val="nil"/>
              <w:right w:val="nil"/>
            </w:tcBorders>
            <w:noWrap/>
            <w:vAlign w:val="bottom"/>
            <w:hideMark/>
          </w:tcPr>
          <w:p w14:paraId="234E02C8" w14:textId="00B03989"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0.52, 0.98</w:t>
            </w:r>
          </w:p>
        </w:tc>
      </w:tr>
      <w:tr w:rsidR="00CF5D4B" w:rsidRPr="00A317E0" w14:paraId="1BF46A8E" w14:textId="77777777" w:rsidTr="008A1C2C">
        <w:trPr>
          <w:trHeight w:val="278"/>
        </w:trPr>
        <w:tc>
          <w:tcPr>
            <w:tcW w:w="3203" w:type="pct"/>
            <w:tcBorders>
              <w:top w:val="nil"/>
              <w:left w:val="nil"/>
              <w:bottom w:val="nil"/>
              <w:right w:val="nil"/>
            </w:tcBorders>
            <w:shd w:val="clear" w:color="auto" w:fill="auto"/>
            <w:noWrap/>
            <w:vAlign w:val="bottom"/>
            <w:hideMark/>
          </w:tcPr>
          <w:p w14:paraId="212C65FA" w14:textId="5D19F280"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Washout</w:t>
            </w:r>
          </w:p>
        </w:tc>
        <w:tc>
          <w:tcPr>
            <w:tcW w:w="899" w:type="pct"/>
            <w:tcBorders>
              <w:top w:val="nil"/>
              <w:left w:val="nil"/>
              <w:bottom w:val="nil"/>
              <w:right w:val="nil"/>
            </w:tcBorders>
            <w:noWrap/>
            <w:vAlign w:val="bottom"/>
            <w:hideMark/>
          </w:tcPr>
          <w:p w14:paraId="3F50EB42" w14:textId="5E0F4D31"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0.63 </w:t>
            </w:r>
          </w:p>
        </w:tc>
        <w:tc>
          <w:tcPr>
            <w:tcW w:w="899" w:type="pct"/>
            <w:tcBorders>
              <w:top w:val="nil"/>
              <w:left w:val="nil"/>
              <w:bottom w:val="nil"/>
              <w:right w:val="nil"/>
            </w:tcBorders>
            <w:noWrap/>
            <w:vAlign w:val="bottom"/>
            <w:hideMark/>
          </w:tcPr>
          <w:p w14:paraId="1E5E1FBD" w14:textId="00B0260C"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0.36, 0.90</w:t>
            </w:r>
          </w:p>
        </w:tc>
      </w:tr>
      <w:tr w:rsidR="00CF5D4B" w:rsidRPr="00A317E0" w14:paraId="46484FD8" w14:textId="77777777" w:rsidTr="008A1C2C">
        <w:trPr>
          <w:trHeight w:val="278"/>
        </w:trPr>
        <w:tc>
          <w:tcPr>
            <w:tcW w:w="3203" w:type="pct"/>
            <w:tcBorders>
              <w:top w:val="nil"/>
              <w:left w:val="nil"/>
              <w:bottom w:val="nil"/>
              <w:right w:val="nil"/>
            </w:tcBorders>
            <w:shd w:val="clear" w:color="auto" w:fill="auto"/>
            <w:noWrap/>
            <w:vAlign w:val="bottom"/>
            <w:hideMark/>
          </w:tcPr>
          <w:p w14:paraId="0AA89BB6" w14:textId="47790E36"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Treatment-specific expected enhancement</w:t>
            </w:r>
          </w:p>
        </w:tc>
        <w:tc>
          <w:tcPr>
            <w:tcW w:w="899" w:type="pct"/>
            <w:tcBorders>
              <w:top w:val="nil"/>
              <w:left w:val="nil"/>
              <w:bottom w:val="nil"/>
              <w:right w:val="nil"/>
            </w:tcBorders>
            <w:noWrap/>
            <w:vAlign w:val="bottom"/>
            <w:hideMark/>
          </w:tcPr>
          <w:p w14:paraId="016A4B98" w14:textId="0C4408BC"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0.56 </w:t>
            </w:r>
          </w:p>
        </w:tc>
        <w:tc>
          <w:tcPr>
            <w:tcW w:w="899" w:type="pct"/>
            <w:tcBorders>
              <w:top w:val="nil"/>
              <w:left w:val="nil"/>
              <w:bottom w:val="nil"/>
              <w:right w:val="nil"/>
            </w:tcBorders>
            <w:noWrap/>
            <w:vAlign w:val="bottom"/>
            <w:hideMark/>
          </w:tcPr>
          <w:p w14:paraId="65E2BBB7" w14:textId="533A5A89"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0.17, 0.94</w:t>
            </w:r>
          </w:p>
        </w:tc>
      </w:tr>
      <w:tr w:rsidR="00CF5D4B" w:rsidRPr="00A317E0" w14:paraId="3501944B" w14:textId="77777777" w:rsidTr="008A1C2C">
        <w:trPr>
          <w:trHeight w:val="278"/>
        </w:trPr>
        <w:tc>
          <w:tcPr>
            <w:tcW w:w="3203" w:type="pct"/>
            <w:tcBorders>
              <w:top w:val="nil"/>
              <w:left w:val="nil"/>
              <w:bottom w:val="nil"/>
              <w:right w:val="nil"/>
            </w:tcBorders>
            <w:shd w:val="clear" w:color="auto" w:fill="auto"/>
            <w:noWrap/>
            <w:vAlign w:val="bottom"/>
            <w:hideMark/>
          </w:tcPr>
          <w:p w14:paraId="5F2BFA24" w14:textId="0A23152C"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Indeterminate enhancement </w:t>
            </w:r>
          </w:p>
        </w:tc>
        <w:tc>
          <w:tcPr>
            <w:tcW w:w="899" w:type="pct"/>
            <w:tcBorders>
              <w:top w:val="nil"/>
              <w:left w:val="nil"/>
              <w:bottom w:val="nil"/>
              <w:right w:val="nil"/>
            </w:tcBorders>
            <w:noWrap/>
            <w:vAlign w:val="bottom"/>
            <w:hideMark/>
          </w:tcPr>
          <w:p w14:paraId="35282DC4" w14:textId="5B5920A8"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0.49 </w:t>
            </w:r>
          </w:p>
        </w:tc>
        <w:tc>
          <w:tcPr>
            <w:tcW w:w="899" w:type="pct"/>
            <w:tcBorders>
              <w:top w:val="nil"/>
              <w:left w:val="nil"/>
              <w:bottom w:val="nil"/>
              <w:right w:val="nil"/>
            </w:tcBorders>
            <w:noWrap/>
            <w:vAlign w:val="bottom"/>
            <w:hideMark/>
          </w:tcPr>
          <w:p w14:paraId="61708740" w14:textId="58220EEB"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0.11, 0.87</w:t>
            </w:r>
          </w:p>
        </w:tc>
      </w:tr>
      <w:tr w:rsidR="00CF5D4B" w:rsidRPr="00A317E0" w14:paraId="12C79AAA" w14:textId="77777777" w:rsidTr="008A1C2C">
        <w:trPr>
          <w:trHeight w:val="278"/>
        </w:trPr>
        <w:tc>
          <w:tcPr>
            <w:tcW w:w="3203" w:type="pct"/>
            <w:tcBorders>
              <w:top w:val="nil"/>
              <w:left w:val="nil"/>
              <w:bottom w:val="nil"/>
              <w:right w:val="nil"/>
            </w:tcBorders>
            <w:shd w:val="clear" w:color="auto" w:fill="auto"/>
            <w:noWrap/>
            <w:vAlign w:val="bottom"/>
            <w:hideMark/>
          </w:tcPr>
          <w:p w14:paraId="18A2C642" w14:textId="7EEFED81"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No lesional enhancement</w:t>
            </w:r>
          </w:p>
        </w:tc>
        <w:tc>
          <w:tcPr>
            <w:tcW w:w="899" w:type="pct"/>
            <w:tcBorders>
              <w:top w:val="nil"/>
              <w:left w:val="nil"/>
              <w:bottom w:val="nil"/>
              <w:right w:val="nil"/>
            </w:tcBorders>
            <w:noWrap/>
            <w:vAlign w:val="bottom"/>
            <w:hideMark/>
          </w:tcPr>
          <w:p w14:paraId="379C909E" w14:textId="024E8CC2"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0.76 </w:t>
            </w:r>
          </w:p>
        </w:tc>
        <w:tc>
          <w:tcPr>
            <w:tcW w:w="899" w:type="pct"/>
            <w:tcBorders>
              <w:top w:val="nil"/>
              <w:left w:val="nil"/>
              <w:bottom w:val="nil"/>
              <w:right w:val="nil"/>
            </w:tcBorders>
            <w:noWrap/>
            <w:vAlign w:val="bottom"/>
            <w:hideMark/>
          </w:tcPr>
          <w:p w14:paraId="0C64D18C" w14:textId="214466A2"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0.58, 0.94</w:t>
            </w:r>
          </w:p>
        </w:tc>
      </w:tr>
      <w:tr w:rsidR="00CF5D4B" w:rsidRPr="00A317E0" w14:paraId="2EE22797" w14:textId="77777777" w:rsidTr="008A1C2C">
        <w:trPr>
          <w:trHeight w:val="278"/>
        </w:trPr>
        <w:tc>
          <w:tcPr>
            <w:tcW w:w="3203" w:type="pct"/>
            <w:tcBorders>
              <w:top w:val="nil"/>
              <w:left w:val="nil"/>
              <w:bottom w:val="nil"/>
              <w:right w:val="nil"/>
            </w:tcBorders>
            <w:shd w:val="clear" w:color="auto" w:fill="auto"/>
            <w:noWrap/>
            <w:vAlign w:val="bottom"/>
            <w:hideMark/>
          </w:tcPr>
          <w:p w14:paraId="0E852515" w14:textId="0C5367F2"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TRA Category</w:t>
            </w:r>
          </w:p>
        </w:tc>
        <w:tc>
          <w:tcPr>
            <w:tcW w:w="899" w:type="pct"/>
            <w:tcBorders>
              <w:top w:val="nil"/>
              <w:left w:val="nil"/>
              <w:bottom w:val="nil"/>
              <w:right w:val="nil"/>
            </w:tcBorders>
            <w:noWrap/>
            <w:vAlign w:val="bottom"/>
            <w:hideMark/>
          </w:tcPr>
          <w:p w14:paraId="24EC4862" w14:textId="6BF4B2B6"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 xml:space="preserve">0.74 </w:t>
            </w:r>
          </w:p>
        </w:tc>
        <w:tc>
          <w:tcPr>
            <w:tcW w:w="899" w:type="pct"/>
            <w:tcBorders>
              <w:top w:val="nil"/>
              <w:left w:val="nil"/>
              <w:bottom w:val="nil"/>
              <w:right w:val="nil"/>
            </w:tcBorders>
            <w:noWrap/>
            <w:vAlign w:val="bottom"/>
            <w:hideMark/>
          </w:tcPr>
          <w:p w14:paraId="17A1A275" w14:textId="6C30A55A" w:rsidR="00CF5D4B" w:rsidRPr="00A317E0" w:rsidRDefault="00CF5D4B" w:rsidP="00F318F3">
            <w:pPr>
              <w:widowControl/>
              <w:spacing w:line="360" w:lineRule="auto"/>
              <w:jc w:val="left"/>
              <w:rPr>
                <w:rFonts w:ascii="Times New Roman" w:eastAsia="等线" w:hAnsi="Times New Roman" w:cs="Times New Roman"/>
                <w:kern w:val="0"/>
                <w:sz w:val="20"/>
                <w:szCs w:val="20"/>
              </w:rPr>
            </w:pPr>
            <w:r w:rsidRPr="00A317E0">
              <w:rPr>
                <w:rFonts w:ascii="Times New Roman" w:eastAsia="等线" w:hAnsi="Times New Roman" w:cs="Times New Roman"/>
                <w:kern w:val="0"/>
                <w:sz w:val="20"/>
                <w:szCs w:val="20"/>
              </w:rPr>
              <w:t>0.58, 0.90</w:t>
            </w:r>
          </w:p>
        </w:tc>
      </w:tr>
      <w:tr w:rsidR="00CF5D4B" w:rsidRPr="00A317E0" w14:paraId="0CA2752D" w14:textId="77777777" w:rsidTr="008A1C2C">
        <w:trPr>
          <w:trHeight w:val="278"/>
        </w:trPr>
        <w:tc>
          <w:tcPr>
            <w:tcW w:w="3203" w:type="pct"/>
            <w:tcBorders>
              <w:top w:val="nil"/>
              <w:left w:val="nil"/>
              <w:bottom w:val="single" w:sz="4" w:space="0" w:color="auto"/>
              <w:right w:val="nil"/>
            </w:tcBorders>
            <w:shd w:val="clear" w:color="auto" w:fill="auto"/>
            <w:noWrap/>
            <w:vAlign w:val="bottom"/>
          </w:tcPr>
          <w:p w14:paraId="23125669" w14:textId="773FCC0D" w:rsidR="00CF5D4B" w:rsidRPr="00A317E0" w:rsidRDefault="00CF5D4B" w:rsidP="00F318F3">
            <w:pPr>
              <w:widowControl/>
              <w:spacing w:line="360" w:lineRule="auto"/>
              <w:ind w:firstLine="443"/>
              <w:jc w:val="left"/>
              <w:rPr>
                <w:rFonts w:ascii="Times New Roman" w:eastAsia="等线" w:hAnsi="Times New Roman" w:cs="Times New Roman"/>
                <w:kern w:val="0"/>
                <w:sz w:val="20"/>
                <w:szCs w:val="20"/>
              </w:rPr>
            </w:pPr>
            <w:r>
              <w:rPr>
                <w:rFonts w:ascii="Times New Roman" w:eastAsia="等线" w:hAnsi="Times New Roman" w:cs="Times New Roman"/>
                <w:kern w:val="0"/>
                <w:sz w:val="20"/>
                <w:szCs w:val="20"/>
              </w:rPr>
              <w:t>Size of viable lesions</w:t>
            </w:r>
          </w:p>
        </w:tc>
        <w:tc>
          <w:tcPr>
            <w:tcW w:w="899" w:type="pct"/>
            <w:tcBorders>
              <w:top w:val="nil"/>
              <w:left w:val="nil"/>
              <w:bottom w:val="single" w:sz="4" w:space="0" w:color="auto"/>
              <w:right w:val="nil"/>
            </w:tcBorders>
            <w:noWrap/>
            <w:vAlign w:val="bottom"/>
          </w:tcPr>
          <w:p w14:paraId="1193C526" w14:textId="7725A46D" w:rsidR="00CF5D4B" w:rsidRPr="00A317E0" w:rsidRDefault="00CF5D4B" w:rsidP="00F318F3">
            <w:pPr>
              <w:widowControl/>
              <w:spacing w:line="360" w:lineRule="auto"/>
              <w:jc w:val="left"/>
              <w:rPr>
                <w:rFonts w:ascii="Times New Roman" w:eastAsia="等线" w:hAnsi="Times New Roman" w:cs="Times New Roman"/>
                <w:kern w:val="0"/>
                <w:sz w:val="20"/>
                <w:szCs w:val="20"/>
              </w:rPr>
            </w:pPr>
            <w:r>
              <w:rPr>
                <w:rFonts w:ascii="Times New Roman" w:eastAsia="等线" w:hAnsi="Times New Roman" w:cs="Times New Roman" w:hint="eastAsia"/>
                <w:kern w:val="0"/>
                <w:sz w:val="20"/>
                <w:szCs w:val="20"/>
              </w:rPr>
              <w:t>I</w:t>
            </w:r>
            <w:r>
              <w:rPr>
                <w:rFonts w:ascii="Times New Roman" w:eastAsia="等线" w:hAnsi="Times New Roman" w:cs="Times New Roman"/>
                <w:kern w:val="0"/>
                <w:sz w:val="20"/>
                <w:szCs w:val="20"/>
              </w:rPr>
              <w:t>CC=0.94</w:t>
            </w:r>
          </w:p>
        </w:tc>
        <w:tc>
          <w:tcPr>
            <w:tcW w:w="899" w:type="pct"/>
            <w:tcBorders>
              <w:top w:val="nil"/>
              <w:left w:val="nil"/>
              <w:bottom w:val="single" w:sz="4" w:space="0" w:color="auto"/>
              <w:right w:val="nil"/>
            </w:tcBorders>
            <w:noWrap/>
            <w:vAlign w:val="center"/>
          </w:tcPr>
          <w:p w14:paraId="6CFEF8FA" w14:textId="17EFF3F8" w:rsidR="00CF5D4B" w:rsidRPr="00DB209D" w:rsidRDefault="00CF5D4B" w:rsidP="00DB209D">
            <w:pPr>
              <w:widowControl/>
              <w:jc w:val="left"/>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0.91, 0.96</w:t>
            </w:r>
          </w:p>
        </w:tc>
      </w:tr>
    </w:tbl>
    <w:p w14:paraId="5621E243" w14:textId="0EE9F528" w:rsidR="003110F0" w:rsidRPr="00DB209D" w:rsidRDefault="008D0C40" w:rsidP="00552B3D">
      <w:pPr>
        <w:spacing w:line="360" w:lineRule="auto"/>
        <w:rPr>
          <w:rFonts w:ascii="Times New Roman" w:eastAsia="等线" w:hAnsi="Times New Roman" w:cs="Times New Roman"/>
          <w:color w:val="000000"/>
          <w:kern w:val="0"/>
          <w:sz w:val="18"/>
          <w:szCs w:val="18"/>
        </w:rPr>
        <w:sectPr w:rsidR="003110F0" w:rsidRPr="00DB209D">
          <w:pgSz w:w="11906" w:h="16838"/>
          <w:pgMar w:top="1440" w:right="1800" w:bottom="1440" w:left="1800" w:header="851" w:footer="992" w:gutter="0"/>
          <w:cols w:space="425"/>
          <w:docGrid w:type="lines" w:linePitch="312"/>
        </w:sectPr>
      </w:pPr>
      <w:r w:rsidRPr="00DB209D">
        <w:rPr>
          <w:rFonts w:ascii="Times New Roman" w:eastAsia="等线" w:hAnsi="Times New Roman" w:cs="Times New Roman"/>
          <w:color w:val="000000"/>
          <w:kern w:val="0"/>
          <w:sz w:val="18"/>
          <w:szCs w:val="18"/>
        </w:rPr>
        <w:t>Note.</w:t>
      </w:r>
      <w:r w:rsidR="00B97F6E" w:rsidRPr="00DB209D">
        <w:rPr>
          <w:rFonts w:ascii="Times New Roman" w:eastAsia="等线" w:hAnsi="Times New Roman" w:cs="Times New Roman"/>
          <w:color w:val="000000"/>
          <w:kern w:val="0"/>
          <w:sz w:val="18"/>
          <w:szCs w:val="18"/>
        </w:rPr>
        <w:t xml:space="preserve"> </w:t>
      </w:r>
      <w:r w:rsidR="000451EE" w:rsidRPr="00DB209D">
        <w:rPr>
          <w:rFonts w:ascii="Times New Roman" w:eastAsia="等线" w:hAnsi="Times New Roman" w:cs="Times New Roman"/>
          <w:color w:val="000000"/>
          <w:kern w:val="0"/>
          <w:sz w:val="18"/>
          <w:szCs w:val="18"/>
        </w:rPr>
        <w:t>–</w:t>
      </w:r>
      <w:r w:rsidRPr="00DB209D">
        <w:rPr>
          <w:rFonts w:ascii="Times New Roman" w:eastAsia="等线" w:hAnsi="Times New Roman" w:cs="Times New Roman"/>
          <w:color w:val="000000"/>
          <w:kern w:val="0"/>
          <w:sz w:val="18"/>
          <w:szCs w:val="18"/>
        </w:rPr>
        <w:t xml:space="preserve"> APHE</w:t>
      </w:r>
      <w:r w:rsidR="000451EE" w:rsidRPr="00DB209D">
        <w:rPr>
          <w:rFonts w:ascii="Times New Roman" w:eastAsia="等线" w:hAnsi="Times New Roman" w:cs="Times New Roman"/>
          <w:color w:val="000000"/>
          <w:kern w:val="0"/>
          <w:sz w:val="18"/>
          <w:szCs w:val="18"/>
        </w:rPr>
        <w:t xml:space="preserve"> </w:t>
      </w:r>
      <w:r w:rsidRPr="00DB209D">
        <w:rPr>
          <w:rFonts w:ascii="Times New Roman" w:eastAsia="等线" w:hAnsi="Times New Roman" w:cs="Times New Roman"/>
          <w:color w:val="000000"/>
          <w:kern w:val="0"/>
          <w:sz w:val="18"/>
          <w:szCs w:val="18"/>
        </w:rPr>
        <w:t>=</w:t>
      </w:r>
      <w:r w:rsidR="000451EE" w:rsidRPr="00DB209D">
        <w:rPr>
          <w:rFonts w:ascii="Times New Roman" w:eastAsia="等线" w:hAnsi="Times New Roman" w:cs="Times New Roman"/>
          <w:color w:val="000000"/>
          <w:kern w:val="0"/>
          <w:sz w:val="18"/>
          <w:szCs w:val="18"/>
        </w:rPr>
        <w:t xml:space="preserve"> a</w:t>
      </w:r>
      <w:r w:rsidR="0026388C" w:rsidRPr="00DB209D">
        <w:rPr>
          <w:rFonts w:ascii="Times New Roman" w:eastAsia="等线" w:hAnsi="Times New Roman" w:cs="Times New Roman"/>
          <w:color w:val="000000"/>
          <w:kern w:val="0"/>
          <w:sz w:val="18"/>
          <w:szCs w:val="18"/>
        </w:rPr>
        <w:t xml:space="preserve">rterial </w:t>
      </w:r>
      <w:r w:rsidRPr="00DB209D">
        <w:rPr>
          <w:rFonts w:ascii="Times New Roman" w:eastAsia="等线" w:hAnsi="Times New Roman" w:cs="Times New Roman"/>
          <w:color w:val="000000"/>
          <w:kern w:val="0"/>
          <w:sz w:val="18"/>
          <w:szCs w:val="18"/>
        </w:rPr>
        <w:t>phase hyperenhancement</w:t>
      </w:r>
      <w:r w:rsidR="00C67E14">
        <w:rPr>
          <w:rFonts w:ascii="Times New Roman" w:eastAsia="等线" w:hAnsi="Times New Roman" w:cs="Times New Roman"/>
          <w:color w:val="000000"/>
          <w:kern w:val="0"/>
          <w:sz w:val="18"/>
          <w:szCs w:val="18"/>
        </w:rPr>
        <w:t xml:space="preserve">; </w:t>
      </w:r>
      <w:r w:rsidR="00823F9B" w:rsidRPr="00DB209D">
        <w:rPr>
          <w:rFonts w:ascii="Times New Roman" w:eastAsia="等线" w:hAnsi="Times New Roman" w:cs="Times New Roman"/>
          <w:color w:val="000000"/>
          <w:kern w:val="0"/>
          <w:sz w:val="18"/>
          <w:szCs w:val="18"/>
        </w:rPr>
        <w:t>TRA</w:t>
      </w:r>
      <w:r w:rsidR="00406850" w:rsidRPr="00DB209D">
        <w:rPr>
          <w:rFonts w:ascii="Times New Roman" w:eastAsia="等线" w:hAnsi="Times New Roman" w:cs="Times New Roman"/>
          <w:color w:val="000000"/>
          <w:kern w:val="0"/>
          <w:sz w:val="18"/>
          <w:szCs w:val="18"/>
        </w:rPr>
        <w:t xml:space="preserve"> = Treatment </w:t>
      </w:r>
      <w:r w:rsidR="00823F9B" w:rsidRPr="00DB209D">
        <w:rPr>
          <w:rFonts w:ascii="Times New Roman" w:eastAsia="等线" w:hAnsi="Times New Roman" w:cs="Times New Roman"/>
          <w:color w:val="000000"/>
          <w:kern w:val="0"/>
          <w:sz w:val="18"/>
          <w:szCs w:val="18"/>
        </w:rPr>
        <w:t xml:space="preserve">Response </w:t>
      </w:r>
      <w:r w:rsidR="00406850" w:rsidRPr="00DB209D">
        <w:rPr>
          <w:rFonts w:ascii="Times New Roman" w:eastAsia="等线" w:hAnsi="Times New Roman" w:cs="Times New Roman"/>
          <w:color w:val="000000"/>
          <w:kern w:val="0"/>
          <w:sz w:val="18"/>
          <w:szCs w:val="18"/>
        </w:rPr>
        <w:t>Algorithm</w:t>
      </w:r>
      <w:r w:rsidR="00C67E14">
        <w:rPr>
          <w:rFonts w:ascii="Times New Roman" w:eastAsia="等线" w:hAnsi="Times New Roman" w:cs="Times New Roman"/>
          <w:color w:val="000000"/>
          <w:kern w:val="0"/>
          <w:sz w:val="18"/>
          <w:szCs w:val="18"/>
        </w:rPr>
        <w:t>;</w:t>
      </w:r>
      <w:r w:rsidR="00552B3D" w:rsidRPr="00DB209D">
        <w:rPr>
          <w:rFonts w:ascii="Times New Roman" w:eastAsia="等线" w:hAnsi="Times New Roman" w:cs="Times New Roman"/>
          <w:color w:val="000000"/>
          <w:kern w:val="0"/>
          <w:sz w:val="18"/>
          <w:szCs w:val="18"/>
        </w:rPr>
        <w:t xml:space="preserve"> CEUS = contrast-enhanced ultrasonography</w:t>
      </w:r>
      <w:r w:rsidR="00C67E14">
        <w:rPr>
          <w:rFonts w:ascii="Times New Roman" w:eastAsia="等线" w:hAnsi="Times New Roman" w:cs="Times New Roman"/>
          <w:color w:val="000000"/>
          <w:kern w:val="0"/>
          <w:sz w:val="18"/>
          <w:szCs w:val="18"/>
        </w:rPr>
        <w:t xml:space="preserve">; </w:t>
      </w:r>
      <w:r w:rsidR="00552B3D" w:rsidRPr="00DB209D">
        <w:rPr>
          <w:rFonts w:ascii="Times New Roman" w:eastAsia="等线" w:hAnsi="Times New Roman" w:cs="Times New Roman"/>
          <w:color w:val="000000"/>
          <w:kern w:val="0"/>
          <w:sz w:val="18"/>
          <w:szCs w:val="18"/>
        </w:rPr>
        <w:t>CT = computed tomography</w:t>
      </w:r>
      <w:r w:rsidR="00C67E14">
        <w:rPr>
          <w:rFonts w:ascii="Times New Roman" w:eastAsia="等线" w:hAnsi="Times New Roman" w:cs="Times New Roman"/>
          <w:color w:val="000000"/>
          <w:kern w:val="0"/>
          <w:sz w:val="18"/>
          <w:szCs w:val="18"/>
        </w:rPr>
        <w:t xml:space="preserve">; </w:t>
      </w:r>
      <w:r w:rsidR="00552B3D" w:rsidRPr="00DB209D">
        <w:rPr>
          <w:rFonts w:ascii="Times New Roman" w:eastAsia="等线" w:hAnsi="Times New Roman" w:cs="Times New Roman"/>
          <w:color w:val="000000"/>
          <w:kern w:val="0"/>
          <w:sz w:val="18"/>
          <w:szCs w:val="18"/>
        </w:rPr>
        <w:t>MRI = magnetic resonance imaging.</w:t>
      </w:r>
      <w:r w:rsidR="00406850" w:rsidRPr="00DB209D">
        <w:rPr>
          <w:rFonts w:ascii="Times New Roman" w:hAnsi="Times New Roman" w:cs="Times New Roman"/>
          <w:b/>
          <w:bCs/>
          <w:sz w:val="18"/>
          <w:szCs w:val="18"/>
        </w:rPr>
        <w:t xml:space="preserve">  </w:t>
      </w:r>
    </w:p>
    <w:p w14:paraId="7654572F" w14:textId="441E30B0" w:rsidR="007A280A" w:rsidRPr="00A317E0" w:rsidRDefault="00827C0E" w:rsidP="00F318F3">
      <w:pPr>
        <w:spacing w:line="360" w:lineRule="auto"/>
        <w:rPr>
          <w:rFonts w:ascii="Times New Roman" w:hAnsi="Times New Roman" w:cs="Times New Roman"/>
          <w:b/>
          <w:bCs/>
          <w:sz w:val="20"/>
          <w:szCs w:val="20"/>
        </w:rPr>
      </w:pPr>
      <w:r w:rsidRPr="00A317E0">
        <w:rPr>
          <w:rFonts w:ascii="Times New Roman" w:eastAsia="等线" w:hAnsi="Times New Roman" w:cs="Times New Roman"/>
          <w:b/>
          <w:bCs/>
          <w:color w:val="000000"/>
          <w:kern w:val="0"/>
          <w:sz w:val="20"/>
          <w:szCs w:val="20"/>
        </w:rPr>
        <w:lastRenderedPageBreak/>
        <w:t xml:space="preserve">Table </w:t>
      </w:r>
      <w:r w:rsidR="00280F11">
        <w:rPr>
          <w:rFonts w:ascii="Times New Roman" w:eastAsia="等线" w:hAnsi="Times New Roman" w:cs="Times New Roman"/>
          <w:b/>
          <w:bCs/>
          <w:color w:val="000000"/>
          <w:kern w:val="0"/>
          <w:sz w:val="20"/>
          <w:szCs w:val="20"/>
        </w:rPr>
        <w:t>S</w:t>
      </w:r>
      <w:r w:rsidR="00280F11" w:rsidRPr="00A317E0">
        <w:rPr>
          <w:rFonts w:ascii="Times New Roman" w:eastAsia="等线" w:hAnsi="Times New Roman" w:cs="Times New Roman"/>
          <w:b/>
          <w:bCs/>
          <w:color w:val="000000"/>
          <w:kern w:val="0"/>
          <w:sz w:val="20"/>
          <w:szCs w:val="20"/>
        </w:rPr>
        <w:t xml:space="preserve">4 </w:t>
      </w:r>
      <w:r w:rsidR="003110F0" w:rsidRPr="00A317E0">
        <w:rPr>
          <w:rFonts w:ascii="Times New Roman" w:hAnsi="Times New Roman" w:cs="Times New Roman"/>
          <w:b/>
          <w:bCs/>
          <w:sz w:val="20"/>
          <w:szCs w:val="20"/>
        </w:rPr>
        <w:t xml:space="preserve">Subgroup </w:t>
      </w:r>
      <w:r w:rsidR="00C67E14">
        <w:rPr>
          <w:rFonts w:ascii="Times New Roman" w:hAnsi="Times New Roman" w:cs="Times New Roman"/>
          <w:b/>
          <w:bCs/>
          <w:sz w:val="20"/>
          <w:szCs w:val="20"/>
        </w:rPr>
        <w:t>a</w:t>
      </w:r>
      <w:r w:rsidR="003110F0" w:rsidRPr="00A317E0">
        <w:rPr>
          <w:rFonts w:ascii="Times New Roman" w:hAnsi="Times New Roman" w:cs="Times New Roman"/>
          <w:b/>
          <w:bCs/>
          <w:sz w:val="20"/>
          <w:szCs w:val="20"/>
        </w:rPr>
        <w:t xml:space="preserve">nalysis of </w:t>
      </w:r>
      <w:r w:rsidR="00C67E14" w:rsidRPr="00A317E0">
        <w:rPr>
          <w:rFonts w:ascii="Times New Roman" w:hAnsi="Times New Roman" w:cs="Times New Roman"/>
          <w:b/>
          <w:bCs/>
          <w:sz w:val="20"/>
          <w:szCs w:val="20"/>
        </w:rPr>
        <w:t>the</w:t>
      </w:r>
      <w:r w:rsidR="00C67E14">
        <w:rPr>
          <w:rFonts w:ascii="Times New Roman" w:hAnsi="Times New Roman" w:cs="Times New Roman"/>
          <w:b/>
          <w:bCs/>
          <w:sz w:val="20"/>
          <w:szCs w:val="20"/>
        </w:rPr>
        <w:t xml:space="preserve"> i</w:t>
      </w:r>
      <w:r w:rsidR="003110F0" w:rsidRPr="00A317E0">
        <w:rPr>
          <w:rFonts w:ascii="Times New Roman" w:hAnsi="Times New Roman" w:cs="Times New Roman"/>
          <w:b/>
          <w:bCs/>
          <w:sz w:val="20"/>
          <w:szCs w:val="20"/>
        </w:rPr>
        <w:t xml:space="preserve">mpact of the </w:t>
      </w:r>
      <w:r w:rsidR="00C67E14">
        <w:rPr>
          <w:rFonts w:ascii="Times New Roman" w:hAnsi="Times New Roman" w:cs="Times New Roman"/>
          <w:b/>
          <w:bCs/>
          <w:sz w:val="20"/>
          <w:szCs w:val="20"/>
        </w:rPr>
        <w:t>m</w:t>
      </w:r>
      <w:r w:rsidR="003110F0" w:rsidRPr="00A317E0">
        <w:rPr>
          <w:rFonts w:ascii="Times New Roman" w:hAnsi="Times New Roman" w:cs="Times New Roman"/>
          <w:b/>
          <w:bCs/>
          <w:sz w:val="20"/>
          <w:szCs w:val="20"/>
        </w:rPr>
        <w:t xml:space="preserve">onitor </w:t>
      </w:r>
      <w:r w:rsidR="00C67E14">
        <w:rPr>
          <w:rFonts w:ascii="Times New Roman" w:hAnsi="Times New Roman" w:cs="Times New Roman"/>
          <w:b/>
          <w:bCs/>
          <w:sz w:val="20"/>
          <w:szCs w:val="20"/>
        </w:rPr>
        <w:t>t</w:t>
      </w:r>
      <w:r w:rsidR="003110F0" w:rsidRPr="00A317E0">
        <w:rPr>
          <w:rFonts w:ascii="Times New Roman" w:hAnsi="Times New Roman" w:cs="Times New Roman"/>
          <w:b/>
          <w:bCs/>
          <w:sz w:val="20"/>
          <w:szCs w:val="20"/>
        </w:rPr>
        <w:t xml:space="preserve">iming on the </w:t>
      </w:r>
      <w:r w:rsidR="00C67E14">
        <w:rPr>
          <w:rFonts w:ascii="Times New Roman" w:hAnsi="Times New Roman" w:cs="Times New Roman"/>
          <w:b/>
          <w:bCs/>
          <w:sz w:val="20"/>
          <w:szCs w:val="20"/>
        </w:rPr>
        <w:t>p</w:t>
      </w:r>
      <w:r w:rsidR="003110F0" w:rsidRPr="00A317E0">
        <w:rPr>
          <w:rFonts w:ascii="Times New Roman" w:hAnsi="Times New Roman" w:cs="Times New Roman"/>
          <w:b/>
          <w:bCs/>
          <w:sz w:val="20"/>
          <w:szCs w:val="20"/>
        </w:rPr>
        <w:t xml:space="preserve">erformance of </w:t>
      </w:r>
      <w:r w:rsidR="00C44CA0" w:rsidRPr="00A317E0">
        <w:rPr>
          <w:rFonts w:ascii="Times New Roman" w:hAnsi="Times New Roman" w:cs="Times New Roman"/>
          <w:b/>
          <w:bCs/>
          <w:sz w:val="20"/>
          <w:szCs w:val="20"/>
        </w:rPr>
        <w:t>CEUS TRA and CT/MRI LI</w:t>
      </w:r>
      <w:r w:rsidR="00B97F6E" w:rsidRPr="00A317E0">
        <w:rPr>
          <w:rFonts w:ascii="Times New Roman" w:hAnsi="Times New Roman" w:cs="Times New Roman"/>
          <w:b/>
          <w:bCs/>
          <w:sz w:val="20"/>
          <w:szCs w:val="20"/>
        </w:rPr>
        <w:t>-</w:t>
      </w:r>
      <w:r w:rsidR="00C44CA0" w:rsidRPr="00A317E0">
        <w:rPr>
          <w:rFonts w:ascii="Times New Roman" w:hAnsi="Times New Roman" w:cs="Times New Roman"/>
          <w:b/>
          <w:bCs/>
          <w:sz w:val="20"/>
          <w:szCs w:val="20"/>
        </w:rPr>
        <w:t>RA</w:t>
      </w:r>
      <w:r w:rsidR="00B97F6E" w:rsidRPr="00A317E0">
        <w:rPr>
          <w:rFonts w:ascii="Times New Roman" w:hAnsi="Times New Roman" w:cs="Times New Roman"/>
          <w:b/>
          <w:bCs/>
          <w:sz w:val="20"/>
          <w:szCs w:val="20"/>
        </w:rPr>
        <w:t>D</w:t>
      </w:r>
      <w:r w:rsidR="00C44CA0" w:rsidRPr="00A317E0">
        <w:rPr>
          <w:rFonts w:ascii="Times New Roman" w:hAnsi="Times New Roman" w:cs="Times New Roman"/>
          <w:b/>
          <w:bCs/>
          <w:sz w:val="20"/>
          <w:szCs w:val="20"/>
        </w:rPr>
        <w:t>S TRA</w:t>
      </w:r>
      <w:r w:rsidR="003110F0" w:rsidRPr="00A317E0">
        <w:rPr>
          <w:rFonts w:ascii="Times New Roman" w:hAnsi="Times New Roman" w:cs="Times New Roman"/>
          <w:b/>
          <w:bCs/>
          <w:sz w:val="20"/>
          <w:szCs w:val="20"/>
        </w:rPr>
        <w:t xml:space="preserve"> when </w:t>
      </w:r>
      <w:r w:rsidR="00C44CA0" w:rsidRPr="00A317E0">
        <w:rPr>
          <w:rFonts w:ascii="Times New Roman" w:hAnsi="Times New Roman" w:cs="Times New Roman"/>
          <w:b/>
          <w:bCs/>
          <w:sz w:val="20"/>
          <w:szCs w:val="20"/>
        </w:rPr>
        <w:t>TRA</w:t>
      </w:r>
      <w:r w:rsidR="003110F0" w:rsidRPr="00A317E0">
        <w:rPr>
          <w:rFonts w:ascii="Times New Roman" w:hAnsi="Times New Roman" w:cs="Times New Roman"/>
          <w:b/>
          <w:bCs/>
          <w:sz w:val="20"/>
          <w:szCs w:val="20"/>
        </w:rPr>
        <w:t xml:space="preserve"> equivocal assessments were treated as viable.</w:t>
      </w:r>
    </w:p>
    <w:tbl>
      <w:tblPr>
        <w:tblW w:w="0" w:type="auto"/>
        <w:tblLook w:val="04A0" w:firstRow="1" w:lastRow="0" w:firstColumn="1" w:lastColumn="0" w:noHBand="0" w:noVBand="1"/>
      </w:tblPr>
      <w:tblGrid>
        <w:gridCol w:w="2908"/>
        <w:gridCol w:w="1061"/>
        <w:gridCol w:w="1061"/>
        <w:gridCol w:w="801"/>
        <w:gridCol w:w="1241"/>
        <w:gridCol w:w="1241"/>
        <w:gridCol w:w="801"/>
        <w:gridCol w:w="1181"/>
        <w:gridCol w:w="1181"/>
        <w:gridCol w:w="1241"/>
        <w:gridCol w:w="1241"/>
      </w:tblGrid>
      <w:tr w:rsidR="003110F0" w:rsidRPr="00A317E0" w14:paraId="464BAD42" w14:textId="77777777" w:rsidTr="003110F0">
        <w:trPr>
          <w:trHeight w:val="278"/>
        </w:trPr>
        <w:tc>
          <w:tcPr>
            <w:tcW w:w="0" w:type="auto"/>
            <w:vMerge w:val="restart"/>
            <w:tcBorders>
              <w:top w:val="single" w:sz="4" w:space="0" w:color="auto"/>
              <w:left w:val="nil"/>
              <w:bottom w:val="nil"/>
              <w:right w:val="nil"/>
            </w:tcBorders>
            <w:shd w:val="clear" w:color="auto" w:fill="auto"/>
            <w:vAlign w:val="bottom"/>
            <w:hideMark/>
          </w:tcPr>
          <w:p w14:paraId="03613EE6" w14:textId="1F03D494" w:rsidR="003110F0" w:rsidRPr="00A317E0" w:rsidRDefault="003110F0" w:rsidP="00F318F3">
            <w:pPr>
              <w:widowControl/>
              <w:spacing w:line="360" w:lineRule="auto"/>
              <w:jc w:val="left"/>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Interval between LRT and treatment response assessment</w:t>
            </w:r>
          </w:p>
        </w:tc>
        <w:tc>
          <w:tcPr>
            <w:tcW w:w="0" w:type="auto"/>
            <w:gridSpan w:val="3"/>
            <w:tcBorders>
              <w:top w:val="single" w:sz="4" w:space="0" w:color="auto"/>
              <w:left w:val="nil"/>
              <w:bottom w:val="nil"/>
              <w:right w:val="nil"/>
            </w:tcBorders>
            <w:shd w:val="clear" w:color="auto" w:fill="auto"/>
            <w:noWrap/>
            <w:vAlign w:val="bottom"/>
            <w:hideMark/>
          </w:tcPr>
          <w:p w14:paraId="44B6BB98" w14:textId="3F7549A0"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Sensitivity (%)</w:t>
            </w:r>
          </w:p>
        </w:tc>
        <w:tc>
          <w:tcPr>
            <w:tcW w:w="0" w:type="auto"/>
            <w:gridSpan w:val="3"/>
            <w:tcBorders>
              <w:top w:val="single" w:sz="4" w:space="0" w:color="auto"/>
              <w:left w:val="nil"/>
              <w:bottom w:val="nil"/>
              <w:right w:val="nil"/>
            </w:tcBorders>
            <w:shd w:val="clear" w:color="auto" w:fill="auto"/>
            <w:noWrap/>
            <w:vAlign w:val="bottom"/>
            <w:hideMark/>
          </w:tcPr>
          <w:p w14:paraId="31479F58" w14:textId="119646D6"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Specificity (%)</w:t>
            </w:r>
          </w:p>
        </w:tc>
        <w:tc>
          <w:tcPr>
            <w:tcW w:w="0" w:type="auto"/>
            <w:gridSpan w:val="2"/>
            <w:tcBorders>
              <w:top w:val="single" w:sz="4" w:space="0" w:color="auto"/>
              <w:left w:val="nil"/>
              <w:bottom w:val="nil"/>
              <w:right w:val="nil"/>
            </w:tcBorders>
            <w:shd w:val="clear" w:color="auto" w:fill="auto"/>
            <w:noWrap/>
            <w:vAlign w:val="bottom"/>
            <w:hideMark/>
          </w:tcPr>
          <w:p w14:paraId="23B8C6BE" w14:textId="4D282CB3"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Positive Predictive Value (%)</w:t>
            </w:r>
          </w:p>
        </w:tc>
        <w:tc>
          <w:tcPr>
            <w:tcW w:w="0" w:type="auto"/>
            <w:gridSpan w:val="2"/>
            <w:tcBorders>
              <w:top w:val="single" w:sz="4" w:space="0" w:color="auto"/>
              <w:left w:val="nil"/>
              <w:bottom w:val="nil"/>
              <w:right w:val="nil"/>
            </w:tcBorders>
            <w:shd w:val="clear" w:color="auto" w:fill="auto"/>
            <w:noWrap/>
            <w:vAlign w:val="bottom"/>
            <w:hideMark/>
          </w:tcPr>
          <w:p w14:paraId="02AD1D5A" w14:textId="1947A845"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Negative Predictive Value (%)</w:t>
            </w:r>
          </w:p>
        </w:tc>
      </w:tr>
      <w:tr w:rsidR="003110F0" w:rsidRPr="00A317E0" w14:paraId="63631085" w14:textId="77777777" w:rsidTr="003110F0">
        <w:trPr>
          <w:trHeight w:val="278"/>
        </w:trPr>
        <w:tc>
          <w:tcPr>
            <w:tcW w:w="0" w:type="auto"/>
            <w:vMerge/>
            <w:tcBorders>
              <w:top w:val="single" w:sz="4" w:space="0" w:color="auto"/>
              <w:left w:val="nil"/>
              <w:bottom w:val="nil"/>
              <w:right w:val="nil"/>
            </w:tcBorders>
            <w:vAlign w:val="center"/>
            <w:hideMark/>
          </w:tcPr>
          <w:p w14:paraId="60429338" w14:textId="77777777" w:rsidR="003110F0" w:rsidRPr="00A317E0" w:rsidRDefault="003110F0" w:rsidP="00F318F3">
            <w:pPr>
              <w:widowControl/>
              <w:spacing w:line="360" w:lineRule="auto"/>
              <w:jc w:val="left"/>
              <w:rPr>
                <w:rFonts w:ascii="Times New Roman" w:eastAsia="等线" w:hAnsi="Times New Roman" w:cs="Times New Roman"/>
                <w:color w:val="000000"/>
                <w:kern w:val="0"/>
                <w:sz w:val="18"/>
                <w:szCs w:val="18"/>
              </w:rPr>
            </w:pPr>
          </w:p>
        </w:tc>
        <w:tc>
          <w:tcPr>
            <w:tcW w:w="0" w:type="auto"/>
            <w:tcBorders>
              <w:top w:val="nil"/>
              <w:left w:val="nil"/>
              <w:bottom w:val="single" w:sz="4" w:space="0" w:color="auto"/>
              <w:right w:val="nil"/>
            </w:tcBorders>
            <w:shd w:val="clear" w:color="auto" w:fill="auto"/>
            <w:noWrap/>
            <w:vAlign w:val="bottom"/>
            <w:hideMark/>
          </w:tcPr>
          <w:p w14:paraId="7516BECE"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CEUS</w:t>
            </w:r>
          </w:p>
        </w:tc>
        <w:tc>
          <w:tcPr>
            <w:tcW w:w="0" w:type="auto"/>
            <w:tcBorders>
              <w:top w:val="nil"/>
              <w:left w:val="nil"/>
              <w:bottom w:val="single" w:sz="4" w:space="0" w:color="auto"/>
              <w:right w:val="nil"/>
            </w:tcBorders>
            <w:shd w:val="clear" w:color="auto" w:fill="auto"/>
            <w:noWrap/>
            <w:vAlign w:val="bottom"/>
            <w:hideMark/>
          </w:tcPr>
          <w:p w14:paraId="04A2E185"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CT/MRI</w:t>
            </w:r>
          </w:p>
        </w:tc>
        <w:tc>
          <w:tcPr>
            <w:tcW w:w="0" w:type="auto"/>
            <w:tcBorders>
              <w:top w:val="nil"/>
              <w:left w:val="nil"/>
              <w:bottom w:val="single" w:sz="4" w:space="0" w:color="auto"/>
              <w:right w:val="nil"/>
            </w:tcBorders>
            <w:shd w:val="clear" w:color="auto" w:fill="auto"/>
            <w:noWrap/>
            <w:vAlign w:val="bottom"/>
            <w:hideMark/>
          </w:tcPr>
          <w:p w14:paraId="77B26861" w14:textId="39A89A19"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i/>
                <w:iCs/>
                <w:color w:val="000000"/>
                <w:kern w:val="0"/>
                <w:sz w:val="18"/>
                <w:szCs w:val="18"/>
              </w:rPr>
              <w:t>P</w:t>
            </w:r>
            <w:r w:rsidRPr="00A317E0">
              <w:rPr>
                <w:rFonts w:ascii="Times New Roman" w:eastAsia="等线" w:hAnsi="Times New Roman" w:cs="Times New Roman"/>
                <w:color w:val="000000"/>
                <w:kern w:val="0"/>
                <w:sz w:val="18"/>
                <w:szCs w:val="18"/>
              </w:rPr>
              <w:t xml:space="preserve"> Value</w:t>
            </w:r>
          </w:p>
        </w:tc>
        <w:tc>
          <w:tcPr>
            <w:tcW w:w="0" w:type="auto"/>
            <w:tcBorders>
              <w:top w:val="nil"/>
              <w:left w:val="nil"/>
              <w:bottom w:val="single" w:sz="4" w:space="0" w:color="auto"/>
              <w:right w:val="nil"/>
            </w:tcBorders>
            <w:shd w:val="clear" w:color="auto" w:fill="auto"/>
            <w:noWrap/>
            <w:vAlign w:val="bottom"/>
            <w:hideMark/>
          </w:tcPr>
          <w:p w14:paraId="125B52DE"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CEUS</w:t>
            </w:r>
          </w:p>
        </w:tc>
        <w:tc>
          <w:tcPr>
            <w:tcW w:w="0" w:type="auto"/>
            <w:tcBorders>
              <w:top w:val="nil"/>
              <w:left w:val="nil"/>
              <w:bottom w:val="single" w:sz="4" w:space="0" w:color="auto"/>
              <w:right w:val="nil"/>
            </w:tcBorders>
            <w:shd w:val="clear" w:color="auto" w:fill="auto"/>
            <w:noWrap/>
            <w:vAlign w:val="bottom"/>
            <w:hideMark/>
          </w:tcPr>
          <w:p w14:paraId="5486CB6A"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CT/MRI</w:t>
            </w:r>
          </w:p>
        </w:tc>
        <w:tc>
          <w:tcPr>
            <w:tcW w:w="0" w:type="auto"/>
            <w:tcBorders>
              <w:top w:val="nil"/>
              <w:left w:val="nil"/>
              <w:bottom w:val="single" w:sz="4" w:space="0" w:color="auto"/>
              <w:right w:val="nil"/>
            </w:tcBorders>
            <w:shd w:val="clear" w:color="auto" w:fill="auto"/>
            <w:noWrap/>
            <w:vAlign w:val="bottom"/>
            <w:hideMark/>
          </w:tcPr>
          <w:p w14:paraId="52368742" w14:textId="0AFCFB5E"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i/>
                <w:iCs/>
                <w:color w:val="000000"/>
                <w:kern w:val="0"/>
                <w:sz w:val="18"/>
                <w:szCs w:val="18"/>
              </w:rPr>
              <w:t>P</w:t>
            </w:r>
            <w:r w:rsidRPr="00A317E0">
              <w:rPr>
                <w:rFonts w:ascii="Times New Roman" w:eastAsia="等线" w:hAnsi="Times New Roman" w:cs="Times New Roman"/>
                <w:color w:val="000000"/>
                <w:kern w:val="0"/>
                <w:sz w:val="18"/>
                <w:szCs w:val="18"/>
              </w:rPr>
              <w:t xml:space="preserve"> Value</w:t>
            </w:r>
          </w:p>
        </w:tc>
        <w:tc>
          <w:tcPr>
            <w:tcW w:w="0" w:type="auto"/>
            <w:tcBorders>
              <w:top w:val="nil"/>
              <w:left w:val="nil"/>
              <w:bottom w:val="single" w:sz="4" w:space="0" w:color="auto"/>
              <w:right w:val="nil"/>
            </w:tcBorders>
            <w:shd w:val="clear" w:color="auto" w:fill="auto"/>
            <w:noWrap/>
            <w:vAlign w:val="bottom"/>
            <w:hideMark/>
          </w:tcPr>
          <w:p w14:paraId="10EFE272"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CEUS</w:t>
            </w:r>
          </w:p>
        </w:tc>
        <w:tc>
          <w:tcPr>
            <w:tcW w:w="0" w:type="auto"/>
            <w:tcBorders>
              <w:top w:val="nil"/>
              <w:left w:val="nil"/>
              <w:bottom w:val="single" w:sz="4" w:space="0" w:color="auto"/>
              <w:right w:val="nil"/>
            </w:tcBorders>
            <w:shd w:val="clear" w:color="auto" w:fill="auto"/>
            <w:noWrap/>
            <w:vAlign w:val="bottom"/>
            <w:hideMark/>
          </w:tcPr>
          <w:p w14:paraId="5DCEDF5E"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CT/MRI</w:t>
            </w:r>
          </w:p>
        </w:tc>
        <w:tc>
          <w:tcPr>
            <w:tcW w:w="0" w:type="auto"/>
            <w:tcBorders>
              <w:top w:val="nil"/>
              <w:left w:val="nil"/>
              <w:bottom w:val="single" w:sz="4" w:space="0" w:color="auto"/>
              <w:right w:val="nil"/>
            </w:tcBorders>
            <w:shd w:val="clear" w:color="auto" w:fill="auto"/>
            <w:noWrap/>
            <w:vAlign w:val="bottom"/>
            <w:hideMark/>
          </w:tcPr>
          <w:p w14:paraId="645BFC94"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CEUS</w:t>
            </w:r>
          </w:p>
        </w:tc>
        <w:tc>
          <w:tcPr>
            <w:tcW w:w="0" w:type="auto"/>
            <w:tcBorders>
              <w:top w:val="nil"/>
              <w:left w:val="nil"/>
              <w:bottom w:val="single" w:sz="4" w:space="0" w:color="auto"/>
              <w:right w:val="nil"/>
            </w:tcBorders>
            <w:shd w:val="clear" w:color="auto" w:fill="auto"/>
            <w:noWrap/>
            <w:vAlign w:val="bottom"/>
            <w:hideMark/>
          </w:tcPr>
          <w:p w14:paraId="37F59507"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CT/MRI</w:t>
            </w:r>
          </w:p>
        </w:tc>
      </w:tr>
      <w:tr w:rsidR="003110F0" w:rsidRPr="00A317E0" w14:paraId="2ED91B0F" w14:textId="77777777" w:rsidTr="003110F0">
        <w:trPr>
          <w:trHeight w:val="278"/>
        </w:trPr>
        <w:tc>
          <w:tcPr>
            <w:tcW w:w="0" w:type="auto"/>
            <w:tcBorders>
              <w:top w:val="single" w:sz="4" w:space="0" w:color="auto"/>
              <w:left w:val="nil"/>
              <w:bottom w:val="nil"/>
              <w:right w:val="nil"/>
            </w:tcBorders>
            <w:shd w:val="clear" w:color="auto" w:fill="auto"/>
            <w:noWrap/>
            <w:vAlign w:val="bottom"/>
            <w:hideMark/>
          </w:tcPr>
          <w:p w14:paraId="6A7DBC7E"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1 month (n=157)</w:t>
            </w:r>
          </w:p>
        </w:tc>
        <w:tc>
          <w:tcPr>
            <w:tcW w:w="0" w:type="auto"/>
            <w:tcBorders>
              <w:top w:val="nil"/>
              <w:left w:val="nil"/>
              <w:bottom w:val="nil"/>
              <w:right w:val="nil"/>
            </w:tcBorders>
            <w:shd w:val="clear" w:color="auto" w:fill="auto"/>
            <w:noWrap/>
            <w:vAlign w:val="bottom"/>
            <w:hideMark/>
          </w:tcPr>
          <w:p w14:paraId="74B5297A"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45.2(19/42)</w:t>
            </w:r>
          </w:p>
        </w:tc>
        <w:tc>
          <w:tcPr>
            <w:tcW w:w="0" w:type="auto"/>
            <w:tcBorders>
              <w:top w:val="nil"/>
              <w:left w:val="nil"/>
              <w:bottom w:val="nil"/>
              <w:right w:val="nil"/>
            </w:tcBorders>
            <w:shd w:val="clear" w:color="auto" w:fill="auto"/>
            <w:noWrap/>
            <w:vAlign w:val="bottom"/>
            <w:hideMark/>
          </w:tcPr>
          <w:p w14:paraId="65052940"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54.8(23/42)</w:t>
            </w:r>
          </w:p>
        </w:tc>
        <w:tc>
          <w:tcPr>
            <w:tcW w:w="0" w:type="auto"/>
            <w:tcBorders>
              <w:top w:val="nil"/>
              <w:left w:val="nil"/>
              <w:bottom w:val="nil"/>
              <w:right w:val="nil"/>
            </w:tcBorders>
            <w:shd w:val="clear" w:color="auto" w:fill="auto"/>
            <w:noWrap/>
            <w:vAlign w:val="bottom"/>
            <w:hideMark/>
          </w:tcPr>
          <w:p w14:paraId="120C66E0"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 xml:space="preserve">0.134 </w:t>
            </w:r>
          </w:p>
        </w:tc>
        <w:tc>
          <w:tcPr>
            <w:tcW w:w="0" w:type="auto"/>
            <w:tcBorders>
              <w:top w:val="nil"/>
              <w:left w:val="nil"/>
              <w:bottom w:val="nil"/>
              <w:right w:val="nil"/>
            </w:tcBorders>
            <w:shd w:val="clear" w:color="auto" w:fill="auto"/>
            <w:noWrap/>
            <w:vAlign w:val="bottom"/>
            <w:hideMark/>
          </w:tcPr>
          <w:p w14:paraId="00D36510"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98.3(113/115)</w:t>
            </w:r>
          </w:p>
        </w:tc>
        <w:tc>
          <w:tcPr>
            <w:tcW w:w="0" w:type="auto"/>
            <w:tcBorders>
              <w:top w:val="nil"/>
              <w:left w:val="nil"/>
              <w:bottom w:val="nil"/>
              <w:right w:val="nil"/>
            </w:tcBorders>
            <w:shd w:val="clear" w:color="auto" w:fill="auto"/>
            <w:noWrap/>
            <w:vAlign w:val="bottom"/>
            <w:hideMark/>
          </w:tcPr>
          <w:p w14:paraId="48D8C771"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93.0(107/115)</w:t>
            </w:r>
          </w:p>
        </w:tc>
        <w:tc>
          <w:tcPr>
            <w:tcW w:w="0" w:type="auto"/>
            <w:tcBorders>
              <w:top w:val="nil"/>
              <w:left w:val="nil"/>
              <w:bottom w:val="nil"/>
              <w:right w:val="nil"/>
            </w:tcBorders>
            <w:shd w:val="clear" w:color="auto" w:fill="auto"/>
            <w:noWrap/>
            <w:vAlign w:val="bottom"/>
            <w:hideMark/>
          </w:tcPr>
          <w:p w14:paraId="3F680F78" w14:textId="0ABF1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0.041</w:t>
            </w:r>
            <w:r w:rsidR="00AE5AF4" w:rsidRPr="00A317E0">
              <w:rPr>
                <w:rFonts w:ascii="Times New Roman" w:hAnsi="Times New Roman" w:cs="Times New Roman"/>
                <w:sz w:val="18"/>
                <w:szCs w:val="18"/>
              </w:rPr>
              <w:t xml:space="preserve">† </w:t>
            </w:r>
            <w:r w:rsidRPr="00A317E0">
              <w:rPr>
                <w:rFonts w:ascii="Times New Roman" w:eastAsia="等线" w:hAnsi="Times New Roman" w:cs="Times New Roman"/>
                <w:color w:val="000000"/>
                <w:kern w:val="0"/>
                <w:sz w:val="18"/>
                <w:szCs w:val="18"/>
              </w:rPr>
              <w:t xml:space="preserve"> </w:t>
            </w:r>
          </w:p>
        </w:tc>
        <w:tc>
          <w:tcPr>
            <w:tcW w:w="0" w:type="auto"/>
            <w:tcBorders>
              <w:top w:val="nil"/>
              <w:left w:val="nil"/>
              <w:bottom w:val="nil"/>
              <w:right w:val="nil"/>
            </w:tcBorders>
            <w:shd w:val="clear" w:color="auto" w:fill="auto"/>
            <w:noWrap/>
            <w:vAlign w:val="bottom"/>
            <w:hideMark/>
          </w:tcPr>
          <w:p w14:paraId="16265699"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90.5(19/21)</w:t>
            </w:r>
          </w:p>
        </w:tc>
        <w:tc>
          <w:tcPr>
            <w:tcW w:w="0" w:type="auto"/>
            <w:tcBorders>
              <w:top w:val="nil"/>
              <w:left w:val="nil"/>
              <w:bottom w:val="nil"/>
              <w:right w:val="nil"/>
            </w:tcBorders>
            <w:shd w:val="clear" w:color="auto" w:fill="auto"/>
            <w:noWrap/>
            <w:vAlign w:val="bottom"/>
            <w:hideMark/>
          </w:tcPr>
          <w:p w14:paraId="57D4E38D"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74.2(23/31)</w:t>
            </w:r>
          </w:p>
        </w:tc>
        <w:tc>
          <w:tcPr>
            <w:tcW w:w="0" w:type="auto"/>
            <w:tcBorders>
              <w:top w:val="nil"/>
              <w:left w:val="nil"/>
              <w:bottom w:val="nil"/>
              <w:right w:val="nil"/>
            </w:tcBorders>
            <w:shd w:val="clear" w:color="auto" w:fill="auto"/>
            <w:noWrap/>
            <w:vAlign w:val="bottom"/>
            <w:hideMark/>
          </w:tcPr>
          <w:p w14:paraId="1D2A8C5D"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83.1(113/136)</w:t>
            </w:r>
          </w:p>
        </w:tc>
        <w:tc>
          <w:tcPr>
            <w:tcW w:w="0" w:type="auto"/>
            <w:tcBorders>
              <w:top w:val="nil"/>
              <w:left w:val="nil"/>
              <w:bottom w:val="nil"/>
              <w:right w:val="nil"/>
            </w:tcBorders>
            <w:shd w:val="clear" w:color="auto" w:fill="auto"/>
            <w:noWrap/>
            <w:vAlign w:val="bottom"/>
            <w:hideMark/>
          </w:tcPr>
          <w:p w14:paraId="04579418"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84.9(107/126)</w:t>
            </w:r>
          </w:p>
        </w:tc>
      </w:tr>
      <w:tr w:rsidR="003110F0" w:rsidRPr="00A317E0" w14:paraId="05B8985B" w14:textId="77777777" w:rsidTr="003110F0">
        <w:trPr>
          <w:trHeight w:val="278"/>
        </w:trPr>
        <w:tc>
          <w:tcPr>
            <w:tcW w:w="0" w:type="auto"/>
            <w:tcBorders>
              <w:top w:val="nil"/>
              <w:left w:val="nil"/>
              <w:bottom w:val="nil"/>
              <w:right w:val="nil"/>
            </w:tcBorders>
            <w:shd w:val="clear" w:color="auto" w:fill="auto"/>
            <w:noWrap/>
            <w:vAlign w:val="bottom"/>
            <w:hideMark/>
          </w:tcPr>
          <w:p w14:paraId="59EFED15"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p>
        </w:tc>
        <w:tc>
          <w:tcPr>
            <w:tcW w:w="0" w:type="auto"/>
            <w:tcBorders>
              <w:top w:val="nil"/>
              <w:left w:val="nil"/>
              <w:bottom w:val="nil"/>
              <w:right w:val="nil"/>
            </w:tcBorders>
            <w:shd w:val="clear" w:color="auto" w:fill="auto"/>
            <w:noWrap/>
            <w:vAlign w:val="bottom"/>
            <w:hideMark/>
          </w:tcPr>
          <w:p w14:paraId="64672847"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[29.9, 61.3]</w:t>
            </w:r>
          </w:p>
        </w:tc>
        <w:tc>
          <w:tcPr>
            <w:tcW w:w="0" w:type="auto"/>
            <w:tcBorders>
              <w:top w:val="nil"/>
              <w:left w:val="nil"/>
              <w:bottom w:val="nil"/>
              <w:right w:val="nil"/>
            </w:tcBorders>
            <w:shd w:val="clear" w:color="auto" w:fill="auto"/>
            <w:noWrap/>
            <w:vAlign w:val="bottom"/>
            <w:hideMark/>
          </w:tcPr>
          <w:p w14:paraId="648109FA"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[38.7, 70.2]</w:t>
            </w:r>
          </w:p>
        </w:tc>
        <w:tc>
          <w:tcPr>
            <w:tcW w:w="0" w:type="auto"/>
            <w:tcBorders>
              <w:top w:val="nil"/>
              <w:left w:val="nil"/>
              <w:bottom w:val="nil"/>
              <w:right w:val="nil"/>
            </w:tcBorders>
            <w:shd w:val="clear" w:color="auto" w:fill="auto"/>
            <w:noWrap/>
            <w:vAlign w:val="bottom"/>
            <w:hideMark/>
          </w:tcPr>
          <w:p w14:paraId="4568A206"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p>
        </w:tc>
        <w:tc>
          <w:tcPr>
            <w:tcW w:w="0" w:type="auto"/>
            <w:tcBorders>
              <w:top w:val="nil"/>
              <w:left w:val="nil"/>
              <w:bottom w:val="nil"/>
              <w:right w:val="nil"/>
            </w:tcBorders>
            <w:shd w:val="clear" w:color="auto" w:fill="auto"/>
            <w:noWrap/>
            <w:vAlign w:val="bottom"/>
            <w:hideMark/>
          </w:tcPr>
          <w:p w14:paraId="5A1C90BA"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[93.9, 99.8]</w:t>
            </w:r>
          </w:p>
        </w:tc>
        <w:tc>
          <w:tcPr>
            <w:tcW w:w="0" w:type="auto"/>
            <w:tcBorders>
              <w:top w:val="nil"/>
              <w:left w:val="nil"/>
              <w:bottom w:val="nil"/>
              <w:right w:val="nil"/>
            </w:tcBorders>
            <w:shd w:val="clear" w:color="auto" w:fill="auto"/>
            <w:noWrap/>
            <w:vAlign w:val="bottom"/>
            <w:hideMark/>
          </w:tcPr>
          <w:p w14:paraId="14E91387"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[86.8, 97.0]</w:t>
            </w:r>
          </w:p>
        </w:tc>
        <w:tc>
          <w:tcPr>
            <w:tcW w:w="0" w:type="auto"/>
            <w:tcBorders>
              <w:top w:val="nil"/>
              <w:left w:val="nil"/>
              <w:bottom w:val="nil"/>
              <w:right w:val="nil"/>
            </w:tcBorders>
            <w:shd w:val="clear" w:color="auto" w:fill="auto"/>
            <w:noWrap/>
            <w:vAlign w:val="bottom"/>
            <w:hideMark/>
          </w:tcPr>
          <w:p w14:paraId="4C9EE15B"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p>
        </w:tc>
        <w:tc>
          <w:tcPr>
            <w:tcW w:w="0" w:type="auto"/>
            <w:tcBorders>
              <w:top w:val="nil"/>
              <w:left w:val="nil"/>
              <w:bottom w:val="nil"/>
              <w:right w:val="nil"/>
            </w:tcBorders>
            <w:shd w:val="clear" w:color="auto" w:fill="auto"/>
            <w:noWrap/>
            <w:vAlign w:val="bottom"/>
            <w:hideMark/>
          </w:tcPr>
          <w:p w14:paraId="06384C8F"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[69.6, 98.8]</w:t>
            </w:r>
          </w:p>
        </w:tc>
        <w:tc>
          <w:tcPr>
            <w:tcW w:w="0" w:type="auto"/>
            <w:tcBorders>
              <w:top w:val="nil"/>
              <w:left w:val="nil"/>
              <w:bottom w:val="nil"/>
              <w:right w:val="nil"/>
            </w:tcBorders>
            <w:shd w:val="clear" w:color="auto" w:fill="auto"/>
            <w:noWrap/>
            <w:vAlign w:val="bottom"/>
            <w:hideMark/>
          </w:tcPr>
          <w:p w14:paraId="38DDBE06"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[55.3, 88.1]</w:t>
            </w:r>
          </w:p>
        </w:tc>
        <w:tc>
          <w:tcPr>
            <w:tcW w:w="0" w:type="auto"/>
            <w:tcBorders>
              <w:top w:val="nil"/>
              <w:left w:val="nil"/>
              <w:bottom w:val="nil"/>
              <w:right w:val="nil"/>
            </w:tcBorders>
            <w:shd w:val="clear" w:color="auto" w:fill="auto"/>
            <w:noWrap/>
            <w:vAlign w:val="bottom"/>
            <w:hideMark/>
          </w:tcPr>
          <w:p w14:paraId="2DCFCF3C"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[75.7,89.0]</w:t>
            </w:r>
          </w:p>
        </w:tc>
        <w:tc>
          <w:tcPr>
            <w:tcW w:w="0" w:type="auto"/>
            <w:tcBorders>
              <w:top w:val="nil"/>
              <w:left w:val="nil"/>
              <w:bottom w:val="nil"/>
              <w:right w:val="nil"/>
            </w:tcBorders>
            <w:shd w:val="clear" w:color="auto" w:fill="auto"/>
            <w:noWrap/>
            <w:vAlign w:val="bottom"/>
            <w:hideMark/>
          </w:tcPr>
          <w:p w14:paraId="184E0F95"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[77.5, 90.7]</w:t>
            </w:r>
          </w:p>
        </w:tc>
      </w:tr>
      <w:tr w:rsidR="003110F0" w:rsidRPr="00A317E0" w14:paraId="29C8DB99" w14:textId="77777777" w:rsidTr="003110F0">
        <w:trPr>
          <w:trHeight w:val="278"/>
        </w:trPr>
        <w:tc>
          <w:tcPr>
            <w:tcW w:w="0" w:type="auto"/>
            <w:tcBorders>
              <w:top w:val="nil"/>
              <w:left w:val="nil"/>
              <w:bottom w:val="nil"/>
              <w:right w:val="nil"/>
            </w:tcBorders>
            <w:shd w:val="clear" w:color="auto" w:fill="auto"/>
            <w:noWrap/>
            <w:vAlign w:val="bottom"/>
            <w:hideMark/>
          </w:tcPr>
          <w:p w14:paraId="15B98AA4"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2-6 months (n=80)</w:t>
            </w:r>
          </w:p>
        </w:tc>
        <w:tc>
          <w:tcPr>
            <w:tcW w:w="0" w:type="auto"/>
            <w:tcBorders>
              <w:top w:val="nil"/>
              <w:left w:val="nil"/>
              <w:bottom w:val="nil"/>
              <w:right w:val="nil"/>
            </w:tcBorders>
            <w:shd w:val="clear" w:color="auto" w:fill="auto"/>
            <w:noWrap/>
            <w:vAlign w:val="bottom"/>
            <w:hideMark/>
          </w:tcPr>
          <w:p w14:paraId="0A08762C"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71.4(25/35)</w:t>
            </w:r>
          </w:p>
        </w:tc>
        <w:tc>
          <w:tcPr>
            <w:tcW w:w="0" w:type="auto"/>
            <w:tcBorders>
              <w:top w:val="nil"/>
              <w:left w:val="nil"/>
              <w:bottom w:val="nil"/>
              <w:right w:val="nil"/>
            </w:tcBorders>
            <w:shd w:val="clear" w:color="auto" w:fill="auto"/>
            <w:noWrap/>
            <w:vAlign w:val="bottom"/>
            <w:hideMark/>
          </w:tcPr>
          <w:p w14:paraId="01AA1921"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65.7(23/35)</w:t>
            </w:r>
          </w:p>
        </w:tc>
        <w:tc>
          <w:tcPr>
            <w:tcW w:w="0" w:type="auto"/>
            <w:tcBorders>
              <w:top w:val="nil"/>
              <w:left w:val="nil"/>
              <w:bottom w:val="nil"/>
              <w:right w:val="nil"/>
            </w:tcBorders>
            <w:shd w:val="clear" w:color="auto" w:fill="auto"/>
            <w:noWrap/>
            <w:vAlign w:val="bottom"/>
            <w:hideMark/>
          </w:tcPr>
          <w:p w14:paraId="7592C1BB"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 xml:space="preserve">0.480 </w:t>
            </w:r>
          </w:p>
        </w:tc>
        <w:tc>
          <w:tcPr>
            <w:tcW w:w="0" w:type="auto"/>
            <w:tcBorders>
              <w:top w:val="nil"/>
              <w:left w:val="nil"/>
              <w:bottom w:val="nil"/>
              <w:right w:val="nil"/>
            </w:tcBorders>
            <w:shd w:val="clear" w:color="auto" w:fill="auto"/>
            <w:noWrap/>
            <w:vAlign w:val="bottom"/>
            <w:hideMark/>
          </w:tcPr>
          <w:p w14:paraId="1A1F0C5D"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93.3(42/45)</w:t>
            </w:r>
          </w:p>
        </w:tc>
        <w:tc>
          <w:tcPr>
            <w:tcW w:w="0" w:type="auto"/>
            <w:tcBorders>
              <w:top w:val="nil"/>
              <w:left w:val="nil"/>
              <w:bottom w:val="nil"/>
              <w:right w:val="nil"/>
            </w:tcBorders>
            <w:shd w:val="clear" w:color="auto" w:fill="auto"/>
            <w:noWrap/>
            <w:vAlign w:val="bottom"/>
            <w:hideMark/>
          </w:tcPr>
          <w:p w14:paraId="3429FA51"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91.1(41/45)</w:t>
            </w:r>
          </w:p>
        </w:tc>
        <w:tc>
          <w:tcPr>
            <w:tcW w:w="0" w:type="auto"/>
            <w:tcBorders>
              <w:top w:val="nil"/>
              <w:left w:val="nil"/>
              <w:bottom w:val="nil"/>
              <w:right w:val="nil"/>
            </w:tcBorders>
            <w:shd w:val="clear" w:color="auto" w:fill="auto"/>
            <w:noWrap/>
            <w:vAlign w:val="bottom"/>
            <w:hideMark/>
          </w:tcPr>
          <w:p w14:paraId="4974C78C" w14:textId="727B9A23" w:rsidR="003110F0" w:rsidRPr="00A317E0" w:rsidRDefault="0040685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&gt;0.99</w:t>
            </w:r>
            <w:r w:rsidR="003110F0" w:rsidRPr="00A317E0">
              <w:rPr>
                <w:rFonts w:ascii="Times New Roman" w:eastAsia="等线" w:hAnsi="Times New Roman" w:cs="Times New Roman"/>
                <w:color w:val="000000"/>
                <w:kern w:val="0"/>
                <w:sz w:val="18"/>
                <w:szCs w:val="18"/>
              </w:rPr>
              <w:t xml:space="preserve"> </w:t>
            </w:r>
          </w:p>
        </w:tc>
        <w:tc>
          <w:tcPr>
            <w:tcW w:w="0" w:type="auto"/>
            <w:tcBorders>
              <w:top w:val="nil"/>
              <w:left w:val="nil"/>
              <w:bottom w:val="nil"/>
              <w:right w:val="nil"/>
            </w:tcBorders>
            <w:shd w:val="clear" w:color="auto" w:fill="auto"/>
            <w:noWrap/>
            <w:vAlign w:val="bottom"/>
            <w:hideMark/>
          </w:tcPr>
          <w:p w14:paraId="201822B3"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89.3(25/28)</w:t>
            </w:r>
          </w:p>
        </w:tc>
        <w:tc>
          <w:tcPr>
            <w:tcW w:w="0" w:type="auto"/>
            <w:tcBorders>
              <w:top w:val="nil"/>
              <w:left w:val="nil"/>
              <w:bottom w:val="nil"/>
              <w:right w:val="nil"/>
            </w:tcBorders>
            <w:shd w:val="clear" w:color="auto" w:fill="auto"/>
            <w:noWrap/>
            <w:vAlign w:val="bottom"/>
            <w:hideMark/>
          </w:tcPr>
          <w:p w14:paraId="58F7E286"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85.2(23/27)</w:t>
            </w:r>
          </w:p>
        </w:tc>
        <w:tc>
          <w:tcPr>
            <w:tcW w:w="0" w:type="auto"/>
            <w:tcBorders>
              <w:top w:val="nil"/>
              <w:left w:val="nil"/>
              <w:bottom w:val="nil"/>
              <w:right w:val="nil"/>
            </w:tcBorders>
            <w:shd w:val="clear" w:color="auto" w:fill="auto"/>
            <w:noWrap/>
            <w:vAlign w:val="bottom"/>
            <w:hideMark/>
          </w:tcPr>
          <w:p w14:paraId="38BA230B"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80.8(42/52)</w:t>
            </w:r>
          </w:p>
        </w:tc>
        <w:tc>
          <w:tcPr>
            <w:tcW w:w="0" w:type="auto"/>
            <w:tcBorders>
              <w:top w:val="nil"/>
              <w:left w:val="nil"/>
              <w:bottom w:val="nil"/>
              <w:right w:val="nil"/>
            </w:tcBorders>
            <w:shd w:val="clear" w:color="auto" w:fill="auto"/>
            <w:noWrap/>
            <w:vAlign w:val="bottom"/>
            <w:hideMark/>
          </w:tcPr>
          <w:p w14:paraId="57DF3A35"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77.4(41/53)</w:t>
            </w:r>
          </w:p>
        </w:tc>
      </w:tr>
      <w:tr w:rsidR="003110F0" w:rsidRPr="00A317E0" w14:paraId="0DBA4AE5" w14:textId="77777777" w:rsidTr="003110F0">
        <w:trPr>
          <w:trHeight w:val="278"/>
        </w:trPr>
        <w:tc>
          <w:tcPr>
            <w:tcW w:w="0" w:type="auto"/>
            <w:tcBorders>
              <w:top w:val="nil"/>
              <w:left w:val="nil"/>
              <w:bottom w:val="nil"/>
              <w:right w:val="nil"/>
            </w:tcBorders>
            <w:shd w:val="clear" w:color="auto" w:fill="auto"/>
            <w:noWrap/>
            <w:vAlign w:val="bottom"/>
            <w:hideMark/>
          </w:tcPr>
          <w:p w14:paraId="199D35FB"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p>
        </w:tc>
        <w:tc>
          <w:tcPr>
            <w:tcW w:w="0" w:type="auto"/>
            <w:tcBorders>
              <w:top w:val="nil"/>
              <w:left w:val="nil"/>
              <w:bottom w:val="nil"/>
              <w:right w:val="nil"/>
            </w:tcBorders>
            <w:shd w:val="clear" w:color="auto" w:fill="auto"/>
            <w:noWrap/>
            <w:vAlign w:val="bottom"/>
            <w:hideMark/>
          </w:tcPr>
          <w:p w14:paraId="3F2C96E8"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[53.7, 85.4]</w:t>
            </w:r>
          </w:p>
        </w:tc>
        <w:tc>
          <w:tcPr>
            <w:tcW w:w="0" w:type="auto"/>
            <w:tcBorders>
              <w:top w:val="nil"/>
              <w:left w:val="nil"/>
              <w:bottom w:val="nil"/>
              <w:right w:val="nil"/>
            </w:tcBorders>
            <w:shd w:val="clear" w:color="auto" w:fill="auto"/>
            <w:noWrap/>
            <w:vAlign w:val="bottom"/>
            <w:hideMark/>
          </w:tcPr>
          <w:p w14:paraId="2CA60904"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[47.8, 80.9]</w:t>
            </w:r>
          </w:p>
        </w:tc>
        <w:tc>
          <w:tcPr>
            <w:tcW w:w="0" w:type="auto"/>
            <w:tcBorders>
              <w:top w:val="nil"/>
              <w:left w:val="nil"/>
              <w:bottom w:val="nil"/>
              <w:right w:val="nil"/>
            </w:tcBorders>
            <w:shd w:val="clear" w:color="auto" w:fill="auto"/>
            <w:noWrap/>
            <w:vAlign w:val="bottom"/>
            <w:hideMark/>
          </w:tcPr>
          <w:p w14:paraId="78B4A3E9"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p>
        </w:tc>
        <w:tc>
          <w:tcPr>
            <w:tcW w:w="0" w:type="auto"/>
            <w:tcBorders>
              <w:top w:val="nil"/>
              <w:left w:val="nil"/>
              <w:bottom w:val="nil"/>
              <w:right w:val="nil"/>
            </w:tcBorders>
            <w:shd w:val="clear" w:color="auto" w:fill="auto"/>
            <w:noWrap/>
            <w:vAlign w:val="bottom"/>
            <w:hideMark/>
          </w:tcPr>
          <w:p w14:paraId="45010A18"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[81.7, 98.6]</w:t>
            </w:r>
          </w:p>
        </w:tc>
        <w:tc>
          <w:tcPr>
            <w:tcW w:w="0" w:type="auto"/>
            <w:tcBorders>
              <w:top w:val="nil"/>
              <w:left w:val="nil"/>
              <w:bottom w:val="nil"/>
              <w:right w:val="nil"/>
            </w:tcBorders>
            <w:shd w:val="clear" w:color="auto" w:fill="auto"/>
            <w:noWrap/>
            <w:vAlign w:val="bottom"/>
            <w:hideMark/>
          </w:tcPr>
          <w:p w14:paraId="53ED1CA6"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[78.8, 97.5]</w:t>
            </w:r>
          </w:p>
        </w:tc>
        <w:tc>
          <w:tcPr>
            <w:tcW w:w="0" w:type="auto"/>
            <w:tcBorders>
              <w:top w:val="nil"/>
              <w:left w:val="nil"/>
              <w:bottom w:val="nil"/>
              <w:right w:val="nil"/>
            </w:tcBorders>
            <w:shd w:val="clear" w:color="auto" w:fill="auto"/>
            <w:noWrap/>
            <w:vAlign w:val="bottom"/>
            <w:hideMark/>
          </w:tcPr>
          <w:p w14:paraId="4A70F5A7"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p>
        </w:tc>
        <w:tc>
          <w:tcPr>
            <w:tcW w:w="0" w:type="auto"/>
            <w:tcBorders>
              <w:top w:val="nil"/>
              <w:left w:val="nil"/>
              <w:bottom w:val="nil"/>
              <w:right w:val="nil"/>
            </w:tcBorders>
            <w:shd w:val="clear" w:color="auto" w:fill="auto"/>
            <w:noWrap/>
            <w:vAlign w:val="bottom"/>
            <w:hideMark/>
          </w:tcPr>
          <w:p w14:paraId="6A8CF057"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[71.8, 97.7]</w:t>
            </w:r>
          </w:p>
        </w:tc>
        <w:tc>
          <w:tcPr>
            <w:tcW w:w="0" w:type="auto"/>
            <w:tcBorders>
              <w:top w:val="nil"/>
              <w:left w:val="nil"/>
              <w:bottom w:val="nil"/>
              <w:right w:val="nil"/>
            </w:tcBorders>
            <w:shd w:val="clear" w:color="auto" w:fill="auto"/>
            <w:noWrap/>
            <w:vAlign w:val="bottom"/>
            <w:hideMark/>
          </w:tcPr>
          <w:p w14:paraId="3BED304B"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[66.3, 95.8]</w:t>
            </w:r>
          </w:p>
        </w:tc>
        <w:tc>
          <w:tcPr>
            <w:tcW w:w="0" w:type="auto"/>
            <w:tcBorders>
              <w:top w:val="nil"/>
              <w:left w:val="nil"/>
              <w:bottom w:val="nil"/>
              <w:right w:val="nil"/>
            </w:tcBorders>
            <w:shd w:val="clear" w:color="auto" w:fill="auto"/>
            <w:noWrap/>
            <w:vAlign w:val="bottom"/>
            <w:hideMark/>
          </w:tcPr>
          <w:p w14:paraId="15627C4C"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[67.5, 90.4]</w:t>
            </w:r>
          </w:p>
        </w:tc>
        <w:tc>
          <w:tcPr>
            <w:tcW w:w="0" w:type="auto"/>
            <w:tcBorders>
              <w:top w:val="nil"/>
              <w:left w:val="nil"/>
              <w:bottom w:val="nil"/>
              <w:right w:val="nil"/>
            </w:tcBorders>
            <w:shd w:val="clear" w:color="auto" w:fill="auto"/>
            <w:noWrap/>
            <w:vAlign w:val="bottom"/>
            <w:hideMark/>
          </w:tcPr>
          <w:p w14:paraId="7E473B49"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[63.8, 87.7]</w:t>
            </w:r>
          </w:p>
        </w:tc>
      </w:tr>
      <w:tr w:rsidR="003110F0" w:rsidRPr="00A317E0" w14:paraId="26C586A9" w14:textId="77777777" w:rsidTr="003110F0">
        <w:trPr>
          <w:trHeight w:val="278"/>
        </w:trPr>
        <w:tc>
          <w:tcPr>
            <w:tcW w:w="0" w:type="auto"/>
            <w:tcBorders>
              <w:top w:val="nil"/>
              <w:left w:val="nil"/>
              <w:bottom w:val="nil"/>
              <w:right w:val="nil"/>
            </w:tcBorders>
            <w:shd w:val="clear" w:color="auto" w:fill="auto"/>
            <w:noWrap/>
            <w:vAlign w:val="bottom"/>
            <w:hideMark/>
          </w:tcPr>
          <w:p w14:paraId="3ED7F1E8"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&gt;6 months (n=152)</w:t>
            </w:r>
          </w:p>
        </w:tc>
        <w:tc>
          <w:tcPr>
            <w:tcW w:w="0" w:type="auto"/>
            <w:tcBorders>
              <w:top w:val="nil"/>
              <w:left w:val="nil"/>
              <w:bottom w:val="nil"/>
              <w:right w:val="nil"/>
            </w:tcBorders>
            <w:shd w:val="clear" w:color="auto" w:fill="auto"/>
            <w:noWrap/>
            <w:vAlign w:val="bottom"/>
            <w:hideMark/>
          </w:tcPr>
          <w:p w14:paraId="7D682C64"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68.3(28/41)</w:t>
            </w:r>
          </w:p>
        </w:tc>
        <w:tc>
          <w:tcPr>
            <w:tcW w:w="0" w:type="auto"/>
            <w:tcBorders>
              <w:top w:val="nil"/>
              <w:left w:val="nil"/>
              <w:bottom w:val="nil"/>
              <w:right w:val="nil"/>
            </w:tcBorders>
            <w:shd w:val="clear" w:color="auto" w:fill="auto"/>
            <w:noWrap/>
            <w:vAlign w:val="bottom"/>
            <w:hideMark/>
          </w:tcPr>
          <w:p w14:paraId="207BF3BD"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75.6(31/41)</w:t>
            </w:r>
          </w:p>
        </w:tc>
        <w:tc>
          <w:tcPr>
            <w:tcW w:w="0" w:type="auto"/>
            <w:tcBorders>
              <w:top w:val="nil"/>
              <w:left w:val="nil"/>
              <w:bottom w:val="nil"/>
              <w:right w:val="nil"/>
            </w:tcBorders>
            <w:shd w:val="clear" w:color="auto" w:fill="auto"/>
            <w:noWrap/>
            <w:vAlign w:val="bottom"/>
            <w:hideMark/>
          </w:tcPr>
          <w:p w14:paraId="4E42536E"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 xml:space="preserve">0.248 </w:t>
            </w:r>
          </w:p>
        </w:tc>
        <w:tc>
          <w:tcPr>
            <w:tcW w:w="0" w:type="auto"/>
            <w:tcBorders>
              <w:top w:val="nil"/>
              <w:left w:val="nil"/>
              <w:bottom w:val="nil"/>
              <w:right w:val="nil"/>
            </w:tcBorders>
            <w:shd w:val="clear" w:color="auto" w:fill="auto"/>
            <w:noWrap/>
            <w:vAlign w:val="bottom"/>
            <w:hideMark/>
          </w:tcPr>
          <w:p w14:paraId="61877E86"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96.4(107/111)</w:t>
            </w:r>
          </w:p>
        </w:tc>
        <w:tc>
          <w:tcPr>
            <w:tcW w:w="0" w:type="auto"/>
            <w:tcBorders>
              <w:top w:val="nil"/>
              <w:left w:val="nil"/>
              <w:bottom w:val="nil"/>
              <w:right w:val="nil"/>
            </w:tcBorders>
            <w:shd w:val="clear" w:color="auto" w:fill="auto"/>
            <w:noWrap/>
            <w:vAlign w:val="bottom"/>
            <w:hideMark/>
          </w:tcPr>
          <w:p w14:paraId="260DB32C"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97.3(108/111)</w:t>
            </w:r>
          </w:p>
        </w:tc>
        <w:tc>
          <w:tcPr>
            <w:tcW w:w="0" w:type="auto"/>
            <w:tcBorders>
              <w:top w:val="nil"/>
              <w:left w:val="nil"/>
              <w:bottom w:val="nil"/>
              <w:right w:val="nil"/>
            </w:tcBorders>
            <w:shd w:val="clear" w:color="auto" w:fill="auto"/>
            <w:noWrap/>
            <w:vAlign w:val="bottom"/>
            <w:hideMark/>
          </w:tcPr>
          <w:p w14:paraId="769F6650" w14:textId="353A8EC3" w:rsidR="003110F0" w:rsidRPr="00A317E0" w:rsidRDefault="0040685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&gt;0.99</w:t>
            </w:r>
          </w:p>
        </w:tc>
        <w:tc>
          <w:tcPr>
            <w:tcW w:w="0" w:type="auto"/>
            <w:tcBorders>
              <w:top w:val="nil"/>
              <w:left w:val="nil"/>
              <w:bottom w:val="nil"/>
              <w:right w:val="nil"/>
            </w:tcBorders>
            <w:shd w:val="clear" w:color="auto" w:fill="auto"/>
            <w:noWrap/>
            <w:vAlign w:val="bottom"/>
            <w:hideMark/>
          </w:tcPr>
          <w:p w14:paraId="5C250844"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87.5(28/32)</w:t>
            </w:r>
          </w:p>
        </w:tc>
        <w:tc>
          <w:tcPr>
            <w:tcW w:w="0" w:type="auto"/>
            <w:tcBorders>
              <w:top w:val="nil"/>
              <w:left w:val="nil"/>
              <w:bottom w:val="nil"/>
              <w:right w:val="nil"/>
            </w:tcBorders>
            <w:shd w:val="clear" w:color="auto" w:fill="auto"/>
            <w:noWrap/>
            <w:vAlign w:val="bottom"/>
            <w:hideMark/>
          </w:tcPr>
          <w:p w14:paraId="13BB06A0"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91.2(31/34)</w:t>
            </w:r>
          </w:p>
        </w:tc>
        <w:tc>
          <w:tcPr>
            <w:tcW w:w="0" w:type="auto"/>
            <w:tcBorders>
              <w:top w:val="nil"/>
              <w:left w:val="nil"/>
              <w:bottom w:val="nil"/>
              <w:right w:val="nil"/>
            </w:tcBorders>
            <w:shd w:val="clear" w:color="auto" w:fill="auto"/>
            <w:noWrap/>
            <w:vAlign w:val="bottom"/>
            <w:hideMark/>
          </w:tcPr>
          <w:p w14:paraId="08F9ED83"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89.2(107/120)</w:t>
            </w:r>
          </w:p>
        </w:tc>
        <w:tc>
          <w:tcPr>
            <w:tcW w:w="0" w:type="auto"/>
            <w:tcBorders>
              <w:top w:val="nil"/>
              <w:left w:val="nil"/>
              <w:bottom w:val="nil"/>
              <w:right w:val="nil"/>
            </w:tcBorders>
            <w:shd w:val="clear" w:color="auto" w:fill="auto"/>
            <w:noWrap/>
            <w:vAlign w:val="bottom"/>
            <w:hideMark/>
          </w:tcPr>
          <w:p w14:paraId="771975B5"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91.5(108/118)</w:t>
            </w:r>
          </w:p>
        </w:tc>
      </w:tr>
      <w:tr w:rsidR="003110F0" w:rsidRPr="00A317E0" w14:paraId="6C593D97" w14:textId="77777777" w:rsidTr="003110F0">
        <w:trPr>
          <w:trHeight w:val="278"/>
        </w:trPr>
        <w:tc>
          <w:tcPr>
            <w:tcW w:w="0" w:type="auto"/>
            <w:tcBorders>
              <w:top w:val="nil"/>
              <w:left w:val="nil"/>
              <w:bottom w:val="single" w:sz="4" w:space="0" w:color="auto"/>
              <w:right w:val="nil"/>
            </w:tcBorders>
            <w:shd w:val="clear" w:color="auto" w:fill="auto"/>
            <w:noWrap/>
            <w:vAlign w:val="bottom"/>
            <w:hideMark/>
          </w:tcPr>
          <w:p w14:paraId="02CBB613"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14:paraId="5C149E9D"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[51.9,81.8]</w:t>
            </w:r>
          </w:p>
        </w:tc>
        <w:tc>
          <w:tcPr>
            <w:tcW w:w="0" w:type="auto"/>
            <w:tcBorders>
              <w:top w:val="nil"/>
              <w:left w:val="nil"/>
              <w:bottom w:val="single" w:sz="4" w:space="0" w:color="auto"/>
              <w:right w:val="nil"/>
            </w:tcBorders>
            <w:shd w:val="clear" w:color="auto" w:fill="auto"/>
            <w:noWrap/>
            <w:vAlign w:val="bottom"/>
            <w:hideMark/>
          </w:tcPr>
          <w:p w14:paraId="1E15D138"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[59.7,87.6]</w:t>
            </w:r>
          </w:p>
        </w:tc>
        <w:tc>
          <w:tcPr>
            <w:tcW w:w="0" w:type="auto"/>
            <w:tcBorders>
              <w:top w:val="nil"/>
              <w:left w:val="nil"/>
              <w:bottom w:val="single" w:sz="4" w:space="0" w:color="auto"/>
              <w:right w:val="nil"/>
            </w:tcBorders>
            <w:shd w:val="clear" w:color="auto" w:fill="auto"/>
            <w:noWrap/>
            <w:vAlign w:val="bottom"/>
            <w:hideMark/>
          </w:tcPr>
          <w:p w14:paraId="46081634"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14:paraId="3F489FF5"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[91.3,99.0]</w:t>
            </w:r>
          </w:p>
        </w:tc>
        <w:tc>
          <w:tcPr>
            <w:tcW w:w="0" w:type="auto"/>
            <w:tcBorders>
              <w:top w:val="nil"/>
              <w:left w:val="nil"/>
              <w:bottom w:val="single" w:sz="4" w:space="0" w:color="auto"/>
              <w:right w:val="nil"/>
            </w:tcBorders>
            <w:shd w:val="clear" w:color="auto" w:fill="auto"/>
            <w:noWrap/>
            <w:vAlign w:val="bottom"/>
            <w:hideMark/>
          </w:tcPr>
          <w:p w14:paraId="602D5664"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[92.3,99.4]</w:t>
            </w:r>
          </w:p>
        </w:tc>
        <w:tc>
          <w:tcPr>
            <w:tcW w:w="0" w:type="auto"/>
            <w:tcBorders>
              <w:top w:val="nil"/>
              <w:left w:val="nil"/>
              <w:bottom w:val="single" w:sz="4" w:space="0" w:color="auto"/>
              <w:right w:val="nil"/>
            </w:tcBorders>
            <w:shd w:val="clear" w:color="auto" w:fill="auto"/>
            <w:noWrap/>
            <w:vAlign w:val="bottom"/>
            <w:hideMark/>
          </w:tcPr>
          <w:p w14:paraId="465812BE"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 xml:space="preserve">　</w:t>
            </w:r>
          </w:p>
        </w:tc>
        <w:tc>
          <w:tcPr>
            <w:tcW w:w="0" w:type="auto"/>
            <w:tcBorders>
              <w:top w:val="nil"/>
              <w:left w:val="nil"/>
              <w:bottom w:val="single" w:sz="4" w:space="0" w:color="auto"/>
              <w:right w:val="nil"/>
            </w:tcBorders>
            <w:shd w:val="clear" w:color="auto" w:fill="auto"/>
            <w:noWrap/>
            <w:vAlign w:val="bottom"/>
            <w:hideMark/>
          </w:tcPr>
          <w:p w14:paraId="3BD3E9C0"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[71.1,96.4]</w:t>
            </w:r>
          </w:p>
        </w:tc>
        <w:tc>
          <w:tcPr>
            <w:tcW w:w="0" w:type="auto"/>
            <w:tcBorders>
              <w:top w:val="nil"/>
              <w:left w:val="nil"/>
              <w:bottom w:val="single" w:sz="4" w:space="0" w:color="auto"/>
              <w:right w:val="nil"/>
            </w:tcBorders>
            <w:shd w:val="clear" w:color="auto" w:fill="auto"/>
            <w:noWrap/>
            <w:vAlign w:val="bottom"/>
            <w:hideMark/>
          </w:tcPr>
          <w:p w14:paraId="4BBB45B6"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[76.3,98.1]</w:t>
            </w:r>
          </w:p>
        </w:tc>
        <w:tc>
          <w:tcPr>
            <w:tcW w:w="0" w:type="auto"/>
            <w:tcBorders>
              <w:top w:val="nil"/>
              <w:left w:val="nil"/>
              <w:bottom w:val="single" w:sz="4" w:space="0" w:color="auto"/>
              <w:right w:val="nil"/>
            </w:tcBorders>
            <w:shd w:val="clear" w:color="auto" w:fill="auto"/>
            <w:noWrap/>
            <w:vAlign w:val="bottom"/>
            <w:hideMark/>
          </w:tcPr>
          <w:p w14:paraId="6A6E4496"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[82.2, 94.1]</w:t>
            </w:r>
          </w:p>
        </w:tc>
        <w:tc>
          <w:tcPr>
            <w:tcW w:w="0" w:type="auto"/>
            <w:tcBorders>
              <w:top w:val="nil"/>
              <w:left w:val="nil"/>
              <w:bottom w:val="single" w:sz="4" w:space="0" w:color="auto"/>
              <w:right w:val="nil"/>
            </w:tcBorders>
            <w:shd w:val="clear" w:color="auto" w:fill="auto"/>
            <w:noWrap/>
            <w:vAlign w:val="bottom"/>
            <w:hideMark/>
          </w:tcPr>
          <w:p w14:paraId="234A16CB" w14:textId="77777777" w:rsidR="003110F0" w:rsidRPr="00A317E0" w:rsidRDefault="003110F0" w:rsidP="00F318F3">
            <w:pPr>
              <w:widowControl/>
              <w:spacing w:line="360" w:lineRule="auto"/>
              <w:jc w:val="center"/>
              <w:rPr>
                <w:rFonts w:ascii="Times New Roman" w:eastAsia="等线" w:hAnsi="Times New Roman" w:cs="Times New Roman"/>
                <w:color w:val="000000"/>
                <w:kern w:val="0"/>
                <w:sz w:val="18"/>
                <w:szCs w:val="18"/>
              </w:rPr>
            </w:pPr>
            <w:r w:rsidRPr="00A317E0">
              <w:rPr>
                <w:rFonts w:ascii="Times New Roman" w:eastAsia="等线" w:hAnsi="Times New Roman" w:cs="Times New Roman"/>
                <w:color w:val="000000"/>
                <w:kern w:val="0"/>
                <w:sz w:val="18"/>
                <w:szCs w:val="18"/>
              </w:rPr>
              <w:t>[85.0, 95.9]</w:t>
            </w:r>
          </w:p>
        </w:tc>
      </w:tr>
    </w:tbl>
    <w:p w14:paraId="4D187663" w14:textId="6DF0A445" w:rsidR="003110F0" w:rsidRPr="008A1C2C" w:rsidRDefault="003110F0" w:rsidP="00F318F3">
      <w:pPr>
        <w:spacing w:line="360" w:lineRule="auto"/>
        <w:rPr>
          <w:rFonts w:ascii="Times New Roman" w:hAnsi="Times New Roman" w:cs="Times New Roman"/>
          <w:sz w:val="20"/>
          <w:szCs w:val="20"/>
        </w:rPr>
      </w:pPr>
      <w:r w:rsidRPr="00A317E0">
        <w:rPr>
          <w:rFonts w:ascii="Times New Roman" w:hAnsi="Times New Roman" w:cs="Times New Roman"/>
          <w:sz w:val="18"/>
          <w:szCs w:val="18"/>
        </w:rPr>
        <w:t xml:space="preserve">Note. - Data are percentages, with numerators and denominators in parentheses and 95%Cis in brackets. </w:t>
      </w:r>
      <w:r w:rsidR="00C44CA0" w:rsidRPr="00A317E0">
        <w:rPr>
          <w:rFonts w:ascii="Times New Roman" w:hAnsi="Times New Roman" w:cs="Times New Roman"/>
          <w:sz w:val="18"/>
          <w:szCs w:val="18"/>
        </w:rPr>
        <w:t>LI</w:t>
      </w:r>
      <w:r w:rsidR="00C42154" w:rsidRPr="00A317E0">
        <w:rPr>
          <w:rFonts w:ascii="Times New Roman" w:hAnsi="Times New Roman" w:cs="Times New Roman"/>
          <w:sz w:val="18"/>
          <w:szCs w:val="18"/>
        </w:rPr>
        <w:t>-</w:t>
      </w:r>
      <w:r w:rsidR="00C44CA0" w:rsidRPr="00A317E0">
        <w:rPr>
          <w:rFonts w:ascii="Times New Roman" w:hAnsi="Times New Roman" w:cs="Times New Roman"/>
          <w:sz w:val="18"/>
          <w:szCs w:val="18"/>
        </w:rPr>
        <w:t xml:space="preserve">RADS </w:t>
      </w:r>
      <w:r w:rsidRPr="00A317E0">
        <w:rPr>
          <w:rFonts w:ascii="Times New Roman" w:hAnsi="Times New Roman" w:cs="Times New Roman"/>
          <w:sz w:val="18"/>
          <w:szCs w:val="18"/>
        </w:rPr>
        <w:t>= Liver Imaging Reporting and Data System</w:t>
      </w:r>
      <w:r w:rsidR="00C44CA0" w:rsidRPr="00A317E0">
        <w:rPr>
          <w:rFonts w:ascii="Times New Roman" w:hAnsi="Times New Roman" w:cs="Times New Roman"/>
          <w:sz w:val="18"/>
          <w:szCs w:val="18"/>
        </w:rPr>
        <w:t>; TRA =</w:t>
      </w:r>
      <w:r w:rsidRPr="00A317E0">
        <w:rPr>
          <w:rFonts w:ascii="Times New Roman" w:hAnsi="Times New Roman" w:cs="Times New Roman"/>
          <w:sz w:val="18"/>
          <w:szCs w:val="18"/>
        </w:rPr>
        <w:t xml:space="preserve"> treatment response algorithm; LRT = </w:t>
      </w:r>
      <w:r w:rsidR="006B7B41">
        <w:rPr>
          <w:rFonts w:ascii="Times New Roman" w:hAnsi="Times New Roman" w:cs="Times New Roman"/>
          <w:sz w:val="18"/>
          <w:szCs w:val="18"/>
        </w:rPr>
        <w:t>l</w:t>
      </w:r>
      <w:r w:rsidR="006B7B41" w:rsidRPr="00A317E0">
        <w:rPr>
          <w:rFonts w:ascii="Times New Roman" w:hAnsi="Times New Roman" w:cs="Times New Roman"/>
          <w:sz w:val="18"/>
          <w:szCs w:val="18"/>
        </w:rPr>
        <w:t xml:space="preserve">ocoregional </w:t>
      </w:r>
      <w:r w:rsidRPr="00A317E0">
        <w:rPr>
          <w:rFonts w:ascii="Times New Roman" w:hAnsi="Times New Roman" w:cs="Times New Roman"/>
          <w:sz w:val="18"/>
          <w:szCs w:val="18"/>
        </w:rPr>
        <w:t>therapy</w:t>
      </w:r>
      <w:r w:rsidR="00552B3D">
        <w:rPr>
          <w:rFonts w:ascii="Times New Roman" w:hAnsi="Times New Roman" w:cs="Times New Roman" w:hint="eastAsia"/>
          <w:sz w:val="18"/>
          <w:szCs w:val="18"/>
        </w:rPr>
        <w:t>;</w:t>
      </w:r>
      <w:r w:rsidR="00552B3D" w:rsidRPr="00552B3D">
        <w:t xml:space="preserve"> </w:t>
      </w:r>
      <w:r w:rsidR="00552B3D" w:rsidRPr="00552B3D">
        <w:rPr>
          <w:rFonts w:ascii="Times New Roman" w:hAnsi="Times New Roman" w:cs="Times New Roman"/>
          <w:sz w:val="18"/>
          <w:szCs w:val="18"/>
        </w:rPr>
        <w:t>CEUS = contrast-enhanced ultrasonography, CT = computed tomography, MRI = magnetic resonance imaging.</w:t>
      </w:r>
    </w:p>
    <w:p w14:paraId="672FE364" w14:textId="3D364DC8" w:rsidR="003110F0" w:rsidRPr="008A1C2C" w:rsidRDefault="00AE5AF4" w:rsidP="00F318F3">
      <w:pPr>
        <w:spacing w:line="360" w:lineRule="auto"/>
        <w:rPr>
          <w:rFonts w:ascii="Times New Roman" w:hAnsi="Times New Roman" w:cs="Times New Roman"/>
          <w:b/>
          <w:bCs/>
          <w:sz w:val="18"/>
          <w:szCs w:val="18"/>
        </w:rPr>
      </w:pPr>
      <w:r w:rsidRPr="00A317E0">
        <w:rPr>
          <w:rFonts w:ascii="Times New Roman" w:hAnsi="Times New Roman" w:cs="Times New Roman"/>
          <w:sz w:val="18"/>
          <w:szCs w:val="18"/>
        </w:rPr>
        <w:t xml:space="preserve">† </w:t>
      </w:r>
      <w:r w:rsidRPr="00A317E0">
        <w:rPr>
          <w:rFonts w:ascii="Times New Roman" w:hAnsi="Times New Roman" w:cs="Times New Roman"/>
          <w:i/>
          <w:iCs/>
          <w:sz w:val="18"/>
          <w:szCs w:val="18"/>
        </w:rPr>
        <w:t xml:space="preserve">P </w:t>
      </w:r>
      <w:r w:rsidRPr="00A317E0">
        <w:rPr>
          <w:rFonts w:ascii="Times New Roman" w:hAnsi="Times New Roman" w:cs="Times New Roman"/>
          <w:sz w:val="18"/>
          <w:szCs w:val="18"/>
        </w:rPr>
        <w:t>&lt;</w:t>
      </w:r>
      <w:r w:rsidR="008A1C2C">
        <w:rPr>
          <w:rFonts w:ascii="Times New Roman" w:hAnsi="Times New Roman" w:cs="Times New Roman"/>
          <w:sz w:val="18"/>
          <w:szCs w:val="18"/>
        </w:rPr>
        <w:t>0</w:t>
      </w:r>
      <w:r w:rsidRPr="00A317E0">
        <w:rPr>
          <w:rFonts w:ascii="Times New Roman" w:hAnsi="Times New Roman" w:cs="Times New Roman"/>
          <w:sz w:val="18"/>
          <w:szCs w:val="18"/>
        </w:rPr>
        <w:t xml:space="preserve"> .05.</w:t>
      </w:r>
    </w:p>
    <w:p w14:paraId="01F00CFA" w14:textId="77777777" w:rsidR="00F318F3" w:rsidRDefault="00F318F3">
      <w:pPr>
        <w:widowControl/>
        <w:jc w:val="left"/>
        <w:rPr>
          <w:b/>
          <w:bCs/>
          <w:sz w:val="18"/>
          <w:szCs w:val="18"/>
        </w:rPr>
      </w:pPr>
      <w:bookmarkStart w:id="15" w:name="_Hlk77628180"/>
      <w:r>
        <w:rPr>
          <w:b/>
          <w:bCs/>
          <w:sz w:val="18"/>
          <w:szCs w:val="18"/>
        </w:rPr>
        <w:br w:type="page"/>
      </w:r>
    </w:p>
    <w:p w14:paraId="08892055" w14:textId="42900893" w:rsidR="003110F0" w:rsidRPr="00A317E0" w:rsidRDefault="003110F0" w:rsidP="00F318F3">
      <w:pPr>
        <w:spacing w:line="360" w:lineRule="auto"/>
        <w:rPr>
          <w:rFonts w:ascii="Times New Roman" w:hAnsi="Times New Roman" w:cs="Times New Roman"/>
          <w:b/>
          <w:bCs/>
          <w:sz w:val="20"/>
          <w:szCs w:val="20"/>
        </w:rPr>
      </w:pPr>
      <w:r w:rsidRPr="00A317E0">
        <w:rPr>
          <w:rFonts w:ascii="Times New Roman" w:hAnsi="Times New Roman" w:cs="Times New Roman"/>
          <w:b/>
          <w:bCs/>
          <w:sz w:val="20"/>
          <w:szCs w:val="20"/>
        </w:rPr>
        <w:lastRenderedPageBreak/>
        <w:t xml:space="preserve">Table </w:t>
      </w:r>
      <w:r w:rsidR="00280F11">
        <w:rPr>
          <w:rFonts w:ascii="Times New Roman" w:hAnsi="Times New Roman" w:cs="Times New Roman"/>
          <w:b/>
          <w:bCs/>
          <w:sz w:val="20"/>
          <w:szCs w:val="20"/>
        </w:rPr>
        <w:t>S</w:t>
      </w:r>
      <w:r w:rsidR="00280F11" w:rsidRPr="00A317E0">
        <w:rPr>
          <w:rFonts w:ascii="Times New Roman" w:hAnsi="Times New Roman" w:cs="Times New Roman"/>
          <w:b/>
          <w:bCs/>
          <w:sz w:val="20"/>
          <w:szCs w:val="20"/>
        </w:rPr>
        <w:t xml:space="preserve">5 </w:t>
      </w:r>
      <w:r w:rsidRPr="00A317E0">
        <w:rPr>
          <w:rFonts w:ascii="Times New Roman" w:hAnsi="Times New Roman" w:cs="Times New Roman"/>
          <w:b/>
          <w:bCs/>
          <w:sz w:val="20"/>
          <w:szCs w:val="20"/>
        </w:rPr>
        <w:t xml:space="preserve">Subgroup </w:t>
      </w:r>
      <w:r w:rsidR="006B7B41">
        <w:rPr>
          <w:rFonts w:ascii="Times New Roman" w:hAnsi="Times New Roman" w:cs="Times New Roman"/>
          <w:b/>
          <w:bCs/>
          <w:sz w:val="20"/>
          <w:szCs w:val="20"/>
        </w:rPr>
        <w:t>a</w:t>
      </w:r>
      <w:r w:rsidRPr="00A317E0">
        <w:rPr>
          <w:rFonts w:ascii="Times New Roman" w:hAnsi="Times New Roman" w:cs="Times New Roman"/>
          <w:b/>
          <w:bCs/>
          <w:sz w:val="20"/>
          <w:szCs w:val="20"/>
        </w:rPr>
        <w:t xml:space="preserve">nalysis of the </w:t>
      </w:r>
      <w:r w:rsidR="006B7B41">
        <w:rPr>
          <w:rFonts w:ascii="Times New Roman" w:hAnsi="Times New Roman" w:cs="Times New Roman"/>
          <w:b/>
          <w:bCs/>
          <w:sz w:val="20"/>
          <w:szCs w:val="20"/>
        </w:rPr>
        <w:t>i</w:t>
      </w:r>
      <w:r w:rsidRPr="00A317E0">
        <w:rPr>
          <w:rFonts w:ascii="Times New Roman" w:hAnsi="Times New Roman" w:cs="Times New Roman"/>
          <w:b/>
          <w:bCs/>
          <w:sz w:val="20"/>
          <w:szCs w:val="20"/>
        </w:rPr>
        <w:t>mpact of the</w:t>
      </w:r>
      <w:r w:rsidR="00AE5AF4" w:rsidRPr="00A317E0">
        <w:rPr>
          <w:rFonts w:ascii="Times New Roman" w:hAnsi="Times New Roman" w:cs="Times New Roman"/>
          <w:b/>
          <w:bCs/>
          <w:sz w:val="20"/>
          <w:szCs w:val="20"/>
        </w:rPr>
        <w:t xml:space="preserve"> </w:t>
      </w:r>
      <w:r w:rsidR="006B7B41">
        <w:rPr>
          <w:rFonts w:ascii="Times New Roman" w:hAnsi="Times New Roman" w:cs="Times New Roman"/>
          <w:b/>
          <w:bCs/>
          <w:sz w:val="20"/>
          <w:szCs w:val="20"/>
        </w:rPr>
        <w:t>l</w:t>
      </w:r>
      <w:r w:rsidR="006B7B41" w:rsidRPr="00A317E0">
        <w:rPr>
          <w:rFonts w:ascii="Times New Roman" w:hAnsi="Times New Roman" w:cs="Times New Roman"/>
          <w:b/>
          <w:bCs/>
          <w:sz w:val="20"/>
          <w:szCs w:val="20"/>
        </w:rPr>
        <w:t xml:space="preserve">ung </w:t>
      </w:r>
      <w:r w:rsidR="00AE5AF4" w:rsidRPr="00A317E0">
        <w:rPr>
          <w:rFonts w:ascii="Times New Roman" w:hAnsi="Times New Roman" w:cs="Times New Roman"/>
          <w:b/>
          <w:bCs/>
          <w:sz w:val="20"/>
          <w:szCs w:val="20"/>
        </w:rPr>
        <w:t xml:space="preserve">and </w:t>
      </w:r>
      <w:r w:rsidR="006B7B41">
        <w:rPr>
          <w:rFonts w:ascii="Times New Roman" w:hAnsi="Times New Roman" w:cs="Times New Roman"/>
          <w:b/>
          <w:bCs/>
          <w:sz w:val="20"/>
          <w:szCs w:val="20"/>
        </w:rPr>
        <w:t>i</w:t>
      </w:r>
      <w:r w:rsidR="00AE5AF4" w:rsidRPr="00A317E0">
        <w:rPr>
          <w:rFonts w:ascii="Times New Roman" w:hAnsi="Times New Roman" w:cs="Times New Roman"/>
          <w:b/>
          <w:bCs/>
          <w:sz w:val="20"/>
          <w:szCs w:val="20"/>
        </w:rPr>
        <w:t>ntestinal</w:t>
      </w:r>
      <w:r w:rsidRPr="00A317E0">
        <w:rPr>
          <w:rFonts w:ascii="Times New Roman" w:hAnsi="Times New Roman" w:cs="Times New Roman"/>
          <w:b/>
          <w:bCs/>
          <w:sz w:val="20"/>
          <w:szCs w:val="20"/>
        </w:rPr>
        <w:t xml:space="preserve"> </w:t>
      </w:r>
      <w:r w:rsidR="006B7B41">
        <w:rPr>
          <w:rFonts w:ascii="Times New Roman" w:hAnsi="Times New Roman" w:cs="Times New Roman"/>
          <w:b/>
          <w:bCs/>
          <w:sz w:val="20"/>
          <w:szCs w:val="20"/>
        </w:rPr>
        <w:t>g</w:t>
      </w:r>
      <w:r w:rsidR="00AE5AF4" w:rsidRPr="00A317E0">
        <w:rPr>
          <w:rFonts w:ascii="Times New Roman" w:hAnsi="Times New Roman" w:cs="Times New Roman"/>
          <w:b/>
          <w:bCs/>
          <w:sz w:val="20"/>
          <w:szCs w:val="20"/>
        </w:rPr>
        <w:t xml:space="preserve">as </w:t>
      </w:r>
      <w:r w:rsidR="006B7B41">
        <w:rPr>
          <w:rFonts w:ascii="Times New Roman" w:hAnsi="Times New Roman" w:cs="Times New Roman"/>
          <w:b/>
          <w:bCs/>
          <w:sz w:val="20"/>
          <w:szCs w:val="20"/>
        </w:rPr>
        <w:t>s</w:t>
      </w:r>
      <w:r w:rsidRPr="00A317E0">
        <w:rPr>
          <w:rFonts w:ascii="Times New Roman" w:hAnsi="Times New Roman" w:cs="Times New Roman"/>
          <w:b/>
          <w:bCs/>
          <w:sz w:val="20"/>
          <w:szCs w:val="20"/>
        </w:rPr>
        <w:t>hadow</w:t>
      </w:r>
      <w:r w:rsidR="00074BAA">
        <w:rPr>
          <w:rFonts w:ascii="Times New Roman" w:hAnsi="Times New Roman" w:cs="Times New Roman"/>
          <w:b/>
          <w:bCs/>
          <w:sz w:val="20"/>
          <w:szCs w:val="20"/>
        </w:rPr>
        <w:t>s</w:t>
      </w:r>
      <w:r w:rsidRPr="00A317E0">
        <w:rPr>
          <w:rFonts w:ascii="Times New Roman" w:hAnsi="Times New Roman" w:cs="Times New Roman"/>
          <w:b/>
          <w:bCs/>
          <w:sz w:val="20"/>
          <w:szCs w:val="20"/>
        </w:rPr>
        <w:t xml:space="preserve"> on the </w:t>
      </w:r>
      <w:r w:rsidR="006B7B41">
        <w:rPr>
          <w:rFonts w:ascii="Times New Roman" w:hAnsi="Times New Roman" w:cs="Times New Roman"/>
          <w:b/>
          <w:bCs/>
          <w:sz w:val="20"/>
          <w:szCs w:val="20"/>
        </w:rPr>
        <w:t>p</w:t>
      </w:r>
      <w:r w:rsidRPr="00A317E0">
        <w:rPr>
          <w:rFonts w:ascii="Times New Roman" w:hAnsi="Times New Roman" w:cs="Times New Roman"/>
          <w:b/>
          <w:bCs/>
          <w:sz w:val="20"/>
          <w:szCs w:val="20"/>
        </w:rPr>
        <w:t xml:space="preserve">erformance of </w:t>
      </w:r>
      <w:r w:rsidR="00C44CA0" w:rsidRPr="00A317E0">
        <w:rPr>
          <w:rFonts w:ascii="Times New Roman" w:hAnsi="Times New Roman" w:cs="Times New Roman"/>
          <w:b/>
          <w:bCs/>
          <w:sz w:val="20"/>
          <w:szCs w:val="20"/>
        </w:rPr>
        <w:t>CEUS TRA and CT/MRI LI</w:t>
      </w:r>
      <w:r w:rsidR="00B97F6E" w:rsidRPr="00A317E0">
        <w:rPr>
          <w:rFonts w:ascii="Times New Roman" w:hAnsi="Times New Roman" w:cs="Times New Roman"/>
          <w:b/>
          <w:bCs/>
          <w:sz w:val="20"/>
          <w:szCs w:val="20"/>
        </w:rPr>
        <w:t>-R</w:t>
      </w:r>
      <w:r w:rsidR="00C44CA0" w:rsidRPr="00A317E0">
        <w:rPr>
          <w:rFonts w:ascii="Times New Roman" w:hAnsi="Times New Roman" w:cs="Times New Roman"/>
          <w:b/>
          <w:bCs/>
          <w:sz w:val="20"/>
          <w:szCs w:val="20"/>
        </w:rPr>
        <w:t>A</w:t>
      </w:r>
      <w:r w:rsidR="00B97F6E" w:rsidRPr="00A317E0">
        <w:rPr>
          <w:rFonts w:ascii="Times New Roman" w:hAnsi="Times New Roman" w:cs="Times New Roman"/>
          <w:b/>
          <w:bCs/>
          <w:sz w:val="20"/>
          <w:szCs w:val="20"/>
        </w:rPr>
        <w:t>D</w:t>
      </w:r>
      <w:r w:rsidR="00C44CA0" w:rsidRPr="00A317E0">
        <w:rPr>
          <w:rFonts w:ascii="Times New Roman" w:hAnsi="Times New Roman" w:cs="Times New Roman"/>
          <w:b/>
          <w:bCs/>
          <w:sz w:val="20"/>
          <w:szCs w:val="20"/>
        </w:rPr>
        <w:t>S TRA</w:t>
      </w:r>
      <w:r w:rsidRPr="00A317E0">
        <w:rPr>
          <w:rFonts w:ascii="Times New Roman" w:hAnsi="Times New Roman" w:cs="Times New Roman"/>
          <w:b/>
          <w:bCs/>
          <w:sz w:val="20"/>
          <w:szCs w:val="20"/>
        </w:rPr>
        <w:t xml:space="preserve"> when</w:t>
      </w:r>
      <w:r w:rsidR="00C44CA0" w:rsidRPr="00A317E0">
        <w:rPr>
          <w:rFonts w:ascii="Times New Roman" w:hAnsi="Times New Roman" w:cs="Times New Roman"/>
          <w:b/>
          <w:bCs/>
          <w:sz w:val="20"/>
          <w:szCs w:val="20"/>
        </w:rPr>
        <w:t xml:space="preserve"> TRA</w:t>
      </w:r>
      <w:r w:rsidRPr="00A317E0">
        <w:rPr>
          <w:rFonts w:ascii="Times New Roman" w:hAnsi="Times New Roman" w:cs="Times New Roman"/>
          <w:b/>
          <w:bCs/>
          <w:sz w:val="20"/>
          <w:szCs w:val="20"/>
        </w:rPr>
        <w:t xml:space="preserve"> equivocal assessments were treated as viable.</w:t>
      </w:r>
      <w:bookmarkEnd w:id="15"/>
    </w:p>
    <w:tbl>
      <w:tblPr>
        <w:tblW w:w="5000" w:type="pct"/>
        <w:tblLook w:val="04A0" w:firstRow="1" w:lastRow="0" w:firstColumn="1" w:lastColumn="0" w:noHBand="0" w:noVBand="1"/>
      </w:tblPr>
      <w:tblGrid>
        <w:gridCol w:w="1479"/>
        <w:gridCol w:w="1193"/>
        <w:gridCol w:w="1193"/>
        <w:gridCol w:w="811"/>
        <w:gridCol w:w="1380"/>
        <w:gridCol w:w="1381"/>
        <w:gridCol w:w="811"/>
        <w:gridCol w:w="1387"/>
        <w:gridCol w:w="1390"/>
        <w:gridCol w:w="1468"/>
        <w:gridCol w:w="1465"/>
      </w:tblGrid>
      <w:tr w:rsidR="00AE5AF4" w:rsidRPr="00A317E0" w14:paraId="00990D88" w14:textId="77777777" w:rsidTr="00AE5AF4">
        <w:trPr>
          <w:trHeight w:val="278"/>
        </w:trPr>
        <w:tc>
          <w:tcPr>
            <w:tcW w:w="411" w:type="pct"/>
            <w:vMerge w:val="restart"/>
            <w:tcBorders>
              <w:top w:val="single" w:sz="4" w:space="0" w:color="auto"/>
              <w:left w:val="nil"/>
              <w:bottom w:val="single" w:sz="4" w:space="0" w:color="000000"/>
              <w:right w:val="nil"/>
            </w:tcBorders>
            <w:shd w:val="clear" w:color="auto" w:fill="auto"/>
            <w:noWrap/>
            <w:vAlign w:val="bottom"/>
            <w:hideMark/>
          </w:tcPr>
          <w:p w14:paraId="5C75CE45" w14:textId="2AA5BC5B"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Gas shadow</w:t>
            </w:r>
            <w:r w:rsidR="00074BAA">
              <w:rPr>
                <w:rFonts w:ascii="Times New Roman" w:eastAsia="等线" w:hAnsi="Times New Roman" w:cs="Times New Roman"/>
                <w:color w:val="000000"/>
                <w:kern w:val="0"/>
                <w:sz w:val="20"/>
                <w:szCs w:val="20"/>
              </w:rPr>
              <w:t>s</w:t>
            </w:r>
          </w:p>
        </w:tc>
        <w:tc>
          <w:tcPr>
            <w:tcW w:w="1175" w:type="pct"/>
            <w:gridSpan w:val="3"/>
            <w:tcBorders>
              <w:top w:val="single" w:sz="4" w:space="0" w:color="auto"/>
              <w:left w:val="nil"/>
              <w:bottom w:val="nil"/>
              <w:right w:val="nil"/>
            </w:tcBorders>
            <w:shd w:val="clear" w:color="auto" w:fill="auto"/>
            <w:noWrap/>
            <w:vAlign w:val="bottom"/>
            <w:hideMark/>
          </w:tcPr>
          <w:p w14:paraId="2E770E1A" w14:textId="02D82AEB"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Sensitivity (%)</w:t>
            </w:r>
          </w:p>
        </w:tc>
        <w:tc>
          <w:tcPr>
            <w:tcW w:w="1299" w:type="pct"/>
            <w:gridSpan w:val="3"/>
            <w:tcBorders>
              <w:top w:val="single" w:sz="4" w:space="0" w:color="auto"/>
              <w:left w:val="nil"/>
              <w:bottom w:val="nil"/>
              <w:right w:val="nil"/>
            </w:tcBorders>
            <w:shd w:val="clear" w:color="auto" w:fill="auto"/>
            <w:noWrap/>
            <w:vAlign w:val="bottom"/>
            <w:hideMark/>
          </w:tcPr>
          <w:p w14:paraId="2864B78A" w14:textId="39F32248"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Specificity (%)</w:t>
            </w:r>
          </w:p>
        </w:tc>
        <w:tc>
          <w:tcPr>
            <w:tcW w:w="1029" w:type="pct"/>
            <w:gridSpan w:val="2"/>
            <w:tcBorders>
              <w:top w:val="single" w:sz="4" w:space="0" w:color="auto"/>
              <w:left w:val="nil"/>
              <w:bottom w:val="nil"/>
              <w:right w:val="nil"/>
            </w:tcBorders>
            <w:shd w:val="clear" w:color="auto" w:fill="auto"/>
            <w:noWrap/>
            <w:vAlign w:val="bottom"/>
            <w:hideMark/>
          </w:tcPr>
          <w:p w14:paraId="3AE1F689" w14:textId="3F7704BE"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Positive Predictive Value (%)</w:t>
            </w:r>
          </w:p>
        </w:tc>
        <w:tc>
          <w:tcPr>
            <w:tcW w:w="1087" w:type="pct"/>
            <w:gridSpan w:val="2"/>
            <w:tcBorders>
              <w:top w:val="single" w:sz="4" w:space="0" w:color="auto"/>
              <w:left w:val="nil"/>
              <w:bottom w:val="nil"/>
              <w:right w:val="nil"/>
            </w:tcBorders>
            <w:shd w:val="clear" w:color="auto" w:fill="auto"/>
            <w:noWrap/>
            <w:vAlign w:val="bottom"/>
            <w:hideMark/>
          </w:tcPr>
          <w:p w14:paraId="09BBB19A" w14:textId="53FDBCAC"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Negative Predictive Value (%)</w:t>
            </w:r>
          </w:p>
        </w:tc>
      </w:tr>
      <w:tr w:rsidR="00AE5AF4" w:rsidRPr="00A317E0" w14:paraId="5FF01949" w14:textId="77777777" w:rsidTr="00AE5AF4">
        <w:trPr>
          <w:trHeight w:val="278"/>
        </w:trPr>
        <w:tc>
          <w:tcPr>
            <w:tcW w:w="411" w:type="pct"/>
            <w:vMerge/>
            <w:tcBorders>
              <w:top w:val="single" w:sz="4" w:space="0" w:color="auto"/>
              <w:left w:val="nil"/>
              <w:bottom w:val="single" w:sz="4" w:space="0" w:color="000000"/>
              <w:right w:val="nil"/>
            </w:tcBorders>
            <w:vAlign w:val="center"/>
            <w:hideMark/>
          </w:tcPr>
          <w:p w14:paraId="0AA8D0CF" w14:textId="77777777" w:rsidR="00AE5AF4" w:rsidRPr="00A317E0" w:rsidRDefault="00AE5AF4" w:rsidP="00F318F3">
            <w:pPr>
              <w:widowControl/>
              <w:spacing w:line="360" w:lineRule="auto"/>
              <w:jc w:val="left"/>
              <w:rPr>
                <w:rFonts w:ascii="Times New Roman" w:eastAsia="等线" w:hAnsi="Times New Roman" w:cs="Times New Roman"/>
                <w:color w:val="000000"/>
                <w:kern w:val="0"/>
                <w:sz w:val="20"/>
                <w:szCs w:val="20"/>
              </w:rPr>
            </w:pPr>
          </w:p>
        </w:tc>
        <w:tc>
          <w:tcPr>
            <w:tcW w:w="445" w:type="pct"/>
            <w:tcBorders>
              <w:top w:val="nil"/>
              <w:left w:val="nil"/>
              <w:bottom w:val="single" w:sz="4" w:space="0" w:color="auto"/>
              <w:right w:val="nil"/>
            </w:tcBorders>
            <w:shd w:val="clear" w:color="auto" w:fill="auto"/>
            <w:noWrap/>
            <w:vAlign w:val="bottom"/>
            <w:hideMark/>
          </w:tcPr>
          <w:p w14:paraId="095F43BC"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CEUS</w:t>
            </w:r>
          </w:p>
        </w:tc>
        <w:tc>
          <w:tcPr>
            <w:tcW w:w="445" w:type="pct"/>
            <w:tcBorders>
              <w:top w:val="nil"/>
              <w:left w:val="nil"/>
              <w:bottom w:val="single" w:sz="4" w:space="0" w:color="auto"/>
              <w:right w:val="nil"/>
            </w:tcBorders>
            <w:shd w:val="clear" w:color="auto" w:fill="auto"/>
            <w:noWrap/>
            <w:vAlign w:val="bottom"/>
            <w:hideMark/>
          </w:tcPr>
          <w:p w14:paraId="26B63A8F"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CT/MRI</w:t>
            </w:r>
          </w:p>
        </w:tc>
        <w:tc>
          <w:tcPr>
            <w:tcW w:w="285" w:type="pct"/>
            <w:tcBorders>
              <w:top w:val="nil"/>
              <w:left w:val="nil"/>
              <w:bottom w:val="single" w:sz="4" w:space="0" w:color="auto"/>
              <w:right w:val="nil"/>
            </w:tcBorders>
            <w:shd w:val="clear" w:color="auto" w:fill="auto"/>
            <w:noWrap/>
            <w:vAlign w:val="bottom"/>
            <w:hideMark/>
          </w:tcPr>
          <w:p w14:paraId="37F14512"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P value</w:t>
            </w:r>
          </w:p>
        </w:tc>
        <w:tc>
          <w:tcPr>
            <w:tcW w:w="512" w:type="pct"/>
            <w:tcBorders>
              <w:top w:val="nil"/>
              <w:left w:val="nil"/>
              <w:bottom w:val="single" w:sz="4" w:space="0" w:color="auto"/>
              <w:right w:val="nil"/>
            </w:tcBorders>
            <w:shd w:val="clear" w:color="auto" w:fill="auto"/>
            <w:noWrap/>
            <w:vAlign w:val="bottom"/>
            <w:hideMark/>
          </w:tcPr>
          <w:p w14:paraId="3DF39FD0"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CEUS</w:t>
            </w:r>
          </w:p>
        </w:tc>
        <w:tc>
          <w:tcPr>
            <w:tcW w:w="512" w:type="pct"/>
            <w:tcBorders>
              <w:top w:val="nil"/>
              <w:left w:val="nil"/>
              <w:bottom w:val="single" w:sz="4" w:space="0" w:color="auto"/>
              <w:right w:val="nil"/>
            </w:tcBorders>
            <w:shd w:val="clear" w:color="auto" w:fill="auto"/>
            <w:noWrap/>
            <w:vAlign w:val="bottom"/>
            <w:hideMark/>
          </w:tcPr>
          <w:p w14:paraId="4646CFAB"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CT/MRI</w:t>
            </w:r>
          </w:p>
        </w:tc>
        <w:tc>
          <w:tcPr>
            <w:tcW w:w="276" w:type="pct"/>
            <w:tcBorders>
              <w:top w:val="nil"/>
              <w:left w:val="nil"/>
              <w:bottom w:val="single" w:sz="4" w:space="0" w:color="auto"/>
              <w:right w:val="nil"/>
            </w:tcBorders>
            <w:shd w:val="clear" w:color="auto" w:fill="auto"/>
            <w:noWrap/>
            <w:vAlign w:val="bottom"/>
            <w:hideMark/>
          </w:tcPr>
          <w:p w14:paraId="2599BC8C"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P value</w:t>
            </w:r>
          </w:p>
        </w:tc>
        <w:tc>
          <w:tcPr>
            <w:tcW w:w="514" w:type="pct"/>
            <w:tcBorders>
              <w:top w:val="nil"/>
              <w:left w:val="nil"/>
              <w:bottom w:val="single" w:sz="4" w:space="0" w:color="auto"/>
              <w:right w:val="nil"/>
            </w:tcBorders>
            <w:shd w:val="clear" w:color="auto" w:fill="auto"/>
            <w:noWrap/>
            <w:vAlign w:val="bottom"/>
            <w:hideMark/>
          </w:tcPr>
          <w:p w14:paraId="15E31024"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CEUS</w:t>
            </w:r>
          </w:p>
        </w:tc>
        <w:tc>
          <w:tcPr>
            <w:tcW w:w="514" w:type="pct"/>
            <w:tcBorders>
              <w:top w:val="nil"/>
              <w:left w:val="nil"/>
              <w:bottom w:val="single" w:sz="4" w:space="0" w:color="auto"/>
              <w:right w:val="nil"/>
            </w:tcBorders>
            <w:shd w:val="clear" w:color="auto" w:fill="auto"/>
            <w:noWrap/>
            <w:vAlign w:val="bottom"/>
            <w:hideMark/>
          </w:tcPr>
          <w:p w14:paraId="42EF0148"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CT/MRI</w:t>
            </w:r>
          </w:p>
        </w:tc>
        <w:tc>
          <w:tcPr>
            <w:tcW w:w="543" w:type="pct"/>
            <w:tcBorders>
              <w:top w:val="nil"/>
              <w:left w:val="nil"/>
              <w:bottom w:val="single" w:sz="4" w:space="0" w:color="auto"/>
              <w:right w:val="nil"/>
            </w:tcBorders>
            <w:shd w:val="clear" w:color="auto" w:fill="auto"/>
            <w:noWrap/>
            <w:vAlign w:val="bottom"/>
            <w:hideMark/>
          </w:tcPr>
          <w:p w14:paraId="6610F694"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CEUS</w:t>
            </w:r>
          </w:p>
        </w:tc>
        <w:tc>
          <w:tcPr>
            <w:tcW w:w="543" w:type="pct"/>
            <w:tcBorders>
              <w:top w:val="nil"/>
              <w:left w:val="nil"/>
              <w:bottom w:val="single" w:sz="4" w:space="0" w:color="auto"/>
              <w:right w:val="nil"/>
            </w:tcBorders>
            <w:shd w:val="clear" w:color="auto" w:fill="auto"/>
            <w:noWrap/>
            <w:vAlign w:val="bottom"/>
            <w:hideMark/>
          </w:tcPr>
          <w:p w14:paraId="33D07A49"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CT/MRI</w:t>
            </w:r>
          </w:p>
        </w:tc>
      </w:tr>
      <w:tr w:rsidR="00AE5AF4" w:rsidRPr="00A317E0" w14:paraId="63682637" w14:textId="77777777" w:rsidTr="00AE5AF4">
        <w:trPr>
          <w:trHeight w:val="278"/>
        </w:trPr>
        <w:tc>
          <w:tcPr>
            <w:tcW w:w="411" w:type="pct"/>
            <w:tcBorders>
              <w:top w:val="nil"/>
              <w:left w:val="nil"/>
              <w:bottom w:val="nil"/>
              <w:right w:val="nil"/>
            </w:tcBorders>
            <w:shd w:val="clear" w:color="auto" w:fill="auto"/>
            <w:noWrap/>
            <w:vAlign w:val="bottom"/>
            <w:hideMark/>
          </w:tcPr>
          <w:p w14:paraId="1906EC66" w14:textId="211BA2CC" w:rsidR="00AE5AF4" w:rsidRPr="00A317E0" w:rsidRDefault="00AE5AF4" w:rsidP="00F318F3">
            <w:pPr>
              <w:widowControl/>
              <w:spacing w:line="360" w:lineRule="auto"/>
              <w:jc w:val="left"/>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Present</w:t>
            </w:r>
            <w:r w:rsidR="00074BAA">
              <w:rPr>
                <w:rFonts w:ascii="Times New Roman" w:eastAsia="等线" w:hAnsi="Times New Roman" w:cs="Times New Roman"/>
                <w:color w:val="000000"/>
                <w:kern w:val="0"/>
                <w:sz w:val="20"/>
                <w:szCs w:val="20"/>
              </w:rPr>
              <w:t xml:space="preserve"> (n=75)</w:t>
            </w:r>
          </w:p>
        </w:tc>
        <w:tc>
          <w:tcPr>
            <w:tcW w:w="445" w:type="pct"/>
            <w:tcBorders>
              <w:top w:val="nil"/>
              <w:left w:val="nil"/>
              <w:bottom w:val="nil"/>
              <w:right w:val="nil"/>
            </w:tcBorders>
            <w:shd w:val="clear" w:color="auto" w:fill="auto"/>
            <w:noWrap/>
            <w:vAlign w:val="bottom"/>
            <w:hideMark/>
          </w:tcPr>
          <w:p w14:paraId="39A7C797"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47.6(10/21)</w:t>
            </w:r>
          </w:p>
        </w:tc>
        <w:tc>
          <w:tcPr>
            <w:tcW w:w="445" w:type="pct"/>
            <w:tcBorders>
              <w:top w:val="nil"/>
              <w:left w:val="nil"/>
              <w:bottom w:val="nil"/>
              <w:right w:val="nil"/>
            </w:tcBorders>
            <w:shd w:val="clear" w:color="auto" w:fill="auto"/>
            <w:noWrap/>
            <w:vAlign w:val="bottom"/>
            <w:hideMark/>
          </w:tcPr>
          <w:p w14:paraId="74A0D115"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76.2(16/21)</w:t>
            </w:r>
          </w:p>
        </w:tc>
        <w:tc>
          <w:tcPr>
            <w:tcW w:w="285" w:type="pct"/>
            <w:tcBorders>
              <w:top w:val="nil"/>
              <w:left w:val="nil"/>
              <w:bottom w:val="nil"/>
              <w:right w:val="nil"/>
            </w:tcBorders>
            <w:shd w:val="clear" w:color="auto" w:fill="auto"/>
            <w:noWrap/>
            <w:vAlign w:val="bottom"/>
            <w:hideMark/>
          </w:tcPr>
          <w:p w14:paraId="5881FBAD" w14:textId="295D3ED2"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0.041</w:t>
            </w:r>
            <w:r w:rsidR="00406850" w:rsidRPr="00A317E0">
              <w:rPr>
                <w:rFonts w:ascii="Times New Roman" w:hAnsi="Times New Roman" w:cs="Times New Roman"/>
                <w:sz w:val="20"/>
                <w:szCs w:val="20"/>
              </w:rPr>
              <w:t>†</w:t>
            </w:r>
          </w:p>
        </w:tc>
        <w:tc>
          <w:tcPr>
            <w:tcW w:w="512" w:type="pct"/>
            <w:tcBorders>
              <w:top w:val="nil"/>
              <w:left w:val="nil"/>
              <w:bottom w:val="nil"/>
              <w:right w:val="nil"/>
            </w:tcBorders>
            <w:shd w:val="clear" w:color="auto" w:fill="auto"/>
            <w:noWrap/>
            <w:vAlign w:val="bottom"/>
            <w:hideMark/>
          </w:tcPr>
          <w:p w14:paraId="0DA10F2A"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94.4(51/54)</w:t>
            </w:r>
          </w:p>
        </w:tc>
        <w:tc>
          <w:tcPr>
            <w:tcW w:w="512" w:type="pct"/>
            <w:tcBorders>
              <w:top w:val="nil"/>
              <w:left w:val="nil"/>
              <w:bottom w:val="nil"/>
              <w:right w:val="nil"/>
            </w:tcBorders>
            <w:shd w:val="clear" w:color="auto" w:fill="auto"/>
            <w:noWrap/>
            <w:vAlign w:val="bottom"/>
            <w:hideMark/>
          </w:tcPr>
          <w:p w14:paraId="76CF86A3"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94.4(51/54)</w:t>
            </w:r>
          </w:p>
        </w:tc>
        <w:tc>
          <w:tcPr>
            <w:tcW w:w="276" w:type="pct"/>
            <w:tcBorders>
              <w:top w:val="nil"/>
              <w:left w:val="nil"/>
              <w:bottom w:val="nil"/>
              <w:right w:val="nil"/>
            </w:tcBorders>
            <w:shd w:val="clear" w:color="auto" w:fill="auto"/>
            <w:noWrap/>
            <w:vAlign w:val="bottom"/>
            <w:hideMark/>
          </w:tcPr>
          <w:p w14:paraId="126D06E4" w14:textId="0BBDED6C" w:rsidR="00AE5AF4" w:rsidRPr="00A317E0" w:rsidRDefault="00406850"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&gt;0.99</w:t>
            </w:r>
            <w:r w:rsidR="00AE5AF4" w:rsidRPr="00A317E0">
              <w:rPr>
                <w:rFonts w:ascii="Times New Roman" w:eastAsia="等线" w:hAnsi="Times New Roman" w:cs="Times New Roman"/>
                <w:color w:val="000000"/>
                <w:kern w:val="0"/>
                <w:sz w:val="20"/>
                <w:szCs w:val="20"/>
              </w:rPr>
              <w:t xml:space="preserve"> </w:t>
            </w:r>
          </w:p>
        </w:tc>
        <w:tc>
          <w:tcPr>
            <w:tcW w:w="514" w:type="pct"/>
            <w:tcBorders>
              <w:top w:val="nil"/>
              <w:left w:val="nil"/>
              <w:bottom w:val="nil"/>
              <w:right w:val="nil"/>
            </w:tcBorders>
            <w:shd w:val="clear" w:color="auto" w:fill="auto"/>
            <w:noWrap/>
            <w:vAlign w:val="bottom"/>
            <w:hideMark/>
          </w:tcPr>
          <w:p w14:paraId="7BAE0D0D"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76.9(10/13)</w:t>
            </w:r>
          </w:p>
        </w:tc>
        <w:tc>
          <w:tcPr>
            <w:tcW w:w="514" w:type="pct"/>
            <w:tcBorders>
              <w:top w:val="nil"/>
              <w:left w:val="nil"/>
              <w:bottom w:val="nil"/>
              <w:right w:val="nil"/>
            </w:tcBorders>
            <w:shd w:val="clear" w:color="auto" w:fill="auto"/>
            <w:noWrap/>
            <w:vAlign w:val="bottom"/>
            <w:hideMark/>
          </w:tcPr>
          <w:p w14:paraId="5F379CB7"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84.2(16/19)</w:t>
            </w:r>
          </w:p>
        </w:tc>
        <w:tc>
          <w:tcPr>
            <w:tcW w:w="543" w:type="pct"/>
            <w:tcBorders>
              <w:top w:val="nil"/>
              <w:left w:val="nil"/>
              <w:bottom w:val="nil"/>
              <w:right w:val="nil"/>
            </w:tcBorders>
            <w:shd w:val="clear" w:color="auto" w:fill="auto"/>
            <w:noWrap/>
            <w:vAlign w:val="bottom"/>
            <w:hideMark/>
          </w:tcPr>
          <w:p w14:paraId="7383EF05"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82.3(51/62)</w:t>
            </w:r>
          </w:p>
        </w:tc>
        <w:tc>
          <w:tcPr>
            <w:tcW w:w="543" w:type="pct"/>
            <w:tcBorders>
              <w:top w:val="nil"/>
              <w:left w:val="nil"/>
              <w:bottom w:val="nil"/>
              <w:right w:val="nil"/>
            </w:tcBorders>
            <w:shd w:val="clear" w:color="auto" w:fill="auto"/>
            <w:noWrap/>
            <w:vAlign w:val="bottom"/>
            <w:hideMark/>
          </w:tcPr>
          <w:p w14:paraId="27758B27"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91.1(51/56)</w:t>
            </w:r>
          </w:p>
        </w:tc>
      </w:tr>
      <w:tr w:rsidR="00AE5AF4" w:rsidRPr="00A317E0" w14:paraId="49CCFBAD" w14:textId="77777777" w:rsidTr="00AE5AF4">
        <w:trPr>
          <w:trHeight w:val="278"/>
        </w:trPr>
        <w:tc>
          <w:tcPr>
            <w:tcW w:w="411" w:type="pct"/>
            <w:tcBorders>
              <w:top w:val="nil"/>
              <w:left w:val="nil"/>
              <w:bottom w:val="nil"/>
              <w:right w:val="nil"/>
            </w:tcBorders>
            <w:shd w:val="clear" w:color="auto" w:fill="auto"/>
            <w:noWrap/>
            <w:vAlign w:val="bottom"/>
            <w:hideMark/>
          </w:tcPr>
          <w:p w14:paraId="2D8EFE06"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p>
        </w:tc>
        <w:tc>
          <w:tcPr>
            <w:tcW w:w="445" w:type="pct"/>
            <w:tcBorders>
              <w:top w:val="nil"/>
              <w:left w:val="nil"/>
              <w:bottom w:val="nil"/>
              <w:right w:val="nil"/>
            </w:tcBorders>
            <w:shd w:val="clear" w:color="auto" w:fill="auto"/>
            <w:noWrap/>
            <w:vAlign w:val="bottom"/>
            <w:hideMark/>
          </w:tcPr>
          <w:p w14:paraId="61B3F130"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[25.7,70.2]</w:t>
            </w:r>
          </w:p>
        </w:tc>
        <w:tc>
          <w:tcPr>
            <w:tcW w:w="445" w:type="pct"/>
            <w:tcBorders>
              <w:top w:val="nil"/>
              <w:left w:val="nil"/>
              <w:bottom w:val="nil"/>
              <w:right w:val="nil"/>
            </w:tcBorders>
            <w:shd w:val="clear" w:color="auto" w:fill="auto"/>
            <w:noWrap/>
            <w:vAlign w:val="bottom"/>
            <w:hideMark/>
          </w:tcPr>
          <w:p w14:paraId="4F38A371"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[52.8, 91.8]</w:t>
            </w:r>
          </w:p>
        </w:tc>
        <w:tc>
          <w:tcPr>
            <w:tcW w:w="285" w:type="pct"/>
            <w:tcBorders>
              <w:top w:val="nil"/>
              <w:left w:val="nil"/>
              <w:bottom w:val="nil"/>
              <w:right w:val="nil"/>
            </w:tcBorders>
            <w:shd w:val="clear" w:color="auto" w:fill="auto"/>
            <w:noWrap/>
            <w:vAlign w:val="bottom"/>
            <w:hideMark/>
          </w:tcPr>
          <w:p w14:paraId="4AE2FA32"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p>
        </w:tc>
        <w:tc>
          <w:tcPr>
            <w:tcW w:w="512" w:type="pct"/>
            <w:tcBorders>
              <w:top w:val="nil"/>
              <w:left w:val="nil"/>
              <w:bottom w:val="nil"/>
              <w:right w:val="nil"/>
            </w:tcBorders>
            <w:shd w:val="clear" w:color="auto" w:fill="auto"/>
            <w:noWrap/>
            <w:vAlign w:val="bottom"/>
            <w:hideMark/>
          </w:tcPr>
          <w:p w14:paraId="00A52955"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[84.6, 98.8]</w:t>
            </w:r>
          </w:p>
        </w:tc>
        <w:tc>
          <w:tcPr>
            <w:tcW w:w="512" w:type="pct"/>
            <w:tcBorders>
              <w:top w:val="nil"/>
              <w:left w:val="nil"/>
              <w:bottom w:val="nil"/>
              <w:right w:val="nil"/>
            </w:tcBorders>
            <w:shd w:val="clear" w:color="auto" w:fill="auto"/>
            <w:noWrap/>
            <w:vAlign w:val="bottom"/>
            <w:hideMark/>
          </w:tcPr>
          <w:p w14:paraId="5B2F5B33"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[84.6, 98.8]</w:t>
            </w:r>
          </w:p>
        </w:tc>
        <w:tc>
          <w:tcPr>
            <w:tcW w:w="276" w:type="pct"/>
            <w:tcBorders>
              <w:top w:val="nil"/>
              <w:left w:val="nil"/>
              <w:bottom w:val="nil"/>
              <w:right w:val="nil"/>
            </w:tcBorders>
            <w:shd w:val="clear" w:color="auto" w:fill="auto"/>
            <w:noWrap/>
            <w:vAlign w:val="bottom"/>
            <w:hideMark/>
          </w:tcPr>
          <w:p w14:paraId="42CA8BA5"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p>
        </w:tc>
        <w:tc>
          <w:tcPr>
            <w:tcW w:w="514" w:type="pct"/>
            <w:tcBorders>
              <w:top w:val="nil"/>
              <w:left w:val="nil"/>
              <w:bottom w:val="nil"/>
              <w:right w:val="nil"/>
            </w:tcBorders>
            <w:shd w:val="clear" w:color="auto" w:fill="auto"/>
            <w:noWrap/>
            <w:vAlign w:val="bottom"/>
            <w:hideMark/>
          </w:tcPr>
          <w:p w14:paraId="6F5C0F42"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[46.2,95.0]</w:t>
            </w:r>
          </w:p>
        </w:tc>
        <w:tc>
          <w:tcPr>
            <w:tcW w:w="514" w:type="pct"/>
            <w:tcBorders>
              <w:top w:val="nil"/>
              <w:left w:val="nil"/>
              <w:bottom w:val="nil"/>
              <w:right w:val="nil"/>
            </w:tcBorders>
            <w:shd w:val="clear" w:color="auto" w:fill="auto"/>
            <w:noWrap/>
            <w:vAlign w:val="bottom"/>
            <w:hideMark/>
          </w:tcPr>
          <w:p w14:paraId="39C23A68"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[60.4, 96.6]</w:t>
            </w:r>
          </w:p>
        </w:tc>
        <w:tc>
          <w:tcPr>
            <w:tcW w:w="543" w:type="pct"/>
            <w:tcBorders>
              <w:top w:val="nil"/>
              <w:left w:val="nil"/>
              <w:bottom w:val="nil"/>
              <w:right w:val="nil"/>
            </w:tcBorders>
            <w:shd w:val="clear" w:color="auto" w:fill="auto"/>
            <w:noWrap/>
            <w:vAlign w:val="bottom"/>
            <w:hideMark/>
          </w:tcPr>
          <w:p w14:paraId="6B47831E"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[70.5, 90.8]</w:t>
            </w:r>
          </w:p>
        </w:tc>
        <w:tc>
          <w:tcPr>
            <w:tcW w:w="543" w:type="pct"/>
            <w:tcBorders>
              <w:top w:val="nil"/>
              <w:left w:val="nil"/>
              <w:bottom w:val="nil"/>
              <w:right w:val="nil"/>
            </w:tcBorders>
            <w:shd w:val="clear" w:color="auto" w:fill="auto"/>
            <w:noWrap/>
            <w:vAlign w:val="bottom"/>
            <w:hideMark/>
          </w:tcPr>
          <w:p w14:paraId="317DFFD9"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[80.4, 97.0]</w:t>
            </w:r>
          </w:p>
        </w:tc>
      </w:tr>
      <w:tr w:rsidR="00AE5AF4" w:rsidRPr="00A317E0" w14:paraId="7951EF74" w14:textId="77777777" w:rsidTr="00AE5AF4">
        <w:trPr>
          <w:trHeight w:val="278"/>
        </w:trPr>
        <w:tc>
          <w:tcPr>
            <w:tcW w:w="411" w:type="pct"/>
            <w:tcBorders>
              <w:top w:val="nil"/>
              <w:left w:val="nil"/>
              <w:bottom w:val="nil"/>
              <w:right w:val="nil"/>
            </w:tcBorders>
            <w:shd w:val="clear" w:color="auto" w:fill="auto"/>
            <w:noWrap/>
            <w:vAlign w:val="bottom"/>
            <w:hideMark/>
          </w:tcPr>
          <w:p w14:paraId="57DFFF80" w14:textId="27995440" w:rsidR="00AE5AF4" w:rsidRPr="00A317E0" w:rsidRDefault="00AE5AF4" w:rsidP="00F318F3">
            <w:pPr>
              <w:widowControl/>
              <w:spacing w:line="360" w:lineRule="auto"/>
              <w:jc w:val="left"/>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Absent</w:t>
            </w:r>
            <w:r w:rsidR="00074BAA">
              <w:rPr>
                <w:rFonts w:ascii="Times New Roman" w:eastAsia="等线" w:hAnsi="Times New Roman" w:cs="Times New Roman"/>
                <w:color w:val="000000"/>
                <w:kern w:val="0"/>
                <w:sz w:val="20"/>
                <w:szCs w:val="20"/>
              </w:rPr>
              <w:t xml:space="preserve"> (n=314)</w:t>
            </w:r>
          </w:p>
        </w:tc>
        <w:tc>
          <w:tcPr>
            <w:tcW w:w="445" w:type="pct"/>
            <w:tcBorders>
              <w:top w:val="nil"/>
              <w:left w:val="nil"/>
              <w:bottom w:val="nil"/>
              <w:right w:val="nil"/>
            </w:tcBorders>
            <w:shd w:val="clear" w:color="auto" w:fill="auto"/>
            <w:noWrap/>
            <w:vAlign w:val="bottom"/>
            <w:hideMark/>
          </w:tcPr>
          <w:p w14:paraId="4759C1AB"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63.9(62/97)</w:t>
            </w:r>
          </w:p>
        </w:tc>
        <w:tc>
          <w:tcPr>
            <w:tcW w:w="445" w:type="pct"/>
            <w:tcBorders>
              <w:top w:val="nil"/>
              <w:left w:val="nil"/>
              <w:bottom w:val="nil"/>
              <w:right w:val="nil"/>
            </w:tcBorders>
            <w:shd w:val="clear" w:color="auto" w:fill="auto"/>
            <w:noWrap/>
            <w:vAlign w:val="bottom"/>
            <w:hideMark/>
          </w:tcPr>
          <w:p w14:paraId="596793BD"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63.9(62/97)</w:t>
            </w:r>
          </w:p>
        </w:tc>
        <w:tc>
          <w:tcPr>
            <w:tcW w:w="285" w:type="pct"/>
            <w:tcBorders>
              <w:top w:val="nil"/>
              <w:left w:val="nil"/>
              <w:bottom w:val="nil"/>
              <w:right w:val="nil"/>
            </w:tcBorders>
            <w:shd w:val="clear" w:color="auto" w:fill="auto"/>
            <w:noWrap/>
            <w:vAlign w:val="bottom"/>
            <w:hideMark/>
          </w:tcPr>
          <w:p w14:paraId="759B9299" w14:textId="6087200F" w:rsidR="00AE5AF4" w:rsidRPr="00A317E0" w:rsidRDefault="00406850"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&gt;0.99</w:t>
            </w:r>
            <w:r w:rsidR="00AE5AF4" w:rsidRPr="00A317E0">
              <w:rPr>
                <w:rFonts w:ascii="Times New Roman" w:eastAsia="等线" w:hAnsi="Times New Roman" w:cs="Times New Roman"/>
                <w:color w:val="000000"/>
                <w:kern w:val="0"/>
                <w:sz w:val="20"/>
                <w:szCs w:val="20"/>
              </w:rPr>
              <w:t xml:space="preserve"> </w:t>
            </w:r>
          </w:p>
        </w:tc>
        <w:tc>
          <w:tcPr>
            <w:tcW w:w="512" w:type="pct"/>
            <w:tcBorders>
              <w:top w:val="nil"/>
              <w:left w:val="nil"/>
              <w:bottom w:val="nil"/>
              <w:right w:val="nil"/>
            </w:tcBorders>
            <w:shd w:val="clear" w:color="auto" w:fill="auto"/>
            <w:noWrap/>
            <w:vAlign w:val="bottom"/>
            <w:hideMark/>
          </w:tcPr>
          <w:p w14:paraId="6C53E8B9"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97.2(211/217)</w:t>
            </w:r>
          </w:p>
        </w:tc>
        <w:tc>
          <w:tcPr>
            <w:tcW w:w="512" w:type="pct"/>
            <w:tcBorders>
              <w:top w:val="nil"/>
              <w:left w:val="nil"/>
              <w:bottom w:val="nil"/>
              <w:right w:val="nil"/>
            </w:tcBorders>
            <w:shd w:val="clear" w:color="auto" w:fill="auto"/>
            <w:noWrap/>
            <w:vAlign w:val="bottom"/>
            <w:hideMark/>
          </w:tcPr>
          <w:p w14:paraId="6A13E5D5"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94.5(205/217)</w:t>
            </w:r>
          </w:p>
        </w:tc>
        <w:tc>
          <w:tcPr>
            <w:tcW w:w="276" w:type="pct"/>
            <w:tcBorders>
              <w:top w:val="nil"/>
              <w:left w:val="nil"/>
              <w:bottom w:val="nil"/>
              <w:right w:val="nil"/>
            </w:tcBorders>
            <w:shd w:val="clear" w:color="auto" w:fill="auto"/>
            <w:noWrap/>
            <w:vAlign w:val="bottom"/>
            <w:hideMark/>
          </w:tcPr>
          <w:p w14:paraId="18651A7C" w14:textId="1D593526"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0.041</w:t>
            </w:r>
            <w:r w:rsidR="00406850" w:rsidRPr="00A317E0">
              <w:rPr>
                <w:rFonts w:ascii="Times New Roman" w:hAnsi="Times New Roman" w:cs="Times New Roman"/>
                <w:sz w:val="20"/>
                <w:szCs w:val="20"/>
              </w:rPr>
              <w:t xml:space="preserve">† </w:t>
            </w:r>
            <w:r w:rsidRPr="00A317E0">
              <w:rPr>
                <w:rFonts w:ascii="Times New Roman" w:eastAsia="等线" w:hAnsi="Times New Roman" w:cs="Times New Roman"/>
                <w:color w:val="000000"/>
                <w:kern w:val="0"/>
                <w:sz w:val="20"/>
                <w:szCs w:val="20"/>
              </w:rPr>
              <w:t xml:space="preserve"> </w:t>
            </w:r>
          </w:p>
        </w:tc>
        <w:tc>
          <w:tcPr>
            <w:tcW w:w="514" w:type="pct"/>
            <w:tcBorders>
              <w:top w:val="nil"/>
              <w:left w:val="nil"/>
              <w:bottom w:val="nil"/>
              <w:right w:val="nil"/>
            </w:tcBorders>
            <w:shd w:val="clear" w:color="auto" w:fill="auto"/>
            <w:noWrap/>
            <w:vAlign w:val="bottom"/>
            <w:hideMark/>
          </w:tcPr>
          <w:p w14:paraId="79B5D56B"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91.2(62/68)</w:t>
            </w:r>
          </w:p>
        </w:tc>
        <w:tc>
          <w:tcPr>
            <w:tcW w:w="514" w:type="pct"/>
            <w:tcBorders>
              <w:top w:val="nil"/>
              <w:left w:val="nil"/>
              <w:bottom w:val="nil"/>
              <w:right w:val="nil"/>
            </w:tcBorders>
            <w:shd w:val="clear" w:color="auto" w:fill="auto"/>
            <w:noWrap/>
            <w:vAlign w:val="bottom"/>
            <w:hideMark/>
          </w:tcPr>
          <w:p w14:paraId="4FC969EC"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83.8(62/74)</w:t>
            </w:r>
          </w:p>
        </w:tc>
        <w:tc>
          <w:tcPr>
            <w:tcW w:w="543" w:type="pct"/>
            <w:tcBorders>
              <w:top w:val="nil"/>
              <w:left w:val="nil"/>
              <w:bottom w:val="nil"/>
              <w:right w:val="nil"/>
            </w:tcBorders>
            <w:shd w:val="clear" w:color="auto" w:fill="auto"/>
            <w:noWrap/>
            <w:vAlign w:val="bottom"/>
            <w:hideMark/>
          </w:tcPr>
          <w:p w14:paraId="7CF16CE8"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85.8(211/246)</w:t>
            </w:r>
          </w:p>
        </w:tc>
        <w:tc>
          <w:tcPr>
            <w:tcW w:w="543" w:type="pct"/>
            <w:tcBorders>
              <w:top w:val="nil"/>
              <w:left w:val="nil"/>
              <w:bottom w:val="nil"/>
              <w:right w:val="nil"/>
            </w:tcBorders>
            <w:shd w:val="clear" w:color="auto" w:fill="auto"/>
            <w:noWrap/>
            <w:vAlign w:val="bottom"/>
            <w:hideMark/>
          </w:tcPr>
          <w:p w14:paraId="54EBE8E1"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85.4(205/240)</w:t>
            </w:r>
          </w:p>
        </w:tc>
      </w:tr>
      <w:tr w:rsidR="00AE5AF4" w:rsidRPr="00A317E0" w14:paraId="6E424C73" w14:textId="77777777" w:rsidTr="00AE5AF4">
        <w:trPr>
          <w:trHeight w:val="278"/>
        </w:trPr>
        <w:tc>
          <w:tcPr>
            <w:tcW w:w="411" w:type="pct"/>
            <w:tcBorders>
              <w:top w:val="nil"/>
              <w:left w:val="nil"/>
              <w:bottom w:val="single" w:sz="4" w:space="0" w:color="auto"/>
              <w:right w:val="nil"/>
            </w:tcBorders>
            <w:shd w:val="clear" w:color="auto" w:fill="auto"/>
            <w:noWrap/>
            <w:vAlign w:val="bottom"/>
            <w:hideMark/>
          </w:tcPr>
          <w:p w14:paraId="575C2EAC" w14:textId="77777777" w:rsidR="00AE5AF4" w:rsidRPr="00A317E0" w:rsidRDefault="00AE5AF4" w:rsidP="00F318F3">
            <w:pPr>
              <w:widowControl/>
              <w:spacing w:line="360" w:lineRule="auto"/>
              <w:jc w:val="left"/>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 xml:space="preserve">　</w:t>
            </w:r>
          </w:p>
        </w:tc>
        <w:tc>
          <w:tcPr>
            <w:tcW w:w="445" w:type="pct"/>
            <w:tcBorders>
              <w:top w:val="nil"/>
              <w:left w:val="nil"/>
              <w:bottom w:val="single" w:sz="4" w:space="0" w:color="auto"/>
              <w:right w:val="nil"/>
            </w:tcBorders>
            <w:shd w:val="clear" w:color="auto" w:fill="auto"/>
            <w:noWrap/>
            <w:vAlign w:val="bottom"/>
            <w:hideMark/>
          </w:tcPr>
          <w:p w14:paraId="06776E4E"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[53.5, 73.4]</w:t>
            </w:r>
          </w:p>
        </w:tc>
        <w:tc>
          <w:tcPr>
            <w:tcW w:w="445" w:type="pct"/>
            <w:tcBorders>
              <w:top w:val="nil"/>
              <w:left w:val="nil"/>
              <w:bottom w:val="single" w:sz="4" w:space="0" w:color="auto"/>
              <w:right w:val="nil"/>
            </w:tcBorders>
            <w:shd w:val="clear" w:color="auto" w:fill="auto"/>
            <w:noWrap/>
            <w:vAlign w:val="bottom"/>
            <w:hideMark/>
          </w:tcPr>
          <w:p w14:paraId="2ECF5671"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[53.5, 73.4]</w:t>
            </w:r>
          </w:p>
        </w:tc>
        <w:tc>
          <w:tcPr>
            <w:tcW w:w="285" w:type="pct"/>
            <w:tcBorders>
              <w:top w:val="nil"/>
              <w:left w:val="nil"/>
              <w:bottom w:val="single" w:sz="4" w:space="0" w:color="auto"/>
              <w:right w:val="nil"/>
            </w:tcBorders>
            <w:shd w:val="clear" w:color="auto" w:fill="auto"/>
            <w:noWrap/>
            <w:vAlign w:val="bottom"/>
            <w:hideMark/>
          </w:tcPr>
          <w:p w14:paraId="6333F80D"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 xml:space="preserve">　</w:t>
            </w:r>
          </w:p>
        </w:tc>
        <w:tc>
          <w:tcPr>
            <w:tcW w:w="512" w:type="pct"/>
            <w:tcBorders>
              <w:top w:val="nil"/>
              <w:left w:val="nil"/>
              <w:bottom w:val="single" w:sz="4" w:space="0" w:color="auto"/>
              <w:right w:val="nil"/>
            </w:tcBorders>
            <w:shd w:val="clear" w:color="auto" w:fill="auto"/>
            <w:noWrap/>
            <w:vAlign w:val="bottom"/>
            <w:hideMark/>
          </w:tcPr>
          <w:p w14:paraId="5BC0041B"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[94.1,99.0]</w:t>
            </w:r>
          </w:p>
        </w:tc>
        <w:tc>
          <w:tcPr>
            <w:tcW w:w="512" w:type="pct"/>
            <w:tcBorders>
              <w:top w:val="nil"/>
              <w:left w:val="nil"/>
              <w:bottom w:val="single" w:sz="4" w:space="0" w:color="auto"/>
              <w:right w:val="nil"/>
            </w:tcBorders>
            <w:shd w:val="clear" w:color="auto" w:fill="auto"/>
            <w:noWrap/>
            <w:vAlign w:val="bottom"/>
            <w:hideMark/>
          </w:tcPr>
          <w:p w14:paraId="706A6389"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[90.5,97.1]</w:t>
            </w:r>
          </w:p>
        </w:tc>
        <w:tc>
          <w:tcPr>
            <w:tcW w:w="276" w:type="pct"/>
            <w:tcBorders>
              <w:top w:val="nil"/>
              <w:left w:val="nil"/>
              <w:bottom w:val="single" w:sz="4" w:space="0" w:color="auto"/>
              <w:right w:val="nil"/>
            </w:tcBorders>
            <w:shd w:val="clear" w:color="auto" w:fill="auto"/>
            <w:noWrap/>
            <w:vAlign w:val="bottom"/>
            <w:hideMark/>
          </w:tcPr>
          <w:p w14:paraId="3C7975E8"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 xml:space="preserve">　</w:t>
            </w:r>
          </w:p>
        </w:tc>
        <w:tc>
          <w:tcPr>
            <w:tcW w:w="514" w:type="pct"/>
            <w:tcBorders>
              <w:top w:val="nil"/>
              <w:left w:val="nil"/>
              <w:bottom w:val="single" w:sz="4" w:space="0" w:color="auto"/>
              <w:right w:val="nil"/>
            </w:tcBorders>
            <w:shd w:val="clear" w:color="auto" w:fill="auto"/>
            <w:noWrap/>
            <w:vAlign w:val="bottom"/>
            <w:hideMark/>
          </w:tcPr>
          <w:p w14:paraId="1AAD17EE"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[81.8, 96.7]</w:t>
            </w:r>
          </w:p>
        </w:tc>
        <w:tc>
          <w:tcPr>
            <w:tcW w:w="514" w:type="pct"/>
            <w:tcBorders>
              <w:top w:val="nil"/>
              <w:left w:val="nil"/>
              <w:bottom w:val="single" w:sz="4" w:space="0" w:color="auto"/>
              <w:right w:val="nil"/>
            </w:tcBorders>
            <w:shd w:val="clear" w:color="auto" w:fill="auto"/>
            <w:noWrap/>
            <w:vAlign w:val="bottom"/>
            <w:hideMark/>
          </w:tcPr>
          <w:p w14:paraId="7D7BC658"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[73.4,91.3]</w:t>
            </w:r>
          </w:p>
        </w:tc>
        <w:tc>
          <w:tcPr>
            <w:tcW w:w="543" w:type="pct"/>
            <w:tcBorders>
              <w:top w:val="nil"/>
              <w:left w:val="nil"/>
              <w:bottom w:val="single" w:sz="4" w:space="0" w:color="auto"/>
              <w:right w:val="nil"/>
            </w:tcBorders>
            <w:shd w:val="clear" w:color="auto" w:fill="auto"/>
            <w:noWrap/>
            <w:vAlign w:val="bottom"/>
            <w:hideMark/>
          </w:tcPr>
          <w:p w14:paraId="107529B7"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[80.8, 89.9]</w:t>
            </w:r>
          </w:p>
        </w:tc>
        <w:tc>
          <w:tcPr>
            <w:tcW w:w="543" w:type="pct"/>
            <w:tcBorders>
              <w:top w:val="nil"/>
              <w:left w:val="nil"/>
              <w:bottom w:val="single" w:sz="4" w:space="0" w:color="auto"/>
              <w:right w:val="nil"/>
            </w:tcBorders>
            <w:shd w:val="clear" w:color="auto" w:fill="auto"/>
            <w:noWrap/>
            <w:vAlign w:val="bottom"/>
            <w:hideMark/>
          </w:tcPr>
          <w:p w14:paraId="79CDFBD0" w14:textId="77777777" w:rsidR="00AE5AF4" w:rsidRPr="00A317E0" w:rsidRDefault="00AE5AF4" w:rsidP="00F318F3">
            <w:pPr>
              <w:widowControl/>
              <w:spacing w:line="360" w:lineRule="auto"/>
              <w:jc w:val="center"/>
              <w:rPr>
                <w:rFonts w:ascii="Times New Roman" w:eastAsia="等线" w:hAnsi="Times New Roman" w:cs="Times New Roman"/>
                <w:color w:val="000000"/>
                <w:kern w:val="0"/>
                <w:sz w:val="20"/>
                <w:szCs w:val="20"/>
              </w:rPr>
            </w:pPr>
            <w:r w:rsidRPr="00A317E0">
              <w:rPr>
                <w:rFonts w:ascii="Times New Roman" w:eastAsia="等线" w:hAnsi="Times New Roman" w:cs="Times New Roman"/>
                <w:color w:val="000000"/>
                <w:kern w:val="0"/>
                <w:sz w:val="20"/>
                <w:szCs w:val="20"/>
              </w:rPr>
              <w:t>[80.3, 89.6]</w:t>
            </w:r>
          </w:p>
        </w:tc>
      </w:tr>
    </w:tbl>
    <w:p w14:paraId="66601BC2" w14:textId="4B358AC3" w:rsidR="00C44CA0" w:rsidRPr="00DB209D" w:rsidRDefault="00AE5AF4" w:rsidP="00C44CA0">
      <w:pPr>
        <w:spacing w:line="360" w:lineRule="auto"/>
        <w:rPr>
          <w:rFonts w:ascii="Times New Roman" w:hAnsi="Times New Roman" w:cs="Times New Roman"/>
          <w:sz w:val="20"/>
          <w:szCs w:val="20"/>
        </w:rPr>
      </w:pPr>
      <w:r w:rsidRPr="00A317E0">
        <w:rPr>
          <w:rFonts w:ascii="Times New Roman" w:hAnsi="Times New Roman" w:cs="Times New Roman"/>
          <w:sz w:val="18"/>
          <w:szCs w:val="18"/>
        </w:rPr>
        <w:t xml:space="preserve">Note. - Data are percentages, with numerators and denominators in parentheses and 95%Cis in brackets. </w:t>
      </w:r>
      <w:r w:rsidR="00C44CA0" w:rsidRPr="00A317E0">
        <w:rPr>
          <w:rFonts w:ascii="Times New Roman" w:hAnsi="Times New Roman" w:cs="Times New Roman"/>
          <w:sz w:val="18"/>
          <w:szCs w:val="18"/>
        </w:rPr>
        <w:t>LI</w:t>
      </w:r>
      <w:r w:rsidR="00C42154" w:rsidRPr="00A317E0">
        <w:rPr>
          <w:rFonts w:ascii="Times New Roman" w:hAnsi="Times New Roman" w:cs="Times New Roman"/>
          <w:sz w:val="18"/>
          <w:szCs w:val="18"/>
        </w:rPr>
        <w:t>-</w:t>
      </w:r>
      <w:r w:rsidR="00C44CA0" w:rsidRPr="00A317E0">
        <w:rPr>
          <w:rFonts w:ascii="Times New Roman" w:hAnsi="Times New Roman" w:cs="Times New Roman"/>
          <w:sz w:val="18"/>
          <w:szCs w:val="18"/>
        </w:rPr>
        <w:t xml:space="preserve">RADS = Liver Imaging Reporting and Data System; TRA = </w:t>
      </w:r>
      <w:r w:rsidR="006B7B41">
        <w:rPr>
          <w:rFonts w:ascii="Times New Roman" w:hAnsi="Times New Roman" w:cs="Times New Roman"/>
          <w:sz w:val="18"/>
          <w:szCs w:val="18"/>
        </w:rPr>
        <w:t>t</w:t>
      </w:r>
      <w:r w:rsidR="007D3E0E" w:rsidRPr="00A317E0">
        <w:rPr>
          <w:rFonts w:ascii="Times New Roman" w:hAnsi="Times New Roman" w:cs="Times New Roman"/>
          <w:sz w:val="18"/>
          <w:szCs w:val="18"/>
        </w:rPr>
        <w:t xml:space="preserve">reatment </w:t>
      </w:r>
      <w:r w:rsidR="006B7B41">
        <w:rPr>
          <w:rFonts w:ascii="Times New Roman" w:hAnsi="Times New Roman" w:cs="Times New Roman"/>
          <w:sz w:val="18"/>
          <w:szCs w:val="18"/>
        </w:rPr>
        <w:t>r</w:t>
      </w:r>
      <w:r w:rsidR="007D3E0E" w:rsidRPr="00A317E0">
        <w:rPr>
          <w:rFonts w:ascii="Times New Roman" w:hAnsi="Times New Roman" w:cs="Times New Roman"/>
          <w:sz w:val="18"/>
          <w:szCs w:val="18"/>
        </w:rPr>
        <w:t xml:space="preserve">esponse </w:t>
      </w:r>
      <w:r w:rsidR="006B7B41">
        <w:rPr>
          <w:rFonts w:ascii="Times New Roman" w:hAnsi="Times New Roman" w:cs="Times New Roman"/>
          <w:sz w:val="18"/>
          <w:szCs w:val="18"/>
        </w:rPr>
        <w:t>a</w:t>
      </w:r>
      <w:r w:rsidR="007D3E0E" w:rsidRPr="00A317E0">
        <w:rPr>
          <w:rFonts w:ascii="Times New Roman" w:hAnsi="Times New Roman" w:cs="Times New Roman"/>
          <w:sz w:val="18"/>
          <w:szCs w:val="18"/>
        </w:rPr>
        <w:t>lgorithm</w:t>
      </w:r>
      <w:r w:rsidR="00C44CA0" w:rsidRPr="00A317E0">
        <w:rPr>
          <w:rFonts w:ascii="Times New Roman" w:hAnsi="Times New Roman" w:cs="Times New Roman"/>
          <w:sz w:val="18"/>
          <w:szCs w:val="18"/>
        </w:rPr>
        <w:t xml:space="preserve">; LRT = </w:t>
      </w:r>
      <w:r w:rsidR="007D3E0E">
        <w:rPr>
          <w:rFonts w:ascii="Times New Roman" w:hAnsi="Times New Roman" w:cs="Times New Roman"/>
          <w:sz w:val="18"/>
          <w:szCs w:val="18"/>
        </w:rPr>
        <w:t>l</w:t>
      </w:r>
      <w:r w:rsidR="007D3E0E" w:rsidRPr="00A317E0">
        <w:rPr>
          <w:rFonts w:ascii="Times New Roman" w:hAnsi="Times New Roman" w:cs="Times New Roman"/>
          <w:sz w:val="18"/>
          <w:szCs w:val="18"/>
        </w:rPr>
        <w:t xml:space="preserve">ocoregional </w:t>
      </w:r>
      <w:r w:rsidR="00C44CA0" w:rsidRPr="00A317E0">
        <w:rPr>
          <w:rFonts w:ascii="Times New Roman" w:hAnsi="Times New Roman" w:cs="Times New Roman"/>
          <w:sz w:val="18"/>
          <w:szCs w:val="18"/>
        </w:rPr>
        <w:t>therapy</w:t>
      </w:r>
      <w:r w:rsidR="006B7B41">
        <w:rPr>
          <w:rFonts w:ascii="Times New Roman" w:hAnsi="Times New Roman" w:cs="Times New Roman"/>
          <w:sz w:val="18"/>
          <w:szCs w:val="18"/>
        </w:rPr>
        <w:t>;</w:t>
      </w:r>
      <w:r w:rsidR="00552B3D" w:rsidRPr="00552B3D">
        <w:rPr>
          <w:rFonts w:ascii="Times New Roman" w:hAnsi="Times New Roman" w:cs="Times New Roman"/>
          <w:sz w:val="18"/>
          <w:szCs w:val="18"/>
        </w:rPr>
        <w:t xml:space="preserve"> CEUS = contrast-enhanced ultrasonography</w:t>
      </w:r>
      <w:r w:rsidR="006B7B41">
        <w:rPr>
          <w:rFonts w:ascii="Times New Roman" w:hAnsi="Times New Roman" w:cs="Times New Roman"/>
          <w:sz w:val="18"/>
          <w:szCs w:val="18"/>
        </w:rPr>
        <w:t>;</w:t>
      </w:r>
      <w:r w:rsidR="00552B3D" w:rsidRPr="00552B3D">
        <w:rPr>
          <w:rFonts w:ascii="Times New Roman" w:hAnsi="Times New Roman" w:cs="Times New Roman"/>
          <w:sz w:val="18"/>
          <w:szCs w:val="18"/>
        </w:rPr>
        <w:t xml:space="preserve"> CT = computed tomography</w:t>
      </w:r>
      <w:r w:rsidR="006B7B41">
        <w:rPr>
          <w:rFonts w:ascii="Times New Roman" w:hAnsi="Times New Roman" w:cs="Times New Roman"/>
          <w:sz w:val="18"/>
          <w:szCs w:val="18"/>
        </w:rPr>
        <w:t>;</w:t>
      </w:r>
      <w:r w:rsidR="00552B3D" w:rsidRPr="00552B3D">
        <w:rPr>
          <w:rFonts w:ascii="Times New Roman" w:hAnsi="Times New Roman" w:cs="Times New Roman"/>
          <w:sz w:val="18"/>
          <w:szCs w:val="18"/>
        </w:rPr>
        <w:t xml:space="preserve"> MRI = magnetic resonance imaging.</w:t>
      </w:r>
      <w:r w:rsidR="000451EE">
        <w:rPr>
          <w:rFonts w:ascii="Times New Roman" w:eastAsia="等线" w:hAnsi="Times New Roman" w:cs="Times New Roman"/>
          <w:color w:val="000000"/>
          <w:kern w:val="0"/>
          <w:sz w:val="20"/>
          <w:szCs w:val="20"/>
        </w:rPr>
        <w:t xml:space="preserve"> </w:t>
      </w:r>
    </w:p>
    <w:p w14:paraId="43500021" w14:textId="6D55C451" w:rsidR="00AE5AF4" w:rsidRPr="008A1C2C" w:rsidRDefault="00AE5AF4" w:rsidP="00F318F3">
      <w:pPr>
        <w:spacing w:line="360" w:lineRule="auto"/>
        <w:rPr>
          <w:rFonts w:ascii="Times New Roman" w:hAnsi="Times New Roman" w:cs="Times New Roman"/>
          <w:sz w:val="18"/>
          <w:szCs w:val="18"/>
        </w:rPr>
      </w:pPr>
      <w:r w:rsidRPr="00A317E0">
        <w:rPr>
          <w:rFonts w:ascii="Times New Roman" w:hAnsi="Times New Roman" w:cs="Times New Roman"/>
          <w:sz w:val="18"/>
          <w:szCs w:val="18"/>
        </w:rPr>
        <w:t xml:space="preserve">† </w:t>
      </w:r>
      <w:r w:rsidRPr="00A317E0">
        <w:rPr>
          <w:rFonts w:ascii="Times New Roman" w:hAnsi="Times New Roman" w:cs="Times New Roman"/>
          <w:i/>
          <w:iCs/>
          <w:sz w:val="18"/>
          <w:szCs w:val="18"/>
        </w:rPr>
        <w:t xml:space="preserve">P </w:t>
      </w:r>
      <w:r w:rsidRPr="00A317E0">
        <w:rPr>
          <w:rFonts w:ascii="Times New Roman" w:hAnsi="Times New Roman" w:cs="Times New Roman"/>
          <w:sz w:val="18"/>
          <w:szCs w:val="18"/>
        </w:rPr>
        <w:t>&lt;</w:t>
      </w:r>
      <w:r w:rsidR="008A1C2C">
        <w:rPr>
          <w:rFonts w:ascii="Times New Roman" w:hAnsi="Times New Roman" w:cs="Times New Roman"/>
          <w:sz w:val="18"/>
          <w:szCs w:val="18"/>
        </w:rPr>
        <w:t>0</w:t>
      </w:r>
      <w:r w:rsidRPr="00A317E0">
        <w:rPr>
          <w:rFonts w:ascii="Times New Roman" w:hAnsi="Times New Roman" w:cs="Times New Roman"/>
          <w:sz w:val="18"/>
          <w:szCs w:val="18"/>
        </w:rPr>
        <w:t xml:space="preserve"> .05.</w:t>
      </w:r>
    </w:p>
    <w:sectPr w:rsidR="00AE5AF4" w:rsidRPr="008A1C2C" w:rsidSect="003110F0">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5E4A" w14:textId="77777777" w:rsidR="00433F86" w:rsidRDefault="00433F86" w:rsidP="00D07F28">
      <w:r>
        <w:separator/>
      </w:r>
    </w:p>
  </w:endnote>
  <w:endnote w:type="continuationSeparator" w:id="0">
    <w:p w14:paraId="3076FC23" w14:textId="77777777" w:rsidR="00433F86" w:rsidRDefault="00433F86" w:rsidP="00D0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4EEF" w14:textId="77777777" w:rsidR="00433F86" w:rsidRDefault="00433F86" w:rsidP="00D07F28">
      <w:r>
        <w:separator/>
      </w:r>
    </w:p>
  </w:footnote>
  <w:footnote w:type="continuationSeparator" w:id="0">
    <w:p w14:paraId="5A9D9608" w14:textId="77777777" w:rsidR="00433F86" w:rsidRDefault="00433F86" w:rsidP="00D07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AAiE0MzQzMjM3MDYyUdpeDU4uLM/DyQAuNaAKv6W+UsAAAA"/>
    <w:docVar w:name="EN.InstantFormat" w:val="&lt;ENInstantFormat&gt;&lt;Enabled&gt;1&lt;/Enabled&gt;&lt;ScanUnformatted&gt;1&lt;/ScanUnformatted&gt;&lt;ScanChanges&gt;1&lt;/ScanChanges&gt;&lt;Suspended&gt;0&lt;/Suspended&gt;&lt;/ENInstantFormat&gt;"/>
    <w:docVar w:name="EN.Layout" w:val="&lt;ENLayout&gt;&lt;Style&gt;Euro Radiolog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t0adefrwftfkexst35pzfdtzrttpxvxft9&quot;&gt;Treatment Response&lt;record-ids&gt;&lt;item&gt;516&lt;/item&gt;&lt;/record-ids&gt;&lt;/item&gt;&lt;/Libraries&gt;"/>
  </w:docVars>
  <w:rsids>
    <w:rsidRoot w:val="007E76D9"/>
    <w:rsid w:val="000079F7"/>
    <w:rsid w:val="00016BDA"/>
    <w:rsid w:val="00022672"/>
    <w:rsid w:val="00035E93"/>
    <w:rsid w:val="000451EE"/>
    <w:rsid w:val="00074BAA"/>
    <w:rsid w:val="000C76EB"/>
    <w:rsid w:val="000D4B01"/>
    <w:rsid w:val="000E064E"/>
    <w:rsid w:val="000F5060"/>
    <w:rsid w:val="001029D0"/>
    <w:rsid w:val="001070CA"/>
    <w:rsid w:val="0017668B"/>
    <w:rsid w:val="001B786C"/>
    <w:rsid w:val="001E44D3"/>
    <w:rsid w:val="002014A3"/>
    <w:rsid w:val="0024502F"/>
    <w:rsid w:val="00247530"/>
    <w:rsid w:val="00255179"/>
    <w:rsid w:val="0026388C"/>
    <w:rsid w:val="00270F82"/>
    <w:rsid w:val="00280F11"/>
    <w:rsid w:val="00284AD2"/>
    <w:rsid w:val="002D74A7"/>
    <w:rsid w:val="002E0170"/>
    <w:rsid w:val="002E08B7"/>
    <w:rsid w:val="002E6B7F"/>
    <w:rsid w:val="00310E03"/>
    <w:rsid w:val="003110F0"/>
    <w:rsid w:val="0031469A"/>
    <w:rsid w:val="00367942"/>
    <w:rsid w:val="00380B53"/>
    <w:rsid w:val="00385A13"/>
    <w:rsid w:val="00391AF9"/>
    <w:rsid w:val="003E46D9"/>
    <w:rsid w:val="003F420D"/>
    <w:rsid w:val="003F79BB"/>
    <w:rsid w:val="00406850"/>
    <w:rsid w:val="00411931"/>
    <w:rsid w:val="0041347F"/>
    <w:rsid w:val="00433F86"/>
    <w:rsid w:val="00437BB3"/>
    <w:rsid w:val="0044262F"/>
    <w:rsid w:val="0051391F"/>
    <w:rsid w:val="005370FA"/>
    <w:rsid w:val="00552B3D"/>
    <w:rsid w:val="0057499E"/>
    <w:rsid w:val="005770E7"/>
    <w:rsid w:val="005C6F7A"/>
    <w:rsid w:val="005D1EBF"/>
    <w:rsid w:val="00631132"/>
    <w:rsid w:val="006441C1"/>
    <w:rsid w:val="00645BF3"/>
    <w:rsid w:val="00650CE0"/>
    <w:rsid w:val="0065403A"/>
    <w:rsid w:val="0065486E"/>
    <w:rsid w:val="006A52DF"/>
    <w:rsid w:val="006B7B41"/>
    <w:rsid w:val="007137DE"/>
    <w:rsid w:val="00723AC2"/>
    <w:rsid w:val="007670B0"/>
    <w:rsid w:val="00772572"/>
    <w:rsid w:val="00777646"/>
    <w:rsid w:val="007A280A"/>
    <w:rsid w:val="007C4976"/>
    <w:rsid w:val="007D3E0E"/>
    <w:rsid w:val="007D6D21"/>
    <w:rsid w:val="007E3D8C"/>
    <w:rsid w:val="007E76D9"/>
    <w:rsid w:val="00803C52"/>
    <w:rsid w:val="00823F9B"/>
    <w:rsid w:val="00827C0E"/>
    <w:rsid w:val="008352B8"/>
    <w:rsid w:val="008476F6"/>
    <w:rsid w:val="00847CF8"/>
    <w:rsid w:val="00880449"/>
    <w:rsid w:val="008A1C2C"/>
    <w:rsid w:val="008D0C40"/>
    <w:rsid w:val="008E64B4"/>
    <w:rsid w:val="0097556F"/>
    <w:rsid w:val="00996D82"/>
    <w:rsid w:val="009B7318"/>
    <w:rsid w:val="009E1780"/>
    <w:rsid w:val="009F3A01"/>
    <w:rsid w:val="00A000CA"/>
    <w:rsid w:val="00A017DA"/>
    <w:rsid w:val="00A01F8B"/>
    <w:rsid w:val="00A04703"/>
    <w:rsid w:val="00A157FE"/>
    <w:rsid w:val="00A30A68"/>
    <w:rsid w:val="00A317E0"/>
    <w:rsid w:val="00A4037B"/>
    <w:rsid w:val="00A510BC"/>
    <w:rsid w:val="00AA4103"/>
    <w:rsid w:val="00AB0279"/>
    <w:rsid w:val="00AC2D19"/>
    <w:rsid w:val="00AE5AF4"/>
    <w:rsid w:val="00B167B5"/>
    <w:rsid w:val="00B243A9"/>
    <w:rsid w:val="00B362A6"/>
    <w:rsid w:val="00B70D95"/>
    <w:rsid w:val="00B74D5E"/>
    <w:rsid w:val="00B85CF7"/>
    <w:rsid w:val="00B97F6E"/>
    <w:rsid w:val="00C34D81"/>
    <w:rsid w:val="00C42154"/>
    <w:rsid w:val="00C44CA0"/>
    <w:rsid w:val="00C67E14"/>
    <w:rsid w:val="00C97261"/>
    <w:rsid w:val="00CC6F8A"/>
    <w:rsid w:val="00CF5D4B"/>
    <w:rsid w:val="00D07F28"/>
    <w:rsid w:val="00D106E8"/>
    <w:rsid w:val="00D55709"/>
    <w:rsid w:val="00D80DB8"/>
    <w:rsid w:val="00D822B7"/>
    <w:rsid w:val="00D97EA6"/>
    <w:rsid w:val="00DB209D"/>
    <w:rsid w:val="00E05D5C"/>
    <w:rsid w:val="00E10925"/>
    <w:rsid w:val="00E2666C"/>
    <w:rsid w:val="00E32D21"/>
    <w:rsid w:val="00E51E9B"/>
    <w:rsid w:val="00EB0EB4"/>
    <w:rsid w:val="00EE0553"/>
    <w:rsid w:val="00EE1D54"/>
    <w:rsid w:val="00F221F3"/>
    <w:rsid w:val="00F318F3"/>
    <w:rsid w:val="00FA5DA2"/>
    <w:rsid w:val="00FB3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0445E"/>
  <w15:chartTrackingRefBased/>
  <w15:docId w15:val="{5CCE4569-6996-434D-8D10-E7A4C78C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F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7F28"/>
    <w:rPr>
      <w:sz w:val="18"/>
      <w:szCs w:val="18"/>
    </w:rPr>
  </w:style>
  <w:style w:type="paragraph" w:styleId="a5">
    <w:name w:val="footer"/>
    <w:basedOn w:val="a"/>
    <w:link w:val="a6"/>
    <w:uiPriority w:val="99"/>
    <w:unhideWhenUsed/>
    <w:rsid w:val="00D07F28"/>
    <w:pPr>
      <w:tabs>
        <w:tab w:val="center" w:pos="4153"/>
        <w:tab w:val="right" w:pos="8306"/>
      </w:tabs>
      <w:snapToGrid w:val="0"/>
      <w:jc w:val="left"/>
    </w:pPr>
    <w:rPr>
      <w:sz w:val="18"/>
      <w:szCs w:val="18"/>
    </w:rPr>
  </w:style>
  <w:style w:type="character" w:customStyle="1" w:styleId="a6">
    <w:name w:val="页脚 字符"/>
    <w:basedOn w:val="a0"/>
    <w:link w:val="a5"/>
    <w:uiPriority w:val="99"/>
    <w:rsid w:val="00D07F28"/>
    <w:rPr>
      <w:sz w:val="18"/>
      <w:szCs w:val="18"/>
    </w:rPr>
  </w:style>
  <w:style w:type="table" w:styleId="a7">
    <w:name w:val="Table Grid"/>
    <w:basedOn w:val="a1"/>
    <w:uiPriority w:val="39"/>
    <w:rsid w:val="00D8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3E46D9"/>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3E46D9"/>
    <w:rPr>
      <w:rFonts w:ascii="等线" w:eastAsia="等线" w:hAnsi="等线"/>
      <w:noProof/>
      <w:sz w:val="20"/>
    </w:rPr>
  </w:style>
  <w:style w:type="paragraph" w:customStyle="1" w:styleId="EndNoteBibliography">
    <w:name w:val="EndNote Bibliography"/>
    <w:basedOn w:val="a"/>
    <w:link w:val="EndNoteBibliography0"/>
    <w:rsid w:val="003E46D9"/>
    <w:rPr>
      <w:rFonts w:ascii="等线" w:eastAsia="等线" w:hAnsi="等线"/>
      <w:noProof/>
      <w:sz w:val="20"/>
    </w:rPr>
  </w:style>
  <w:style w:type="character" w:customStyle="1" w:styleId="EndNoteBibliography0">
    <w:name w:val="EndNote Bibliography 字符"/>
    <w:basedOn w:val="a0"/>
    <w:link w:val="EndNoteBibliography"/>
    <w:rsid w:val="003E46D9"/>
    <w:rPr>
      <w:rFonts w:ascii="等线" w:eastAsia="等线" w:hAnsi="等线"/>
      <w:noProof/>
      <w:sz w:val="20"/>
    </w:rPr>
  </w:style>
  <w:style w:type="character" w:styleId="a8">
    <w:name w:val="Hyperlink"/>
    <w:basedOn w:val="a0"/>
    <w:uiPriority w:val="99"/>
    <w:unhideWhenUsed/>
    <w:rsid w:val="0051391F"/>
    <w:rPr>
      <w:color w:val="0563C1" w:themeColor="hyperlink"/>
      <w:u w:val="single"/>
    </w:rPr>
  </w:style>
  <w:style w:type="paragraph" w:styleId="a9">
    <w:name w:val="Revision"/>
    <w:hidden/>
    <w:uiPriority w:val="99"/>
    <w:semiHidden/>
    <w:rsid w:val="007D6D21"/>
  </w:style>
  <w:style w:type="paragraph" w:styleId="aa">
    <w:name w:val="Balloon Text"/>
    <w:basedOn w:val="a"/>
    <w:link w:val="ab"/>
    <w:uiPriority w:val="99"/>
    <w:semiHidden/>
    <w:unhideWhenUsed/>
    <w:rsid w:val="000D4B01"/>
    <w:rPr>
      <w:sz w:val="18"/>
      <w:szCs w:val="18"/>
    </w:rPr>
  </w:style>
  <w:style w:type="character" w:customStyle="1" w:styleId="ab">
    <w:name w:val="批注框文本 字符"/>
    <w:basedOn w:val="a0"/>
    <w:link w:val="aa"/>
    <w:uiPriority w:val="99"/>
    <w:semiHidden/>
    <w:rsid w:val="000D4B01"/>
    <w:rPr>
      <w:sz w:val="18"/>
      <w:szCs w:val="18"/>
    </w:rPr>
  </w:style>
  <w:style w:type="character" w:styleId="ac">
    <w:name w:val="annotation reference"/>
    <w:basedOn w:val="a0"/>
    <w:uiPriority w:val="99"/>
    <w:semiHidden/>
    <w:unhideWhenUsed/>
    <w:rsid w:val="00880449"/>
    <w:rPr>
      <w:sz w:val="21"/>
      <w:szCs w:val="21"/>
    </w:rPr>
  </w:style>
  <w:style w:type="paragraph" w:styleId="ad">
    <w:name w:val="annotation text"/>
    <w:basedOn w:val="a"/>
    <w:link w:val="ae"/>
    <w:uiPriority w:val="99"/>
    <w:semiHidden/>
    <w:unhideWhenUsed/>
    <w:rsid w:val="00880449"/>
    <w:pPr>
      <w:jc w:val="left"/>
    </w:pPr>
  </w:style>
  <w:style w:type="character" w:customStyle="1" w:styleId="ae">
    <w:name w:val="批注文字 字符"/>
    <w:basedOn w:val="a0"/>
    <w:link w:val="ad"/>
    <w:uiPriority w:val="99"/>
    <w:semiHidden/>
    <w:rsid w:val="00880449"/>
  </w:style>
  <w:style w:type="paragraph" w:styleId="af">
    <w:name w:val="annotation subject"/>
    <w:basedOn w:val="ad"/>
    <w:next w:val="ad"/>
    <w:link w:val="af0"/>
    <w:uiPriority w:val="99"/>
    <w:semiHidden/>
    <w:unhideWhenUsed/>
    <w:rsid w:val="00880449"/>
    <w:rPr>
      <w:b/>
      <w:bCs/>
    </w:rPr>
  </w:style>
  <w:style w:type="character" w:customStyle="1" w:styleId="af0">
    <w:name w:val="批注主题 字符"/>
    <w:basedOn w:val="ae"/>
    <w:link w:val="af"/>
    <w:uiPriority w:val="99"/>
    <w:semiHidden/>
    <w:rsid w:val="00880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5778">
      <w:bodyDiv w:val="1"/>
      <w:marLeft w:val="0"/>
      <w:marRight w:val="0"/>
      <w:marTop w:val="0"/>
      <w:marBottom w:val="0"/>
      <w:divBdr>
        <w:top w:val="none" w:sz="0" w:space="0" w:color="auto"/>
        <w:left w:val="none" w:sz="0" w:space="0" w:color="auto"/>
        <w:bottom w:val="none" w:sz="0" w:space="0" w:color="auto"/>
        <w:right w:val="none" w:sz="0" w:space="0" w:color="auto"/>
      </w:divBdr>
    </w:div>
    <w:div w:id="345520644">
      <w:bodyDiv w:val="1"/>
      <w:marLeft w:val="0"/>
      <w:marRight w:val="0"/>
      <w:marTop w:val="0"/>
      <w:marBottom w:val="0"/>
      <w:divBdr>
        <w:top w:val="none" w:sz="0" w:space="0" w:color="auto"/>
        <w:left w:val="none" w:sz="0" w:space="0" w:color="auto"/>
        <w:bottom w:val="none" w:sz="0" w:space="0" w:color="auto"/>
        <w:right w:val="none" w:sz="0" w:space="0" w:color="auto"/>
      </w:divBdr>
    </w:div>
    <w:div w:id="808937884">
      <w:bodyDiv w:val="1"/>
      <w:marLeft w:val="0"/>
      <w:marRight w:val="0"/>
      <w:marTop w:val="0"/>
      <w:marBottom w:val="0"/>
      <w:divBdr>
        <w:top w:val="none" w:sz="0" w:space="0" w:color="auto"/>
        <w:left w:val="none" w:sz="0" w:space="0" w:color="auto"/>
        <w:bottom w:val="none" w:sz="0" w:space="0" w:color="auto"/>
        <w:right w:val="none" w:sz="0" w:space="0" w:color="auto"/>
      </w:divBdr>
    </w:div>
    <w:div w:id="854079039">
      <w:bodyDiv w:val="1"/>
      <w:marLeft w:val="0"/>
      <w:marRight w:val="0"/>
      <w:marTop w:val="0"/>
      <w:marBottom w:val="0"/>
      <w:divBdr>
        <w:top w:val="none" w:sz="0" w:space="0" w:color="auto"/>
        <w:left w:val="none" w:sz="0" w:space="0" w:color="auto"/>
        <w:bottom w:val="none" w:sz="0" w:space="0" w:color="auto"/>
        <w:right w:val="none" w:sz="0" w:space="0" w:color="auto"/>
      </w:divBdr>
    </w:div>
    <w:div w:id="1338002302">
      <w:bodyDiv w:val="1"/>
      <w:marLeft w:val="0"/>
      <w:marRight w:val="0"/>
      <w:marTop w:val="0"/>
      <w:marBottom w:val="0"/>
      <w:divBdr>
        <w:top w:val="none" w:sz="0" w:space="0" w:color="auto"/>
        <w:left w:val="none" w:sz="0" w:space="0" w:color="auto"/>
        <w:bottom w:val="none" w:sz="0" w:space="0" w:color="auto"/>
        <w:right w:val="none" w:sz="0" w:space="0" w:color="auto"/>
      </w:divBdr>
    </w:div>
    <w:div w:id="17643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Simin</dc:creator>
  <cp:keywords/>
  <dc:description/>
  <cp:lastModifiedBy>RSM</cp:lastModifiedBy>
  <cp:revision>9</cp:revision>
  <dcterms:created xsi:type="dcterms:W3CDTF">2022-03-04T12:31:00Z</dcterms:created>
  <dcterms:modified xsi:type="dcterms:W3CDTF">2022-03-07T05:23:00Z</dcterms:modified>
</cp:coreProperties>
</file>