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65CB1" w14:textId="77777777" w:rsidR="00286E6E" w:rsidRPr="00191500" w:rsidRDefault="00D8556B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 w:hint="eastAsia"/>
          <w:b/>
          <w:bCs/>
          <w:color w:val="000000"/>
        </w:rPr>
        <w:t>Sup</w:t>
      </w:r>
      <w:r w:rsidRPr="00191500">
        <w:rPr>
          <w:rFonts w:ascii="Times New Roman" w:hAnsi="Times New Roman" w:cs="Times New Roman"/>
          <w:b/>
          <w:bCs/>
          <w:color w:val="000000"/>
        </w:rPr>
        <w:t>plemental 1. Flowchart of the participants enrollment.</w:t>
      </w:r>
    </w:p>
    <w:p w14:paraId="171EBF2E" w14:textId="77777777" w:rsidR="00286E6E" w:rsidRPr="00191500" w:rsidRDefault="00D8556B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/>
          <w:b/>
          <w:bCs/>
          <w:color w:val="000000"/>
        </w:rPr>
        <w:drawing>
          <wp:inline distT="0" distB="0" distL="0" distR="0" wp14:anchorId="78D2A2D7" wp14:editId="43BE1D79">
            <wp:extent cx="5270500" cy="53536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0920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36FFDA0E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05D253A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6069E940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5A262B84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05605D0B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5CDE2CA9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52643C0A" w14:textId="77777777" w:rsidR="00286E6E" w:rsidRPr="00191500" w:rsidRDefault="00D8556B">
      <w:pPr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  <w:r w:rsidRPr="00191500">
        <w:rPr>
          <w:rFonts w:ascii="Times New Roman" w:hAnsi="Times New Roman" w:cs="Times New Roman" w:hint="eastAsia"/>
          <w:b/>
          <w:bCs/>
          <w:color w:val="000000"/>
        </w:rPr>
        <w:lastRenderedPageBreak/>
        <w:t>Su</w:t>
      </w:r>
      <w:r w:rsidRPr="00191500">
        <w:rPr>
          <w:rFonts w:ascii="Times New Roman" w:hAnsi="Times New Roman" w:cs="Times New Roman"/>
          <w:b/>
          <w:bCs/>
          <w:color w:val="000000"/>
        </w:rPr>
        <w:t>pplement 2.</w:t>
      </w:r>
      <w:r w:rsidRPr="00191500">
        <w:rPr>
          <w:rFonts w:ascii="Times New Roman" w:hAnsi="Times New Roman" w:cs="Times New Roman"/>
          <w:b/>
          <w:bCs/>
          <w:color w:val="000000"/>
          <w:szCs w:val="21"/>
        </w:rPr>
        <w:t xml:space="preserve"> Primers for real-time PCR</w:t>
      </w:r>
    </w:p>
    <w:tbl>
      <w:tblPr>
        <w:tblW w:w="995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4813"/>
        <w:gridCol w:w="3212"/>
      </w:tblGrid>
      <w:tr w:rsidR="00286E6E" w:rsidRPr="00191500" w14:paraId="15E4464E" w14:textId="77777777">
        <w:trPr>
          <w:trHeight w:val="325"/>
          <w:jc w:val="center"/>
        </w:trPr>
        <w:tc>
          <w:tcPr>
            <w:tcW w:w="1926" w:type="dxa"/>
            <w:tcBorders>
              <w:left w:val="nil"/>
              <w:right w:val="nil"/>
            </w:tcBorders>
            <w:vAlign w:val="center"/>
          </w:tcPr>
          <w:p w14:paraId="6A603401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7B80B8B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Forward Primer</w:t>
            </w:r>
          </w:p>
        </w:tc>
        <w:tc>
          <w:tcPr>
            <w:tcW w:w="321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9F8CAB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Reverse Primer</w:t>
            </w:r>
          </w:p>
        </w:tc>
      </w:tr>
      <w:tr w:rsidR="00286E6E" w:rsidRPr="00191500" w14:paraId="3EC4A26B" w14:textId="77777777">
        <w:trPr>
          <w:trHeight w:val="323"/>
          <w:jc w:val="center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7169CB11" w14:textId="4432AFC5" w:rsidR="00286E6E" w:rsidRPr="00191500" w:rsidRDefault="00D01C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Hans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Hans"/>
              </w:rPr>
              <w:t>β</w:t>
            </w:r>
            <w:r w:rsidR="00D8556B"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Hans"/>
              </w:rPr>
              <w:t>-actin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02A035E1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CGTAAAGACCTCTATGCCAACA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73F9F07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AGCCACCAATCCACACAGAG</w:t>
            </w:r>
          </w:p>
        </w:tc>
      </w:tr>
      <w:tr w:rsidR="00286E6E" w:rsidRPr="00191500" w14:paraId="185EF6A4" w14:textId="77777777">
        <w:trPr>
          <w:trHeight w:val="323"/>
          <w:jc w:val="center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1897A94E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IL6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0D46E54A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GGTGTTGCCTGCTGCCTTCC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3D6F416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GTTCTGAAGAGGTGAGTGGCTGTC</w:t>
            </w:r>
          </w:p>
        </w:tc>
      </w:tr>
      <w:tr w:rsidR="00286E6E" w:rsidRPr="00191500" w14:paraId="450F2F74" w14:textId="77777777">
        <w:trPr>
          <w:trHeight w:val="323"/>
          <w:jc w:val="center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0E28B4CB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CXCL8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4AAC8099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GGACCACACTGCGCCAACAC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6CE57E7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CCCTCTGCACCCAGTTTTCCTTG</w:t>
            </w:r>
          </w:p>
        </w:tc>
      </w:tr>
      <w:tr w:rsidR="00286E6E" w:rsidRPr="00191500" w14:paraId="6610E37B" w14:textId="77777777">
        <w:trPr>
          <w:trHeight w:val="323"/>
          <w:jc w:val="center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729C5C9D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T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NF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7399ED51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TGGCGTGGAGCTGAGAGATAACC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332270C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CGATGCGGCTGATGGTGTGG</w:t>
            </w:r>
          </w:p>
        </w:tc>
      </w:tr>
      <w:tr w:rsidR="00286E6E" w:rsidRPr="00191500" w14:paraId="14B43493" w14:textId="77777777">
        <w:trPr>
          <w:trHeight w:val="323"/>
          <w:jc w:val="center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30F3C3B8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STAT3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12A8421D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CACCAAGCGAGGACTGAGCATC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BFD04F6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AGCCAGACCCAGAAGGAGAAGC</w:t>
            </w:r>
          </w:p>
        </w:tc>
      </w:tr>
      <w:tr w:rsidR="00286E6E" w:rsidRPr="00191500" w14:paraId="3A771118" w14:textId="77777777">
        <w:trPr>
          <w:trHeight w:val="108"/>
          <w:jc w:val="center"/>
        </w:trPr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1B1C2" w14:textId="77777777" w:rsidR="00286E6E" w:rsidRPr="00191500" w:rsidRDefault="00D855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C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ASP3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1D4ED2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GTGGAGGCCGACTTCTTGTATGC</w:t>
            </w:r>
          </w:p>
        </w:tc>
        <w:tc>
          <w:tcPr>
            <w:tcW w:w="3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5A4FB" w14:textId="77777777" w:rsidR="00286E6E" w:rsidRPr="00191500" w:rsidRDefault="00D8556B">
            <w:pPr>
              <w:jc w:val="center"/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eastAsia="Microsoft YaHei" w:hAnsi="Times New Roman" w:cs="Times New Roman"/>
                <w:color w:val="000000"/>
                <w:sz w:val="18"/>
                <w:szCs w:val="18"/>
              </w:rPr>
              <w:t>TGGCACAAAGCGACTGGATGAAC</w:t>
            </w:r>
          </w:p>
        </w:tc>
      </w:tr>
    </w:tbl>
    <w:p w14:paraId="04D78C61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5C3123BA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64348324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4D97DD7C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5618BCFB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0E16C859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B10A5AC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68B078D2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5517F91D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3BCABCC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481777EB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47603ECC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5255FC70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47C236D8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00BED45D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33E5A9BC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0CAD62C0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331E6AC0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30F212E8" w14:textId="3F913A37" w:rsidR="00286E6E" w:rsidRPr="00191500" w:rsidRDefault="00D8556B">
      <w:pPr>
        <w:spacing w:line="480" w:lineRule="auto"/>
        <w:rPr>
          <w:rFonts w:ascii="Times New Roman" w:hAnsi="Times New Roman" w:cs="Times New Roman"/>
          <w:color w:val="000000"/>
        </w:rPr>
      </w:pPr>
      <w:r w:rsidRPr="00191500">
        <w:rPr>
          <w:rFonts w:ascii="Times New Roman" w:hAnsi="Times New Roman" w:cs="Times New Roman"/>
          <w:b/>
          <w:bCs/>
          <w:color w:val="000000"/>
        </w:rPr>
        <w:lastRenderedPageBreak/>
        <w:t xml:space="preserve">Supplement 3. </w:t>
      </w:r>
      <w:r w:rsidRPr="00191500">
        <w:rPr>
          <w:rFonts w:ascii="Times New Roman" w:hAnsi="Times New Roman" w:cs="Times New Roman"/>
          <w:color w:val="000000"/>
        </w:rPr>
        <w:t>Receiver Operator Curve (ROC) shows the predictive ability of ALP in asymptomatic participants.</w:t>
      </w:r>
    </w:p>
    <w:p w14:paraId="51CC08E0" w14:textId="77777777" w:rsidR="00286E6E" w:rsidRPr="00191500" w:rsidRDefault="00D8556B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/>
          <w:b/>
          <w:bCs/>
          <w:color w:val="000000"/>
        </w:rPr>
        <w:drawing>
          <wp:inline distT="0" distB="0" distL="0" distR="0" wp14:anchorId="6F7D7F19" wp14:editId="3C81E19C">
            <wp:extent cx="4457700" cy="3239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924" cy="32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54DD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22D73CF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14C097A8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B86B823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A52E1B8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18AA22DE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2085C04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25BED63A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252D4191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43930FD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1194788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1D9FC48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12B021C3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0A0BF3E2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0797E7DE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69A6DD0E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417B3EC6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023FFDB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701B4ACC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621176EF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30C8E5B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23BE299A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14ECC0A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6F68654" w14:textId="41731ECE" w:rsidR="00286E6E" w:rsidRPr="00191500" w:rsidRDefault="00D8556B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 w:hint="eastAsia"/>
          <w:b/>
          <w:bCs/>
          <w:color w:val="000000"/>
        </w:rPr>
        <w:lastRenderedPageBreak/>
        <w:t>S</w:t>
      </w:r>
      <w:r w:rsidRPr="00191500">
        <w:rPr>
          <w:rFonts w:ascii="Times New Roman" w:hAnsi="Times New Roman" w:cs="Times New Roman"/>
          <w:b/>
          <w:bCs/>
          <w:color w:val="000000"/>
        </w:rPr>
        <w:t xml:space="preserve">upplement 4. </w:t>
      </w:r>
      <w:r w:rsidRPr="00191500">
        <w:rPr>
          <w:rFonts w:ascii="Times New Roman" w:hAnsi="Times New Roman" w:cs="Times New Roman" w:hint="eastAsia"/>
          <w:color w:val="000000"/>
        </w:rPr>
        <w:t>K</w:t>
      </w:r>
      <w:r w:rsidRPr="00191500">
        <w:rPr>
          <w:rFonts w:ascii="Times New Roman" w:hAnsi="Times New Roman" w:cs="Times New Roman"/>
          <w:color w:val="000000"/>
        </w:rPr>
        <w:t>-</w:t>
      </w:r>
      <w:r w:rsidRPr="00191500">
        <w:rPr>
          <w:rFonts w:ascii="Times New Roman" w:hAnsi="Times New Roman" w:cs="Times New Roman" w:hint="eastAsia"/>
          <w:color w:val="000000"/>
        </w:rPr>
        <w:t>M</w:t>
      </w:r>
      <w:r w:rsidRPr="00191500">
        <w:rPr>
          <w:rFonts w:ascii="Times New Roman" w:hAnsi="Times New Roman" w:cs="Times New Roman"/>
          <w:color w:val="000000"/>
        </w:rPr>
        <w:t xml:space="preserve"> analysis demonstrated that high uric acid </w:t>
      </w:r>
      <w:r w:rsidRPr="00191500">
        <w:rPr>
          <w:rFonts w:ascii="Times New Roman" w:hAnsi="Times New Roman" w:cs="Times New Roman" w:hint="eastAsia"/>
          <w:color w:val="000000"/>
        </w:rPr>
        <w:t>level</w:t>
      </w:r>
      <w:r w:rsidRPr="00191500">
        <w:rPr>
          <w:rFonts w:ascii="Times New Roman" w:hAnsi="Times New Roman" w:cs="Times New Roman"/>
          <w:color w:val="000000"/>
        </w:rPr>
        <w:t xml:space="preserve"> was associated with CACS score. P&lt;0.05 means statistically significance between two groups.</w:t>
      </w:r>
    </w:p>
    <w:p w14:paraId="4A8C3788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003B2F48" w14:textId="77777777" w:rsidR="00286E6E" w:rsidRPr="00191500" w:rsidRDefault="00D8556B">
      <w:pPr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/>
          <w:b/>
          <w:bCs/>
          <w:color w:val="000000"/>
        </w:rPr>
        <w:drawing>
          <wp:inline distT="0" distB="0" distL="0" distR="0" wp14:anchorId="5DB8FD81" wp14:editId="1CE223EB">
            <wp:extent cx="5270500" cy="38207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8C95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FCB2F82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10EA6E5D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0C989AFD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57E8E09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731BDCF6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0EF8C693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78E6BCF5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46EBEEC0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64331D61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17FB0615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14250010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6A8034A3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53702E5A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11AF0412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023BE40F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4EA8CBCB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C9F1B5E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3EE9AFDA" w14:textId="77777777" w:rsidR="00286E6E" w:rsidRPr="00191500" w:rsidRDefault="00286E6E">
      <w:pPr>
        <w:rPr>
          <w:rFonts w:ascii="Times New Roman" w:hAnsi="Times New Roman" w:cs="Times New Roman"/>
          <w:b/>
          <w:bCs/>
          <w:color w:val="000000"/>
        </w:rPr>
      </w:pPr>
    </w:p>
    <w:p w14:paraId="260C1BB5" w14:textId="7871A1F8" w:rsidR="00286E6E" w:rsidRPr="00191500" w:rsidRDefault="00D8556B">
      <w:pPr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 w:hint="eastAsia"/>
          <w:b/>
          <w:bCs/>
          <w:color w:val="000000"/>
        </w:rPr>
        <w:lastRenderedPageBreak/>
        <w:t>S</w:t>
      </w:r>
      <w:r w:rsidRPr="00191500">
        <w:rPr>
          <w:rFonts w:ascii="Times New Roman" w:hAnsi="Times New Roman" w:cs="Times New Roman"/>
          <w:b/>
          <w:bCs/>
          <w:color w:val="000000"/>
        </w:rPr>
        <w:t>upplement 5. Binary cox regression for CACS among asymptomatic participants</w:t>
      </w:r>
    </w:p>
    <w:tbl>
      <w:tblPr>
        <w:tblStyle w:val="6-11"/>
        <w:tblW w:w="7939" w:type="dxa"/>
        <w:tblLayout w:type="fixed"/>
        <w:tblLook w:val="04A0" w:firstRow="1" w:lastRow="0" w:firstColumn="1" w:lastColumn="0" w:noHBand="0" w:noVBand="1"/>
      </w:tblPr>
      <w:tblGrid>
        <w:gridCol w:w="2802"/>
        <w:gridCol w:w="1401"/>
        <w:gridCol w:w="1867"/>
        <w:gridCol w:w="1869"/>
      </w:tblGrid>
      <w:tr w:rsidR="00286E6E" w:rsidRPr="00191500" w14:paraId="643715B6" w14:textId="77777777" w:rsidTr="009D1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4472C4" w:themeColor="accent1"/>
              <w:bottom w:val="nil"/>
            </w:tcBorders>
          </w:tcPr>
          <w:p w14:paraId="398FBC9B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M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odel</w:t>
            </w:r>
          </w:p>
        </w:tc>
        <w:tc>
          <w:tcPr>
            <w:tcW w:w="5137" w:type="dxa"/>
            <w:gridSpan w:val="3"/>
            <w:tcBorders>
              <w:top w:val="single" w:sz="4" w:space="0" w:color="4472C4" w:themeColor="accent1"/>
              <w:bottom w:val="nil"/>
            </w:tcBorders>
          </w:tcPr>
          <w:p w14:paraId="5A435595" w14:textId="77777777" w:rsidR="00286E6E" w:rsidRPr="00191500" w:rsidRDefault="00D855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 xml:space="preserve"> 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Univariate Cox regression                  </w:t>
            </w:r>
          </w:p>
        </w:tc>
      </w:tr>
      <w:tr w:rsidR="00286E6E" w:rsidRPr="00191500" w14:paraId="6E2E78B1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nil"/>
            </w:tcBorders>
            <w:shd w:val="clear" w:color="auto" w:fill="D9E2F3" w:themeFill="accent1" w:themeFillTint="33"/>
          </w:tcPr>
          <w:p w14:paraId="3048C621" w14:textId="77777777" w:rsidR="00286E6E" w:rsidRPr="00191500" w:rsidRDefault="00286E6E">
            <w:pPr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5137" w:type="dxa"/>
            <w:gridSpan w:val="3"/>
            <w:tcBorders>
              <w:top w:val="nil"/>
            </w:tcBorders>
            <w:shd w:val="clear" w:color="auto" w:fill="D9E2F3" w:themeFill="accent1" w:themeFillTint="33"/>
          </w:tcPr>
          <w:p w14:paraId="72E59FC0" w14:textId="3A5F9ED4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HR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 xml:space="preserve"> 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95%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CI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</w:t>
            </w:r>
            <w:r w:rsidRPr="0019150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  P-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value                  </w:t>
            </w:r>
          </w:p>
        </w:tc>
      </w:tr>
      <w:tr w:rsidR="00286E6E" w:rsidRPr="00191500" w14:paraId="46BB3723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07D90688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1401" w:type="dxa"/>
            <w:tcBorders>
              <w:top w:val="nil"/>
              <w:left w:val="single" w:sz="4" w:space="0" w:color="4472C4" w:themeColor="accent1"/>
            </w:tcBorders>
          </w:tcPr>
          <w:p w14:paraId="2BDC35FF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.181</w:t>
            </w:r>
          </w:p>
        </w:tc>
        <w:tc>
          <w:tcPr>
            <w:tcW w:w="1867" w:type="dxa"/>
          </w:tcPr>
          <w:p w14:paraId="3A104005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.846-1.648</w:t>
            </w:r>
          </w:p>
        </w:tc>
        <w:tc>
          <w:tcPr>
            <w:tcW w:w="1869" w:type="dxa"/>
            <w:tcBorders>
              <w:top w:val="nil"/>
              <w:right w:val="single" w:sz="4" w:space="0" w:color="4472C4" w:themeColor="accent1"/>
            </w:tcBorders>
          </w:tcPr>
          <w:p w14:paraId="1C74C52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.328</w:t>
            </w:r>
          </w:p>
        </w:tc>
      </w:tr>
      <w:tr w:rsidR="00286E6E" w:rsidRPr="00191500" w14:paraId="1C29FF34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173F23BE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Age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6C4AE452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102615C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.997-1.044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201D394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.091</w:t>
            </w:r>
          </w:p>
        </w:tc>
      </w:tr>
      <w:tr w:rsidR="00286E6E" w:rsidRPr="00191500" w14:paraId="57AA77DB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12303527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BMI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5E73C2AD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867" w:type="dxa"/>
          </w:tcPr>
          <w:p w14:paraId="1A0058D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.992-1.104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1A5C07F8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.097</w:t>
            </w:r>
          </w:p>
        </w:tc>
      </w:tr>
      <w:tr w:rsidR="00286E6E" w:rsidRPr="00191500" w14:paraId="01A34D16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41C4E054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Smoke 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38DED334" w14:textId="77777777" w:rsidR="00286E6E" w:rsidRPr="00191500" w:rsidRDefault="00286E6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D9E2F3" w:themeFill="accent1" w:themeFillTint="33"/>
          </w:tcPr>
          <w:p w14:paraId="57593FD1" w14:textId="77777777" w:rsidR="00286E6E" w:rsidRPr="00191500" w:rsidRDefault="00286E6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15F20B2C" w14:textId="77777777" w:rsidR="00286E6E" w:rsidRPr="00191500" w:rsidRDefault="00286E6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86E6E" w:rsidRPr="00191500" w14:paraId="1AC16523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70D0FE03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Reference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1CAD9BB3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67" w:type="dxa"/>
          </w:tcPr>
          <w:p w14:paraId="4B3AE28A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2D11B109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</w:p>
        </w:tc>
      </w:tr>
      <w:tr w:rsidR="00286E6E" w:rsidRPr="00191500" w14:paraId="1BCE089C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0851B268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Ex-smoker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4135E638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.834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4BCDD32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.472-1.476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322A4CB8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.534</w:t>
            </w:r>
          </w:p>
        </w:tc>
      </w:tr>
      <w:tr w:rsidR="00286E6E" w:rsidRPr="00191500" w14:paraId="7706401B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4A2D1360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Smoker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3E4D2763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.412</w:t>
            </w:r>
          </w:p>
        </w:tc>
        <w:tc>
          <w:tcPr>
            <w:tcW w:w="1867" w:type="dxa"/>
          </w:tcPr>
          <w:p w14:paraId="30ECCED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.578-3.451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07C6F734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.449</w:t>
            </w:r>
          </w:p>
        </w:tc>
      </w:tr>
      <w:tr w:rsidR="00286E6E" w:rsidRPr="00191500" w14:paraId="70179E9B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45D6512E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HBP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49F537D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.584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5F6BFCAF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.307-1.111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4CC9ADA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.101</w:t>
            </w:r>
          </w:p>
        </w:tc>
      </w:tr>
      <w:tr w:rsidR="00286E6E" w:rsidRPr="00191500" w14:paraId="23CEA739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552C9053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Diabetes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29A9AF4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1867" w:type="dxa"/>
          </w:tcPr>
          <w:p w14:paraId="6DB5D23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.711-2.569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734E744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.358</w:t>
            </w:r>
          </w:p>
        </w:tc>
      </w:tr>
      <w:tr w:rsidR="00286E6E" w:rsidRPr="00191500" w14:paraId="5D06F62C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49F205CE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Alcohol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64D5905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.216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700F5802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0.688-2.150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17B02EFA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.501</w:t>
            </w:r>
          </w:p>
        </w:tc>
      </w:tr>
      <w:tr w:rsidR="00286E6E" w:rsidRPr="00191500" w14:paraId="4C0425EF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6F1EEF84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eGFR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10D78C9F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.995</w:t>
            </w:r>
          </w:p>
        </w:tc>
        <w:tc>
          <w:tcPr>
            <w:tcW w:w="1867" w:type="dxa"/>
          </w:tcPr>
          <w:p w14:paraId="383A785E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.984-1.007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3628885D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.428</w:t>
            </w:r>
          </w:p>
        </w:tc>
      </w:tr>
      <w:tr w:rsidR="00286E6E" w:rsidRPr="00191500" w14:paraId="0E1EA0CE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56302CF8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Scr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113A1C8F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7D66541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.992-1.020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59B4F4C2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.416</w:t>
            </w:r>
          </w:p>
        </w:tc>
      </w:tr>
      <w:tr w:rsidR="00286E6E" w:rsidRPr="00191500" w14:paraId="4192A26A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480BA8A5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HBAC1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0251A96C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867" w:type="dxa"/>
          </w:tcPr>
          <w:p w14:paraId="11DD41CB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.835-1.334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7031CD0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.653</w:t>
            </w:r>
          </w:p>
        </w:tc>
      </w:tr>
      <w:tr w:rsidR="00286E6E" w:rsidRPr="00191500" w14:paraId="4AA4F00E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316D8A82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color w:val="000000"/>
                <w:sz w:val="18"/>
                <w:szCs w:val="18"/>
              </w:rPr>
              <w:t>T</w:t>
            </w: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52677A7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.951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66D0F30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.873-1.037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7908334C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.256</w:t>
            </w:r>
          </w:p>
        </w:tc>
      </w:tr>
      <w:tr w:rsidR="00286E6E" w:rsidRPr="00191500" w14:paraId="50713A63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349A3642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color w:val="000000"/>
                <w:sz w:val="18"/>
                <w:szCs w:val="18"/>
              </w:rPr>
              <w:t>T</w:t>
            </w: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G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1B204E68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1867" w:type="dxa"/>
          </w:tcPr>
          <w:p w14:paraId="416CA9BF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.963-1.202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00B8E68C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.198</w:t>
            </w:r>
          </w:p>
        </w:tc>
      </w:tr>
      <w:tr w:rsidR="00286E6E" w:rsidRPr="00191500" w14:paraId="752D1C13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22D9C448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LDL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174BB4B5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.904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4E604038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0.708-1.154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5D8C949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.418</w:t>
            </w:r>
          </w:p>
        </w:tc>
      </w:tr>
      <w:tr w:rsidR="00286E6E" w:rsidRPr="00191500" w14:paraId="38BEB8C3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5E9B0015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HDL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7B5F1724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867" w:type="dxa"/>
          </w:tcPr>
          <w:p w14:paraId="0A07C76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.980-1.044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67796FB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.486</w:t>
            </w:r>
          </w:p>
        </w:tc>
      </w:tr>
      <w:tr w:rsidR="00286E6E" w:rsidRPr="00191500" w14:paraId="0DE3D752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07C2D40E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color w:val="000000"/>
                <w:sz w:val="18"/>
                <w:szCs w:val="18"/>
              </w:rPr>
              <w:t>F</w:t>
            </w: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BG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584DCDF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.498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3BE25A83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1.275-1.760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75B723C3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&lt;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:rsidR="00286E6E" w:rsidRPr="00191500" w14:paraId="42F1DB6F" w14:textId="77777777" w:rsidTr="009D1A96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</w:tcPr>
          <w:p w14:paraId="78C8126B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color w:val="000000"/>
                <w:sz w:val="18"/>
                <w:szCs w:val="18"/>
              </w:rPr>
              <w:t>A</w:t>
            </w: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LP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</w:tcPr>
          <w:p w14:paraId="2E77847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1.003</w:t>
            </w:r>
          </w:p>
        </w:tc>
        <w:tc>
          <w:tcPr>
            <w:tcW w:w="1867" w:type="dxa"/>
          </w:tcPr>
          <w:p w14:paraId="3A218ACB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.995-1.011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</w:tcPr>
          <w:p w14:paraId="33D6651D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.437</w:t>
            </w:r>
          </w:p>
        </w:tc>
      </w:tr>
      <w:tr w:rsidR="00286E6E" w:rsidRPr="00191500" w14:paraId="6B2E40CB" w14:textId="77777777" w:rsidTr="009D1A9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537BF941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S</w:t>
            </w: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>U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A</w:t>
            </w:r>
          </w:p>
        </w:tc>
        <w:tc>
          <w:tcPr>
            <w:tcW w:w="1401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56161AD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5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.856</w:t>
            </w:r>
          </w:p>
        </w:tc>
        <w:tc>
          <w:tcPr>
            <w:tcW w:w="1867" w:type="dxa"/>
            <w:shd w:val="clear" w:color="auto" w:fill="D9E2F3" w:themeFill="accent1" w:themeFillTint="33"/>
          </w:tcPr>
          <w:p w14:paraId="291076FC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.178-8.208</w:t>
            </w:r>
          </w:p>
        </w:tc>
        <w:tc>
          <w:tcPr>
            <w:tcW w:w="1869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77B162F5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&lt;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</w:tbl>
    <w:p w14:paraId="11F13FDF" w14:textId="26C18DCD" w:rsidR="00B16E7F" w:rsidRPr="00191500" w:rsidRDefault="006962A2" w:rsidP="00B16E7F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/>
          <w:b/>
          <w:bCs/>
          <w:i/>
          <w:iCs/>
          <w:color w:val="000000"/>
        </w:rPr>
        <w:t>Abbreviations</w:t>
      </w:r>
      <w:r w:rsidRPr="00191500">
        <w:rPr>
          <w:rFonts w:ascii="Times New Roman" w:hAnsi="Times New Roman" w:cs="Times New Roman"/>
          <w:b/>
          <w:bCs/>
          <w:color w:val="000000"/>
        </w:rPr>
        <w:t>:</w:t>
      </w:r>
      <w:r w:rsidRPr="00191500">
        <w:rPr>
          <w:rFonts w:ascii="Times New Roman" w:hAnsi="Times New Roman" w:cs="Times New Roman"/>
          <w:color w:val="000000"/>
        </w:rPr>
        <w:t xml:space="preserve"> </w:t>
      </w:r>
      <w:r w:rsidR="00D8556B" w:rsidRPr="00191500">
        <w:rPr>
          <w:rFonts w:ascii="Times New Roman" w:hAnsi="Times New Roman" w:cs="Times New Roman"/>
          <w:color w:val="000000"/>
        </w:rPr>
        <w:t>SE, standard error; HR, hazard ratio;95%CI,95% confidence interval;</w:t>
      </w:r>
      <w:r w:rsidR="00D8556B" w:rsidRPr="00191500">
        <w:rPr>
          <w:rFonts w:ascii="Times New Roman" w:hAnsi="Times New Roman" w:cs="Times New Roman" w:hint="eastAsia"/>
          <w:b/>
          <w:bCs/>
          <w:color w:val="000000"/>
        </w:rPr>
        <w:t xml:space="preserve"> </w:t>
      </w:r>
      <w:r w:rsidR="00D8556B" w:rsidRPr="00191500">
        <w:rPr>
          <w:rFonts w:ascii="Times New Roman" w:hAnsi="Times New Roman" w:cs="Times New Roman"/>
          <w:color w:val="000000"/>
        </w:rPr>
        <w:t xml:space="preserve">BMI, body mass index; HBP, high blood pressure; Scr, serum creatinine; eGFR, estimated glomerular filtration rate; </w:t>
      </w:r>
      <w:r w:rsidR="00D8556B" w:rsidRPr="00191500">
        <w:rPr>
          <w:rFonts w:ascii="Times New Roman" w:hAnsi="Times New Roman" w:cs="Times New Roman" w:hint="eastAsia"/>
          <w:color w:val="000000"/>
        </w:rPr>
        <w:t>FBG</w:t>
      </w:r>
      <w:r w:rsidR="00D8556B" w:rsidRPr="00191500">
        <w:rPr>
          <w:rFonts w:ascii="Times New Roman" w:hAnsi="Times New Roman" w:cs="Times New Roman"/>
          <w:color w:val="000000"/>
        </w:rPr>
        <w:t>, fasting blood-glucose;</w:t>
      </w:r>
      <w:r w:rsidR="00D8556B" w:rsidRPr="00191500">
        <w:rPr>
          <w:rFonts w:ascii="Times New Roman" w:hAnsi="Times New Roman" w:cs="Times New Roman" w:hint="eastAsia"/>
          <w:color w:val="000000"/>
        </w:rPr>
        <w:t xml:space="preserve"> </w:t>
      </w:r>
      <w:r w:rsidR="00D8556B" w:rsidRPr="00191500">
        <w:rPr>
          <w:rFonts w:ascii="Times New Roman" w:hAnsi="Times New Roman" w:cs="Times New Roman"/>
          <w:color w:val="000000"/>
        </w:rPr>
        <w:t>ALP, alkaline phosphatase; TC, total cholesterol; TG, triglycerides; HDL, high-density lipoprotein; LDL, low-density lipoprotein; HBA1C, hemoglobin A1C; SU</w:t>
      </w:r>
      <w:r w:rsidR="00D8556B" w:rsidRPr="00191500">
        <w:rPr>
          <w:rFonts w:ascii="Times New Roman" w:hAnsi="Times New Roman" w:cs="Times New Roman" w:hint="eastAsia"/>
          <w:color w:val="000000"/>
        </w:rPr>
        <w:t>A</w:t>
      </w:r>
      <w:r w:rsidR="00D8556B" w:rsidRPr="00191500">
        <w:rPr>
          <w:rFonts w:ascii="Times New Roman" w:hAnsi="Times New Roman" w:cs="Times New Roman"/>
          <w:color w:val="000000"/>
        </w:rPr>
        <w:t xml:space="preserve">, </w:t>
      </w:r>
      <w:r w:rsidR="00D8556B" w:rsidRPr="00191500">
        <w:rPr>
          <w:rFonts w:ascii="Times New Roman" w:hAnsi="Times New Roman" w:cs="Times New Roman" w:hint="eastAsia"/>
          <w:color w:val="000000"/>
        </w:rPr>
        <w:t>serum</w:t>
      </w:r>
      <w:r w:rsidR="00D8556B" w:rsidRPr="00191500">
        <w:rPr>
          <w:rFonts w:ascii="Times New Roman" w:hAnsi="Times New Roman" w:cs="Times New Roman"/>
          <w:color w:val="000000"/>
        </w:rPr>
        <w:t xml:space="preserve"> </w:t>
      </w:r>
      <w:r w:rsidR="00D8556B" w:rsidRPr="00191500">
        <w:rPr>
          <w:rFonts w:ascii="Times New Roman" w:hAnsi="Times New Roman" w:cs="Times New Roman" w:hint="eastAsia"/>
          <w:color w:val="000000"/>
        </w:rPr>
        <w:t>uric</w:t>
      </w:r>
      <w:r w:rsidR="00D8556B" w:rsidRPr="00191500">
        <w:rPr>
          <w:rFonts w:ascii="Times New Roman" w:hAnsi="Times New Roman" w:cs="Times New Roman"/>
          <w:color w:val="000000"/>
        </w:rPr>
        <w:t xml:space="preserve"> </w:t>
      </w:r>
      <w:r w:rsidR="00D8556B" w:rsidRPr="00191500">
        <w:rPr>
          <w:rFonts w:ascii="Times New Roman" w:hAnsi="Times New Roman" w:cs="Times New Roman" w:hint="eastAsia"/>
          <w:color w:val="000000"/>
        </w:rPr>
        <w:t>acid.</w:t>
      </w:r>
      <w:r w:rsidR="001D5704" w:rsidRPr="00191500">
        <w:rPr>
          <w:rFonts w:ascii="Times New Roman" w:hAnsi="Times New Roman" w:cs="Times New Roman"/>
          <w:color w:val="000000"/>
        </w:rPr>
        <w:t xml:space="preserve"> </w:t>
      </w:r>
      <w:r w:rsidR="00B16E7F" w:rsidRPr="00191500">
        <w:rPr>
          <w:rFonts w:ascii="Times New Roman" w:hAnsi="Times New Roman" w:cs="Times New Roman"/>
          <w:color w:val="000000"/>
        </w:rPr>
        <w:t>The</w:t>
      </w:r>
      <w:r w:rsidR="00B16E7F" w:rsidRPr="00191500">
        <w:rPr>
          <w:rFonts w:ascii="Times New Roman" w:hAnsi="Times New Roman" w:cs="Times New Roman"/>
          <w:i/>
          <w:iCs/>
          <w:color w:val="000000"/>
        </w:rPr>
        <w:t xml:space="preserve"> P </w:t>
      </w:r>
      <w:r w:rsidR="00B16E7F" w:rsidRPr="00191500">
        <w:rPr>
          <w:rFonts w:ascii="Times New Roman" w:hAnsi="Times New Roman" w:cs="Times New Roman"/>
          <w:color w:val="000000"/>
        </w:rPr>
        <w:t xml:space="preserve">value in red means that the p value &lt;0.05 and is considered to </w:t>
      </w:r>
      <w:r w:rsidR="00B16E7F" w:rsidRPr="00191500">
        <w:rPr>
          <w:rFonts w:ascii="Times New Roman" w:hAnsi="Times New Roman" w:cs="Times New Roman"/>
          <w:color w:val="000000"/>
        </w:rPr>
        <w:lastRenderedPageBreak/>
        <w:t>be significantly important.</w:t>
      </w:r>
    </w:p>
    <w:p w14:paraId="6878AC3F" w14:textId="6F2BFB5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7874DA81" w14:textId="10404CF5" w:rsidR="00286E6E" w:rsidRPr="00191500" w:rsidRDefault="00D8556B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 w:hint="eastAsia"/>
          <w:b/>
          <w:bCs/>
          <w:color w:val="000000"/>
        </w:rPr>
        <w:t>Su</w:t>
      </w:r>
      <w:r w:rsidRPr="00191500">
        <w:rPr>
          <w:rFonts w:ascii="Times New Roman" w:hAnsi="Times New Roman" w:cs="Times New Roman"/>
          <w:b/>
          <w:bCs/>
          <w:color w:val="000000"/>
        </w:rPr>
        <w:t>pplemental 6.</w:t>
      </w:r>
      <w:r w:rsidRPr="00191500">
        <w:rPr>
          <w:rFonts w:ascii="Times New Roman" w:hAnsi="Times New Roman" w:cs="Times New Roman"/>
          <w:b/>
          <w:bCs/>
          <w:color w:val="000000"/>
          <w:szCs w:val="21"/>
        </w:rPr>
        <w:t xml:space="preserve"> C</w:t>
      </w:r>
      <w:r w:rsidRPr="00191500">
        <w:rPr>
          <w:rFonts w:ascii="Times New Roman" w:hAnsi="Times New Roman" w:cs="Times New Roman" w:hint="eastAsia"/>
          <w:b/>
          <w:bCs/>
          <w:color w:val="000000"/>
          <w:szCs w:val="21"/>
        </w:rPr>
        <w:t>li</w:t>
      </w:r>
      <w:r w:rsidRPr="00191500">
        <w:rPr>
          <w:rFonts w:ascii="Times New Roman" w:hAnsi="Times New Roman" w:cs="Times New Roman"/>
          <w:b/>
          <w:bCs/>
          <w:color w:val="000000"/>
          <w:szCs w:val="21"/>
        </w:rPr>
        <w:t>nical characteristic of 104 patients included in the observational study</w:t>
      </w:r>
    </w:p>
    <w:tbl>
      <w:tblPr>
        <w:tblStyle w:val="6-11"/>
        <w:tblW w:w="836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417"/>
        <w:gridCol w:w="1560"/>
        <w:gridCol w:w="992"/>
      </w:tblGrid>
      <w:tr w:rsidR="001D5704" w:rsidRPr="00191500" w14:paraId="64CEBA2D" w14:textId="77777777" w:rsidTr="00A73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</w:tcPr>
          <w:p w14:paraId="35EF7D1A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Parameters</w:t>
            </w:r>
          </w:p>
        </w:tc>
        <w:tc>
          <w:tcPr>
            <w:tcW w:w="1417" w:type="dxa"/>
            <w:tcBorders>
              <w:top w:val="single" w:sz="4" w:space="0" w:color="4472C4" w:themeColor="accent1"/>
              <w:left w:val="single" w:sz="4" w:space="0" w:color="4472C4" w:themeColor="accent1"/>
            </w:tcBorders>
          </w:tcPr>
          <w:p w14:paraId="3F9F1A33" w14:textId="77777777" w:rsidR="00286E6E" w:rsidRPr="00191500" w:rsidRDefault="00D855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tcBorders>
              <w:top w:val="single" w:sz="4" w:space="0" w:color="4472C4" w:themeColor="accent1"/>
            </w:tcBorders>
          </w:tcPr>
          <w:p w14:paraId="55BCE281" w14:textId="77777777" w:rsidR="00286E6E" w:rsidRPr="00191500" w:rsidRDefault="00D855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HUA</w:t>
            </w:r>
          </w:p>
        </w:tc>
        <w:tc>
          <w:tcPr>
            <w:tcW w:w="1417" w:type="dxa"/>
            <w:tcBorders>
              <w:top w:val="single" w:sz="4" w:space="0" w:color="4472C4" w:themeColor="accent1"/>
              <w:right w:val="nil"/>
            </w:tcBorders>
          </w:tcPr>
          <w:p w14:paraId="4A4A4FBF" w14:textId="77777777" w:rsidR="00286E6E" w:rsidRPr="00191500" w:rsidRDefault="00D855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CAC</w:t>
            </w:r>
          </w:p>
        </w:tc>
        <w:tc>
          <w:tcPr>
            <w:tcW w:w="1560" w:type="dxa"/>
            <w:tcBorders>
              <w:top w:val="single" w:sz="4" w:space="0" w:color="4472C4" w:themeColor="accent1"/>
              <w:left w:val="nil"/>
              <w:right w:val="nil"/>
            </w:tcBorders>
          </w:tcPr>
          <w:p w14:paraId="1FE226E8" w14:textId="77777777" w:rsidR="00286E6E" w:rsidRPr="00191500" w:rsidRDefault="00D855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H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UA-CAC</w:t>
            </w:r>
          </w:p>
        </w:tc>
        <w:tc>
          <w:tcPr>
            <w:tcW w:w="992" w:type="dxa"/>
            <w:tcBorders>
              <w:top w:val="single" w:sz="4" w:space="0" w:color="4472C4" w:themeColor="accent1"/>
              <w:left w:val="nil"/>
              <w:right w:val="single" w:sz="4" w:space="0" w:color="4472C4" w:themeColor="accent1"/>
            </w:tcBorders>
          </w:tcPr>
          <w:p w14:paraId="41FB67ED" w14:textId="77777777" w:rsidR="00286E6E" w:rsidRPr="00191500" w:rsidRDefault="00D8556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i/>
                <w:iCs/>
                <w:color w:val="000000"/>
                <w:sz w:val="18"/>
                <w:szCs w:val="18"/>
              </w:rPr>
              <w:t>P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-value</w:t>
            </w:r>
          </w:p>
        </w:tc>
      </w:tr>
      <w:tr w:rsidR="001D5704" w:rsidRPr="00191500" w14:paraId="7994CD43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31F52D8E" w14:textId="77777777" w:rsidR="002072D6" w:rsidRPr="00191500" w:rsidRDefault="00D8556B">
            <w:pPr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color w:val="000000"/>
                <w:sz w:val="18"/>
                <w:szCs w:val="18"/>
              </w:rPr>
              <w:t>G</w:t>
            </w: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ender </w:t>
            </w:r>
          </w:p>
          <w:p w14:paraId="656A04D9" w14:textId="7BF64655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(Male/Female)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2F48F058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15/11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1C392EF2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9/7</w:t>
            </w:r>
          </w:p>
        </w:tc>
        <w:tc>
          <w:tcPr>
            <w:tcW w:w="1417" w:type="dxa"/>
            <w:tcBorders>
              <w:right w:val="nil"/>
            </w:tcBorders>
            <w:shd w:val="clear" w:color="auto" w:fill="D9E2F3" w:themeFill="accent1" w:themeFillTint="33"/>
          </w:tcPr>
          <w:p w14:paraId="58CABE9F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5/11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D9E2F3" w:themeFill="accent1" w:themeFillTint="33"/>
          </w:tcPr>
          <w:p w14:paraId="74FFC94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21/5</w:t>
            </w:r>
          </w:p>
        </w:tc>
        <w:tc>
          <w:tcPr>
            <w:tcW w:w="992" w:type="dxa"/>
            <w:tcBorders>
              <w:left w:val="nil"/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13D8A73F" w14:textId="77777777" w:rsidR="00286E6E" w:rsidRPr="00191500" w:rsidRDefault="00286E6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D1A96" w:rsidRPr="00191500" w14:paraId="2DB87F01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</w:tcPr>
          <w:p w14:paraId="5C937814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color w:val="000000"/>
                <w:sz w:val="18"/>
                <w:szCs w:val="18"/>
              </w:rPr>
              <w:t>B</w:t>
            </w: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MI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</w:tcPr>
          <w:p w14:paraId="2072711B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24.19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5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</w:t>
            </w:r>
          </w:p>
        </w:tc>
        <w:tc>
          <w:tcPr>
            <w:tcW w:w="1418" w:type="dxa"/>
          </w:tcPr>
          <w:p w14:paraId="6169EA7B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4.37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.80</w:t>
            </w:r>
          </w:p>
        </w:tc>
        <w:tc>
          <w:tcPr>
            <w:tcW w:w="1417" w:type="dxa"/>
            <w:tcBorders>
              <w:right w:val="nil"/>
            </w:tcBorders>
          </w:tcPr>
          <w:p w14:paraId="37554A13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5.11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.55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5E07892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4.21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.17</w:t>
            </w:r>
          </w:p>
        </w:tc>
        <w:tc>
          <w:tcPr>
            <w:tcW w:w="992" w:type="dxa"/>
            <w:tcBorders>
              <w:left w:val="nil"/>
              <w:right w:val="single" w:sz="4" w:space="0" w:color="4472C4" w:themeColor="accent1"/>
            </w:tcBorders>
          </w:tcPr>
          <w:p w14:paraId="622482BD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.8397</w:t>
            </w:r>
          </w:p>
        </w:tc>
      </w:tr>
      <w:tr w:rsidR="001D5704" w:rsidRPr="00191500" w14:paraId="7F44CB8A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19ED03E3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Cs w:val="0"/>
                <w:color w:val="000000"/>
                <w:sz w:val="18"/>
                <w:szCs w:val="18"/>
              </w:rPr>
              <w:t>S</w:t>
            </w:r>
            <w:r w:rsidRPr="00191500"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  <w:t>UA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34BAC99F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85.24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5.58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7CD5AE6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80.61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4.23</w:t>
            </w:r>
          </w:p>
        </w:tc>
        <w:tc>
          <w:tcPr>
            <w:tcW w:w="1417" w:type="dxa"/>
            <w:tcBorders>
              <w:right w:val="nil"/>
            </w:tcBorders>
            <w:shd w:val="clear" w:color="auto" w:fill="D9E2F3" w:themeFill="accent1" w:themeFillTint="33"/>
          </w:tcPr>
          <w:p w14:paraId="2C9096DC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25.31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5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D9E2F3" w:themeFill="accent1" w:themeFillTint="33"/>
          </w:tcPr>
          <w:p w14:paraId="41F8501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475.63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992" w:type="dxa"/>
            <w:tcBorders>
              <w:left w:val="nil"/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6E243CFE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9D1A96" w:rsidRPr="00191500" w14:paraId="514443DA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</w:tcPr>
          <w:p w14:paraId="0D41634C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>B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UN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</w:tcPr>
          <w:p w14:paraId="208B1F52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5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.49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.11</w:t>
            </w:r>
          </w:p>
        </w:tc>
        <w:tc>
          <w:tcPr>
            <w:tcW w:w="1418" w:type="dxa"/>
          </w:tcPr>
          <w:p w14:paraId="143D55EC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5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.86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</w:t>
            </w:r>
          </w:p>
        </w:tc>
        <w:tc>
          <w:tcPr>
            <w:tcW w:w="1417" w:type="dxa"/>
            <w:tcBorders>
              <w:right w:val="nil"/>
            </w:tcBorders>
          </w:tcPr>
          <w:p w14:paraId="1015FD0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5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.92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.57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3697C0AB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6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.24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.37</w:t>
            </w:r>
          </w:p>
        </w:tc>
        <w:tc>
          <w:tcPr>
            <w:tcW w:w="992" w:type="dxa"/>
            <w:tcBorders>
              <w:left w:val="nil"/>
              <w:right w:val="single" w:sz="4" w:space="0" w:color="4472C4" w:themeColor="accent1"/>
            </w:tcBorders>
          </w:tcPr>
          <w:p w14:paraId="76C7278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.2239</w:t>
            </w:r>
          </w:p>
        </w:tc>
      </w:tr>
      <w:tr w:rsidR="001D5704" w:rsidRPr="00191500" w14:paraId="44CB4613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42EBEBEB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>S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cr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6FC67B8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7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5.52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2C7DA5C3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7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9.44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5.26</w:t>
            </w:r>
          </w:p>
        </w:tc>
        <w:tc>
          <w:tcPr>
            <w:tcW w:w="1417" w:type="dxa"/>
            <w:tcBorders>
              <w:right w:val="nil"/>
            </w:tcBorders>
            <w:shd w:val="clear" w:color="auto" w:fill="D9E2F3" w:themeFill="accent1" w:themeFillTint="33"/>
          </w:tcPr>
          <w:p w14:paraId="6B4CFAD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7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5.22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9.09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D9E2F3" w:themeFill="accent1" w:themeFillTint="33"/>
          </w:tcPr>
          <w:p w14:paraId="033FCB2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8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8.30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3.09</w:t>
            </w:r>
          </w:p>
        </w:tc>
        <w:tc>
          <w:tcPr>
            <w:tcW w:w="992" w:type="dxa"/>
            <w:tcBorders>
              <w:left w:val="nil"/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41611765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0.0059</w:t>
            </w:r>
          </w:p>
        </w:tc>
      </w:tr>
      <w:tr w:rsidR="009D1A96" w:rsidRPr="00191500" w14:paraId="133F5FFA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</w:tcPr>
          <w:p w14:paraId="454C2337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>e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GFR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</w:tcPr>
          <w:p w14:paraId="14EFC66E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8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3.17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2.81</w:t>
            </w:r>
          </w:p>
        </w:tc>
        <w:tc>
          <w:tcPr>
            <w:tcW w:w="1418" w:type="dxa"/>
          </w:tcPr>
          <w:p w14:paraId="4D9C2E72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8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3.63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12.53</w:t>
            </w:r>
          </w:p>
        </w:tc>
        <w:tc>
          <w:tcPr>
            <w:tcW w:w="1417" w:type="dxa"/>
            <w:tcBorders>
              <w:right w:val="nil"/>
            </w:tcBorders>
          </w:tcPr>
          <w:p w14:paraId="7BAEA60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7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9.85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3.55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76233EFD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7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6.87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992" w:type="dxa"/>
            <w:tcBorders>
              <w:left w:val="nil"/>
              <w:right w:val="single" w:sz="4" w:space="0" w:color="4472C4" w:themeColor="accent1"/>
            </w:tcBorders>
          </w:tcPr>
          <w:p w14:paraId="41346CD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.1905</w:t>
            </w:r>
          </w:p>
        </w:tc>
      </w:tr>
      <w:tr w:rsidR="001D5704" w:rsidRPr="00191500" w14:paraId="010B93AD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0151A954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bCs w:val="0"/>
                <w:color w:val="000000"/>
                <w:sz w:val="18"/>
                <w:szCs w:val="18"/>
              </w:rPr>
              <w:t>T</w:t>
            </w:r>
            <w:r w:rsidRPr="00191500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  <w:shd w:val="clear" w:color="auto" w:fill="D9E2F3" w:themeFill="accent1" w:themeFillTint="33"/>
          </w:tcPr>
          <w:p w14:paraId="34D9B523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.51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.90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1F06CD58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.83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.03</w:t>
            </w:r>
          </w:p>
        </w:tc>
        <w:tc>
          <w:tcPr>
            <w:tcW w:w="1417" w:type="dxa"/>
            <w:tcBorders>
              <w:right w:val="nil"/>
            </w:tcBorders>
            <w:shd w:val="clear" w:color="auto" w:fill="D9E2F3" w:themeFill="accent1" w:themeFillTint="33"/>
          </w:tcPr>
          <w:p w14:paraId="63006ED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.14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.03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D9E2F3" w:themeFill="accent1" w:themeFillTint="33"/>
          </w:tcPr>
          <w:p w14:paraId="22A90357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.80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.91</w:t>
            </w:r>
          </w:p>
        </w:tc>
        <w:tc>
          <w:tcPr>
            <w:tcW w:w="992" w:type="dxa"/>
            <w:tcBorders>
              <w:left w:val="nil"/>
              <w:right w:val="single" w:sz="4" w:space="0" w:color="4472C4" w:themeColor="accent1"/>
            </w:tcBorders>
            <w:shd w:val="clear" w:color="auto" w:fill="D9E2F3" w:themeFill="accent1" w:themeFillTint="33"/>
          </w:tcPr>
          <w:p w14:paraId="48F1D880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0.0023</w:t>
            </w:r>
          </w:p>
        </w:tc>
      </w:tr>
      <w:tr w:rsidR="009D1A96" w:rsidRPr="00191500" w14:paraId="7493CEBD" w14:textId="77777777" w:rsidTr="00A73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4472C4" w:themeColor="accent1"/>
            </w:tcBorders>
          </w:tcPr>
          <w:p w14:paraId="342CF9EA" w14:textId="77777777" w:rsidR="00286E6E" w:rsidRPr="00191500" w:rsidRDefault="00D8556B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b w:val="0"/>
                <w:color w:val="000000"/>
                <w:sz w:val="18"/>
                <w:szCs w:val="18"/>
              </w:rPr>
              <w:t>T</w:t>
            </w:r>
            <w:r w:rsidRPr="00191500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G</w:t>
            </w:r>
          </w:p>
        </w:tc>
        <w:tc>
          <w:tcPr>
            <w:tcW w:w="1417" w:type="dxa"/>
            <w:tcBorders>
              <w:left w:val="single" w:sz="4" w:space="0" w:color="4472C4" w:themeColor="accent1"/>
            </w:tcBorders>
          </w:tcPr>
          <w:p w14:paraId="3C7C43FA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.55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.98</w:t>
            </w:r>
          </w:p>
        </w:tc>
        <w:tc>
          <w:tcPr>
            <w:tcW w:w="1418" w:type="dxa"/>
          </w:tcPr>
          <w:p w14:paraId="0648951E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.91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.09</w:t>
            </w:r>
          </w:p>
        </w:tc>
        <w:tc>
          <w:tcPr>
            <w:tcW w:w="1417" w:type="dxa"/>
            <w:tcBorders>
              <w:right w:val="nil"/>
            </w:tcBorders>
          </w:tcPr>
          <w:p w14:paraId="298D600A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.70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.73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2FAA25B1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.84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±</w:t>
            </w: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.14</w:t>
            </w:r>
          </w:p>
        </w:tc>
        <w:tc>
          <w:tcPr>
            <w:tcW w:w="992" w:type="dxa"/>
            <w:tcBorders>
              <w:left w:val="nil"/>
              <w:bottom w:val="single" w:sz="4" w:space="0" w:color="4472C4" w:themeColor="accent1"/>
              <w:right w:val="single" w:sz="4" w:space="0" w:color="4472C4" w:themeColor="accent1"/>
            </w:tcBorders>
          </w:tcPr>
          <w:p w14:paraId="2D74CAC6" w14:textId="77777777" w:rsidR="00286E6E" w:rsidRPr="00191500" w:rsidRDefault="00D8556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500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1915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.6011</w:t>
            </w:r>
          </w:p>
        </w:tc>
      </w:tr>
    </w:tbl>
    <w:p w14:paraId="656F2D6E" w14:textId="7501B4CA" w:rsidR="00286E6E" w:rsidRPr="00191500" w:rsidRDefault="006962A2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91500">
        <w:rPr>
          <w:rFonts w:ascii="Times New Roman" w:hAnsi="Times New Roman" w:cs="Times New Roman"/>
          <w:b/>
          <w:bCs/>
          <w:i/>
          <w:iCs/>
          <w:color w:val="000000"/>
        </w:rPr>
        <w:t>Abbreviations</w:t>
      </w:r>
      <w:r w:rsidRPr="00191500">
        <w:rPr>
          <w:rFonts w:ascii="Times New Roman" w:hAnsi="Times New Roman" w:cs="Times New Roman"/>
          <w:b/>
          <w:bCs/>
          <w:color w:val="000000"/>
        </w:rPr>
        <w:t>:</w:t>
      </w:r>
      <w:r w:rsidRPr="00191500">
        <w:rPr>
          <w:rFonts w:ascii="Times New Roman" w:hAnsi="Times New Roman" w:cs="Times New Roman"/>
          <w:color w:val="000000"/>
        </w:rPr>
        <w:t xml:space="preserve"> BMI, body mass index; </w:t>
      </w:r>
      <w:r w:rsidR="009B068D" w:rsidRPr="00191500">
        <w:rPr>
          <w:rFonts w:ascii="Times New Roman" w:hAnsi="Times New Roman" w:cs="Times New Roman"/>
          <w:color w:val="000000"/>
        </w:rPr>
        <w:t>SUA, serum uric acid; BUN, blood urea nitrogen; Scr, serum creatinine;</w:t>
      </w:r>
      <w:r w:rsidRPr="00191500">
        <w:rPr>
          <w:rFonts w:ascii="Times New Roman" w:hAnsi="Times New Roman" w:cs="Times New Roman"/>
          <w:color w:val="000000"/>
        </w:rPr>
        <w:t xml:space="preserve"> eGFR, estimated glomerular filtration rate; TC, total cholesterol; TG, triglycerides. </w:t>
      </w:r>
      <w:r w:rsidR="00D8556B" w:rsidRPr="00191500">
        <w:rPr>
          <w:rFonts w:ascii="Times New Roman" w:hAnsi="Times New Roman" w:cs="Times New Roman"/>
          <w:color w:val="000000"/>
        </w:rPr>
        <w:t>The continuous were presented as mean</w:t>
      </w:r>
      <w:r w:rsidR="00D8556B" w:rsidRPr="00191500">
        <w:rPr>
          <w:rFonts w:ascii="Times New Roman" w:hAnsi="Times New Roman" w:cs="Times New Roman" w:hint="eastAsia"/>
          <w:color w:val="000000"/>
          <w:sz w:val="18"/>
          <w:szCs w:val="18"/>
        </w:rPr>
        <w:t>±</w:t>
      </w:r>
      <w:r w:rsidR="00D8556B" w:rsidRPr="00191500">
        <w:rPr>
          <w:rFonts w:ascii="Times New Roman" w:hAnsi="Times New Roman" w:cs="Times New Roman"/>
          <w:color w:val="000000"/>
          <w:sz w:val="18"/>
          <w:szCs w:val="18"/>
        </w:rPr>
        <w:t xml:space="preserve">SD. </w:t>
      </w:r>
      <w:r w:rsidR="00D8556B" w:rsidRPr="00191500">
        <w:rPr>
          <w:rFonts w:ascii="Times New Roman" w:hAnsi="Times New Roman" w:cs="Times New Roman"/>
          <w:color w:val="000000"/>
        </w:rPr>
        <w:t>The</w:t>
      </w:r>
      <w:r w:rsidR="00D8556B" w:rsidRPr="00191500">
        <w:rPr>
          <w:rFonts w:ascii="Times New Roman" w:hAnsi="Times New Roman" w:cs="Times New Roman"/>
          <w:i/>
          <w:iCs/>
          <w:color w:val="000000"/>
        </w:rPr>
        <w:t xml:space="preserve"> P </w:t>
      </w:r>
      <w:r w:rsidR="00D8556B" w:rsidRPr="00191500">
        <w:rPr>
          <w:rFonts w:ascii="Times New Roman" w:hAnsi="Times New Roman" w:cs="Times New Roman"/>
          <w:color w:val="000000"/>
        </w:rPr>
        <w:t>value in red means that the p value &lt;0.05 and is considered to be significantly important.</w:t>
      </w:r>
    </w:p>
    <w:p w14:paraId="752ED011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FF106BA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7C9BCC6F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7FFEA75F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6767DAD3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642BF79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9B8513D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69F50BCD" w14:textId="77777777" w:rsidR="00286E6E" w:rsidRPr="00191500" w:rsidRDefault="00286E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sectPr w:rsidR="00286E6E" w:rsidRPr="0019150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78D3C" w14:textId="77777777" w:rsidR="00927E46" w:rsidRDefault="00927E46" w:rsidP="001D5704">
      <w:r>
        <w:separator/>
      </w:r>
    </w:p>
  </w:endnote>
  <w:endnote w:type="continuationSeparator" w:id="0">
    <w:p w14:paraId="71B6DF5E" w14:textId="77777777" w:rsidR="00927E46" w:rsidRDefault="00927E46" w:rsidP="001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B666B" w14:textId="77777777" w:rsidR="00927E46" w:rsidRDefault="00927E46" w:rsidP="001D5704">
      <w:r>
        <w:separator/>
      </w:r>
    </w:p>
  </w:footnote>
  <w:footnote w:type="continuationSeparator" w:id="0">
    <w:p w14:paraId="23B9FC0A" w14:textId="77777777" w:rsidR="00927E46" w:rsidRDefault="00927E46" w:rsidP="001D57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948"/>
    <w:rsid w:val="BFFB21B0"/>
    <w:rsid w:val="FF935FFC"/>
    <w:rsid w:val="00000786"/>
    <w:rsid w:val="00001C2B"/>
    <w:rsid w:val="00032D85"/>
    <w:rsid w:val="00040649"/>
    <w:rsid w:val="00054DB3"/>
    <w:rsid w:val="00060C63"/>
    <w:rsid w:val="000622BE"/>
    <w:rsid w:val="00066F86"/>
    <w:rsid w:val="0008089A"/>
    <w:rsid w:val="000825B3"/>
    <w:rsid w:val="000847C7"/>
    <w:rsid w:val="000950E7"/>
    <w:rsid w:val="000A2187"/>
    <w:rsid w:val="000A3DA7"/>
    <w:rsid w:val="000B0310"/>
    <w:rsid w:val="000B2CFB"/>
    <w:rsid w:val="000C753A"/>
    <w:rsid w:val="000D7288"/>
    <w:rsid w:val="000E0246"/>
    <w:rsid w:val="000E22A7"/>
    <w:rsid w:val="000E2FDF"/>
    <w:rsid w:val="000F10AF"/>
    <w:rsid w:val="000F58B9"/>
    <w:rsid w:val="001022EB"/>
    <w:rsid w:val="001033F5"/>
    <w:rsid w:val="001043AC"/>
    <w:rsid w:val="0010683D"/>
    <w:rsid w:val="00107500"/>
    <w:rsid w:val="00114577"/>
    <w:rsid w:val="00120BC0"/>
    <w:rsid w:val="00121373"/>
    <w:rsid w:val="001522A1"/>
    <w:rsid w:val="00162733"/>
    <w:rsid w:val="0016593D"/>
    <w:rsid w:val="001842A2"/>
    <w:rsid w:val="00191500"/>
    <w:rsid w:val="001951DB"/>
    <w:rsid w:val="001966D2"/>
    <w:rsid w:val="001A46F5"/>
    <w:rsid w:val="001C11F3"/>
    <w:rsid w:val="001C4C70"/>
    <w:rsid w:val="001C6C89"/>
    <w:rsid w:val="001D5704"/>
    <w:rsid w:val="001D7AA0"/>
    <w:rsid w:val="001F115C"/>
    <w:rsid w:val="00200607"/>
    <w:rsid w:val="002041EA"/>
    <w:rsid w:val="002072D6"/>
    <w:rsid w:val="002120AE"/>
    <w:rsid w:val="00222994"/>
    <w:rsid w:val="0023411B"/>
    <w:rsid w:val="002475CB"/>
    <w:rsid w:val="00247764"/>
    <w:rsid w:val="00263342"/>
    <w:rsid w:val="00263D3D"/>
    <w:rsid w:val="002674FE"/>
    <w:rsid w:val="00271102"/>
    <w:rsid w:val="00286E6E"/>
    <w:rsid w:val="0028760C"/>
    <w:rsid w:val="002A095F"/>
    <w:rsid w:val="002A5BB5"/>
    <w:rsid w:val="002A723D"/>
    <w:rsid w:val="002B2323"/>
    <w:rsid w:val="002B2DF6"/>
    <w:rsid w:val="002C4136"/>
    <w:rsid w:val="002D510A"/>
    <w:rsid w:val="003108ED"/>
    <w:rsid w:val="0031523C"/>
    <w:rsid w:val="003322B5"/>
    <w:rsid w:val="003336A3"/>
    <w:rsid w:val="00340DCE"/>
    <w:rsid w:val="00350266"/>
    <w:rsid w:val="00354E7B"/>
    <w:rsid w:val="00361105"/>
    <w:rsid w:val="00361F5D"/>
    <w:rsid w:val="00365636"/>
    <w:rsid w:val="0037483E"/>
    <w:rsid w:val="00377D33"/>
    <w:rsid w:val="00390EE4"/>
    <w:rsid w:val="00391128"/>
    <w:rsid w:val="003A299E"/>
    <w:rsid w:val="003A3B56"/>
    <w:rsid w:val="003B1ADC"/>
    <w:rsid w:val="003B2A59"/>
    <w:rsid w:val="003C0875"/>
    <w:rsid w:val="003C4F9D"/>
    <w:rsid w:val="003C5175"/>
    <w:rsid w:val="003D2D76"/>
    <w:rsid w:val="003D553B"/>
    <w:rsid w:val="003D5E4F"/>
    <w:rsid w:val="003D7DD5"/>
    <w:rsid w:val="003F56F3"/>
    <w:rsid w:val="00405B3D"/>
    <w:rsid w:val="00414C4D"/>
    <w:rsid w:val="004275A8"/>
    <w:rsid w:val="00427815"/>
    <w:rsid w:val="00431D5A"/>
    <w:rsid w:val="00432ABD"/>
    <w:rsid w:val="004354D8"/>
    <w:rsid w:val="0043779E"/>
    <w:rsid w:val="00440550"/>
    <w:rsid w:val="0044779B"/>
    <w:rsid w:val="0045034E"/>
    <w:rsid w:val="004525F9"/>
    <w:rsid w:val="0045551F"/>
    <w:rsid w:val="00461BE2"/>
    <w:rsid w:val="004707F1"/>
    <w:rsid w:val="00474BEA"/>
    <w:rsid w:val="004B5D10"/>
    <w:rsid w:val="004C3BD2"/>
    <w:rsid w:val="004C4E93"/>
    <w:rsid w:val="004C7059"/>
    <w:rsid w:val="004D7941"/>
    <w:rsid w:val="004E04EB"/>
    <w:rsid w:val="004E1A1F"/>
    <w:rsid w:val="004E3FBF"/>
    <w:rsid w:val="004F1CCF"/>
    <w:rsid w:val="004F2FDD"/>
    <w:rsid w:val="004F7B73"/>
    <w:rsid w:val="005048BF"/>
    <w:rsid w:val="00505CA0"/>
    <w:rsid w:val="005065C6"/>
    <w:rsid w:val="00506EF9"/>
    <w:rsid w:val="00531A8F"/>
    <w:rsid w:val="005334AB"/>
    <w:rsid w:val="00533DA6"/>
    <w:rsid w:val="005420F1"/>
    <w:rsid w:val="00546586"/>
    <w:rsid w:val="00567873"/>
    <w:rsid w:val="00575604"/>
    <w:rsid w:val="00585061"/>
    <w:rsid w:val="005A1A79"/>
    <w:rsid w:val="005A4B32"/>
    <w:rsid w:val="005B5F4B"/>
    <w:rsid w:val="005B6EC9"/>
    <w:rsid w:val="005C0275"/>
    <w:rsid w:val="005C0F76"/>
    <w:rsid w:val="005C4C24"/>
    <w:rsid w:val="005D5A9A"/>
    <w:rsid w:val="005E2B27"/>
    <w:rsid w:val="005E49A1"/>
    <w:rsid w:val="005F3848"/>
    <w:rsid w:val="005F5B70"/>
    <w:rsid w:val="00606DBA"/>
    <w:rsid w:val="0063787D"/>
    <w:rsid w:val="00641AB3"/>
    <w:rsid w:val="00646434"/>
    <w:rsid w:val="00653EC4"/>
    <w:rsid w:val="0066064D"/>
    <w:rsid w:val="00663263"/>
    <w:rsid w:val="0066373B"/>
    <w:rsid w:val="006962A2"/>
    <w:rsid w:val="006A5BB0"/>
    <w:rsid w:val="006B2AF2"/>
    <w:rsid w:val="006C1C4F"/>
    <w:rsid w:val="006C4AD2"/>
    <w:rsid w:val="006C5DC4"/>
    <w:rsid w:val="006C754B"/>
    <w:rsid w:val="006D317F"/>
    <w:rsid w:val="006E0889"/>
    <w:rsid w:val="006E09BA"/>
    <w:rsid w:val="006F1560"/>
    <w:rsid w:val="006F7198"/>
    <w:rsid w:val="00701525"/>
    <w:rsid w:val="0070469F"/>
    <w:rsid w:val="00711053"/>
    <w:rsid w:val="0071227E"/>
    <w:rsid w:val="00712819"/>
    <w:rsid w:val="007167A0"/>
    <w:rsid w:val="0072299B"/>
    <w:rsid w:val="00731293"/>
    <w:rsid w:val="007348DA"/>
    <w:rsid w:val="0073738F"/>
    <w:rsid w:val="00744D4C"/>
    <w:rsid w:val="00773549"/>
    <w:rsid w:val="0078570E"/>
    <w:rsid w:val="00785FEF"/>
    <w:rsid w:val="0079302A"/>
    <w:rsid w:val="007943E9"/>
    <w:rsid w:val="007946EB"/>
    <w:rsid w:val="00795492"/>
    <w:rsid w:val="007A6446"/>
    <w:rsid w:val="007B1474"/>
    <w:rsid w:val="007B7108"/>
    <w:rsid w:val="007C15C7"/>
    <w:rsid w:val="007C7F86"/>
    <w:rsid w:val="007D1EDC"/>
    <w:rsid w:val="00801765"/>
    <w:rsid w:val="00807164"/>
    <w:rsid w:val="008101E9"/>
    <w:rsid w:val="0081496C"/>
    <w:rsid w:val="0081697E"/>
    <w:rsid w:val="008245AA"/>
    <w:rsid w:val="0083730F"/>
    <w:rsid w:val="0084047D"/>
    <w:rsid w:val="008427B4"/>
    <w:rsid w:val="00862F8C"/>
    <w:rsid w:val="00866707"/>
    <w:rsid w:val="008931B4"/>
    <w:rsid w:val="00893613"/>
    <w:rsid w:val="00893A28"/>
    <w:rsid w:val="00897B6F"/>
    <w:rsid w:val="008B3071"/>
    <w:rsid w:val="008C5E4D"/>
    <w:rsid w:val="008C7037"/>
    <w:rsid w:val="008C7442"/>
    <w:rsid w:val="008C79DB"/>
    <w:rsid w:val="008D1853"/>
    <w:rsid w:val="008F273E"/>
    <w:rsid w:val="008F5E44"/>
    <w:rsid w:val="009265D0"/>
    <w:rsid w:val="00927E46"/>
    <w:rsid w:val="00934A1A"/>
    <w:rsid w:val="009364CD"/>
    <w:rsid w:val="0093748F"/>
    <w:rsid w:val="009403B1"/>
    <w:rsid w:val="009518FF"/>
    <w:rsid w:val="00963106"/>
    <w:rsid w:val="00973556"/>
    <w:rsid w:val="00980026"/>
    <w:rsid w:val="009801DA"/>
    <w:rsid w:val="00986AA8"/>
    <w:rsid w:val="00991D92"/>
    <w:rsid w:val="009947F3"/>
    <w:rsid w:val="00996A28"/>
    <w:rsid w:val="009A0E56"/>
    <w:rsid w:val="009A1D47"/>
    <w:rsid w:val="009B068D"/>
    <w:rsid w:val="009C13E5"/>
    <w:rsid w:val="009D1A96"/>
    <w:rsid w:val="009D36FE"/>
    <w:rsid w:val="009D4A1C"/>
    <w:rsid w:val="009D5CD3"/>
    <w:rsid w:val="009D71B6"/>
    <w:rsid w:val="009E148C"/>
    <w:rsid w:val="009E1958"/>
    <w:rsid w:val="00A0124D"/>
    <w:rsid w:val="00A02CF8"/>
    <w:rsid w:val="00A062CB"/>
    <w:rsid w:val="00A24690"/>
    <w:rsid w:val="00A34FC5"/>
    <w:rsid w:val="00A53D82"/>
    <w:rsid w:val="00A55856"/>
    <w:rsid w:val="00A55FB9"/>
    <w:rsid w:val="00A56248"/>
    <w:rsid w:val="00A63E5C"/>
    <w:rsid w:val="00A72B2C"/>
    <w:rsid w:val="00A73DDC"/>
    <w:rsid w:val="00A85E91"/>
    <w:rsid w:val="00A87381"/>
    <w:rsid w:val="00A97047"/>
    <w:rsid w:val="00AA5AAC"/>
    <w:rsid w:val="00AA7C40"/>
    <w:rsid w:val="00AB334A"/>
    <w:rsid w:val="00AE20E3"/>
    <w:rsid w:val="00AE4A2B"/>
    <w:rsid w:val="00AF20AC"/>
    <w:rsid w:val="00B03156"/>
    <w:rsid w:val="00B070CC"/>
    <w:rsid w:val="00B07437"/>
    <w:rsid w:val="00B15824"/>
    <w:rsid w:val="00B16E7F"/>
    <w:rsid w:val="00B24BF9"/>
    <w:rsid w:val="00B24F10"/>
    <w:rsid w:val="00B25AF1"/>
    <w:rsid w:val="00B416B9"/>
    <w:rsid w:val="00B41B45"/>
    <w:rsid w:val="00B71948"/>
    <w:rsid w:val="00B871B9"/>
    <w:rsid w:val="00BA4623"/>
    <w:rsid w:val="00BB1313"/>
    <w:rsid w:val="00BB4CE1"/>
    <w:rsid w:val="00BC1431"/>
    <w:rsid w:val="00BC7C89"/>
    <w:rsid w:val="00BD0C02"/>
    <w:rsid w:val="00BE408B"/>
    <w:rsid w:val="00BE64C9"/>
    <w:rsid w:val="00BF28FE"/>
    <w:rsid w:val="00BF51D3"/>
    <w:rsid w:val="00BF77FC"/>
    <w:rsid w:val="00C06DE8"/>
    <w:rsid w:val="00C07D03"/>
    <w:rsid w:val="00C230A2"/>
    <w:rsid w:val="00C4633A"/>
    <w:rsid w:val="00C525F4"/>
    <w:rsid w:val="00C62623"/>
    <w:rsid w:val="00C7016C"/>
    <w:rsid w:val="00C72F6B"/>
    <w:rsid w:val="00C80C69"/>
    <w:rsid w:val="00C82E60"/>
    <w:rsid w:val="00C9439C"/>
    <w:rsid w:val="00CB2FCE"/>
    <w:rsid w:val="00CB724C"/>
    <w:rsid w:val="00CC16F5"/>
    <w:rsid w:val="00CC1FFB"/>
    <w:rsid w:val="00CC52AE"/>
    <w:rsid w:val="00CC56B0"/>
    <w:rsid w:val="00CD19B1"/>
    <w:rsid w:val="00CD4CD5"/>
    <w:rsid w:val="00CF2248"/>
    <w:rsid w:val="00D01C71"/>
    <w:rsid w:val="00D01E72"/>
    <w:rsid w:val="00D03095"/>
    <w:rsid w:val="00D20E22"/>
    <w:rsid w:val="00D211AC"/>
    <w:rsid w:val="00D43EFB"/>
    <w:rsid w:val="00D510BC"/>
    <w:rsid w:val="00D73407"/>
    <w:rsid w:val="00D73911"/>
    <w:rsid w:val="00D763DF"/>
    <w:rsid w:val="00D7795A"/>
    <w:rsid w:val="00D779DB"/>
    <w:rsid w:val="00D84333"/>
    <w:rsid w:val="00D8556B"/>
    <w:rsid w:val="00DA15EA"/>
    <w:rsid w:val="00DC2C7B"/>
    <w:rsid w:val="00DD4BB3"/>
    <w:rsid w:val="00DE13A4"/>
    <w:rsid w:val="00DE3336"/>
    <w:rsid w:val="00DE6DA8"/>
    <w:rsid w:val="00DE79EF"/>
    <w:rsid w:val="00DE7ED9"/>
    <w:rsid w:val="00E15AA2"/>
    <w:rsid w:val="00E161EE"/>
    <w:rsid w:val="00E2381B"/>
    <w:rsid w:val="00E37A68"/>
    <w:rsid w:val="00E40B45"/>
    <w:rsid w:val="00E53034"/>
    <w:rsid w:val="00E5365D"/>
    <w:rsid w:val="00E60B65"/>
    <w:rsid w:val="00E65C20"/>
    <w:rsid w:val="00E750E0"/>
    <w:rsid w:val="00E771A8"/>
    <w:rsid w:val="00E85486"/>
    <w:rsid w:val="00E9401A"/>
    <w:rsid w:val="00E946A5"/>
    <w:rsid w:val="00EA24C1"/>
    <w:rsid w:val="00EA6383"/>
    <w:rsid w:val="00EB2486"/>
    <w:rsid w:val="00ED3564"/>
    <w:rsid w:val="00ED6A9F"/>
    <w:rsid w:val="00EE1912"/>
    <w:rsid w:val="00EF051F"/>
    <w:rsid w:val="00F0010B"/>
    <w:rsid w:val="00F06499"/>
    <w:rsid w:val="00F07088"/>
    <w:rsid w:val="00F15C1E"/>
    <w:rsid w:val="00F17F35"/>
    <w:rsid w:val="00F40142"/>
    <w:rsid w:val="00F4065D"/>
    <w:rsid w:val="00F419E2"/>
    <w:rsid w:val="00F44BB5"/>
    <w:rsid w:val="00F51D1A"/>
    <w:rsid w:val="00F53C89"/>
    <w:rsid w:val="00F67DD6"/>
    <w:rsid w:val="00F70DEB"/>
    <w:rsid w:val="00F71635"/>
    <w:rsid w:val="00F81ACF"/>
    <w:rsid w:val="00F902D2"/>
    <w:rsid w:val="00F91DFA"/>
    <w:rsid w:val="00F9388E"/>
    <w:rsid w:val="00FA3FB2"/>
    <w:rsid w:val="00FA48C6"/>
    <w:rsid w:val="00FB6B5B"/>
    <w:rsid w:val="00FC6EB4"/>
    <w:rsid w:val="00FD4670"/>
    <w:rsid w:val="00FD4FC7"/>
    <w:rsid w:val="00FD74D6"/>
    <w:rsid w:val="00FE0B1B"/>
    <w:rsid w:val="00FE245F"/>
    <w:rsid w:val="00FE618D"/>
    <w:rsid w:val="00FF6513"/>
    <w:rsid w:val="31575962"/>
    <w:rsid w:val="5F9EA025"/>
    <w:rsid w:val="7DD9D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07692"/>
  <w15:docId w15:val="{493CBB07-8A36-4217-A0D0-633F5D090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</w:style>
  <w:style w:type="paragraph" w:styleId="BalloonText">
    <w:name w:val="Balloon Text"/>
    <w:basedOn w:val="Normal"/>
    <w:link w:val="BalloonTextChar"/>
    <w:uiPriority w:val="99"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11">
    <w:name w:val="清单表 6 彩色 - 着色 11"/>
    <w:basedOn w:val="TableNormal"/>
    <w:uiPriority w:val="51"/>
    <w:rPr>
      <w:color w:val="2F5496" w:themeColor="accent1" w:themeShade="BF"/>
    </w:rPr>
    <w:tblPr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customStyle="1" w:styleId="1">
    <w:name w:val="列表段落1"/>
    <w:basedOn w:val="Normal"/>
    <w:uiPriority w:val="34"/>
    <w:qFormat/>
    <w:pPr>
      <w:ind w:firstLineChars="200" w:firstLine="42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Revision">
    <w:name w:val="Revision"/>
    <w:hidden/>
    <w:uiPriority w:val="99"/>
    <w:semiHidden/>
    <w:rsid w:val="001D570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Ralph, Marina</cp:lastModifiedBy>
  <cp:revision>2</cp:revision>
  <cp:lastPrinted>2021-05-07T18:24:00Z</cp:lastPrinted>
  <dcterms:created xsi:type="dcterms:W3CDTF">2022-02-28T22:27:00Z</dcterms:created>
  <dcterms:modified xsi:type="dcterms:W3CDTF">2022-02-28T22:27:00Z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