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7390" w14:textId="77777777" w:rsidR="00A24629" w:rsidRPr="00A24629" w:rsidRDefault="00A24629" w:rsidP="00A24629">
      <w:pPr>
        <w:spacing w:afterLines="50" w:after="156"/>
        <w:jc w:val="left"/>
        <w:rPr>
          <w:rFonts w:ascii="Arial" w:eastAsia="MyriadPro-BoldSemiCn" w:hAnsi="Arial" w:cs="Arial"/>
          <w:b/>
          <w:bCs/>
          <w:kern w:val="0"/>
          <w:sz w:val="20"/>
          <w:szCs w:val="20"/>
        </w:rPr>
      </w:pPr>
      <w:r w:rsidRPr="00A24629">
        <w:rPr>
          <w:rFonts w:ascii="Arial" w:eastAsia="STIX-Regular" w:hAnsi="Arial" w:cs="Arial"/>
          <w:b/>
          <w:bCs/>
          <w:kern w:val="0"/>
          <w:sz w:val="20"/>
          <w:szCs w:val="20"/>
        </w:rPr>
        <w:t>Supplementary Table S1</w:t>
      </w:r>
      <w:r w:rsidRPr="00A24629">
        <w:rPr>
          <w:rFonts w:ascii="Arial" w:eastAsia="MyriadPro-BoldSemiCn" w:hAnsi="Arial" w:cs="Arial"/>
          <w:b/>
          <w:bCs/>
          <w:kern w:val="0"/>
          <w:sz w:val="20"/>
          <w:szCs w:val="20"/>
        </w:rPr>
        <w:t>. The results of pathway analysis for potential biomarkers of PE</w:t>
      </w:r>
    </w:p>
    <w:tbl>
      <w:tblPr>
        <w:tblStyle w:val="a7"/>
        <w:tblW w:w="7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983"/>
        <w:gridCol w:w="1167"/>
        <w:gridCol w:w="987"/>
        <w:gridCol w:w="956"/>
      </w:tblGrid>
      <w:tr w:rsidR="00A24629" w:rsidRPr="00A24629" w14:paraId="2349C3BA" w14:textId="77777777" w:rsidTr="00660F07">
        <w:trPr>
          <w:trHeight w:val="366"/>
          <w:jc w:val="center"/>
        </w:trPr>
        <w:tc>
          <w:tcPr>
            <w:tcW w:w="372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70613E2" w14:textId="77777777" w:rsidR="00A24629" w:rsidRPr="00D53E33" w:rsidRDefault="00A24629" w:rsidP="00660F07">
            <w:pPr>
              <w:rPr>
                <w:rFonts w:ascii="Arial" w:eastAsia="Times New Roman Uni" w:hAnsi="Arial" w:cs="Arial"/>
                <w:b/>
                <w:bCs/>
                <w:color w:val="000000"/>
                <w:sz w:val="18"/>
                <w:szCs w:val="18"/>
              </w:rPr>
            </w:pPr>
            <w:r w:rsidRPr="00D53E33">
              <w:rPr>
                <w:rFonts w:ascii="Arial" w:eastAsia="Times New Roman Uni" w:hAnsi="Arial" w:cs="Arial"/>
                <w:b/>
                <w:bCs/>
                <w:color w:val="000000"/>
                <w:sz w:val="18"/>
                <w:szCs w:val="18"/>
              </w:rPr>
              <w:t>Pathway Name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F35A443" w14:textId="77777777" w:rsidR="00A24629" w:rsidRPr="00D53E33" w:rsidRDefault="00A24629" w:rsidP="00660F07">
            <w:pPr>
              <w:rPr>
                <w:rFonts w:ascii="Arial" w:eastAsia="Times New Roman Uni" w:hAnsi="Arial" w:cs="Arial"/>
                <w:b/>
                <w:bCs/>
                <w:color w:val="000000"/>
                <w:sz w:val="18"/>
                <w:szCs w:val="18"/>
              </w:rPr>
            </w:pPr>
            <w:r w:rsidRPr="00D53E33">
              <w:rPr>
                <w:rFonts w:ascii="Arial" w:eastAsia="Times New Roman Uni" w:hAnsi="Arial" w:cs="Arial"/>
                <w:b/>
                <w:bCs/>
                <w:color w:val="000000"/>
                <w:sz w:val="18"/>
                <w:szCs w:val="18"/>
              </w:rPr>
              <w:t>Raw p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7EB6C0A" w14:textId="77777777" w:rsidR="00A24629" w:rsidRPr="00D53E33" w:rsidRDefault="00A24629" w:rsidP="00660F07">
            <w:pPr>
              <w:rPr>
                <w:rFonts w:ascii="Arial" w:eastAsia="Times New Roman Uni" w:hAnsi="Arial" w:cs="Arial"/>
                <w:b/>
                <w:bCs/>
                <w:color w:val="000000"/>
                <w:sz w:val="18"/>
                <w:szCs w:val="18"/>
              </w:rPr>
            </w:pPr>
            <w:r w:rsidRPr="00D53E33">
              <w:rPr>
                <w:rFonts w:ascii="Arial" w:eastAsia="Times New Roman Uni" w:hAnsi="Arial" w:cs="Arial"/>
                <w:b/>
                <w:bCs/>
                <w:color w:val="000000"/>
                <w:sz w:val="18"/>
                <w:szCs w:val="18"/>
              </w:rPr>
              <w:t>Holm adjust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9CA355" w14:textId="77777777" w:rsidR="00A24629" w:rsidRPr="00D53E33" w:rsidRDefault="00A24629" w:rsidP="00660F07">
            <w:pPr>
              <w:rPr>
                <w:rFonts w:ascii="Arial" w:eastAsia="Times New Roman Uni" w:hAnsi="Arial" w:cs="Arial"/>
                <w:b/>
                <w:bCs/>
                <w:color w:val="000000"/>
                <w:sz w:val="18"/>
                <w:szCs w:val="18"/>
              </w:rPr>
            </w:pPr>
            <w:r w:rsidRPr="00D53E33">
              <w:rPr>
                <w:rFonts w:ascii="Arial" w:eastAsia="Times New Roman Uni" w:hAnsi="Arial" w:cs="Arial"/>
                <w:b/>
                <w:bCs/>
                <w:color w:val="000000"/>
                <w:sz w:val="18"/>
                <w:szCs w:val="18"/>
              </w:rPr>
              <w:t>FDR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32DCB3" w14:textId="77777777" w:rsidR="00A24629" w:rsidRPr="00D53E33" w:rsidRDefault="00A24629" w:rsidP="00660F07">
            <w:pPr>
              <w:rPr>
                <w:rFonts w:ascii="Arial" w:eastAsia="Times New Roman Uni" w:hAnsi="Arial" w:cs="Arial"/>
                <w:b/>
                <w:bCs/>
                <w:color w:val="000000"/>
                <w:sz w:val="18"/>
                <w:szCs w:val="18"/>
              </w:rPr>
            </w:pPr>
            <w:r w:rsidRPr="00D53E33">
              <w:rPr>
                <w:rFonts w:ascii="Arial" w:eastAsia="Times New Roman Uni" w:hAnsi="Arial" w:cs="Arial"/>
                <w:b/>
                <w:bCs/>
                <w:color w:val="000000"/>
                <w:sz w:val="18"/>
                <w:szCs w:val="18"/>
              </w:rPr>
              <w:t>Impact</w:t>
            </w:r>
          </w:p>
        </w:tc>
      </w:tr>
      <w:tr w:rsidR="00A24629" w:rsidRPr="00A24629" w14:paraId="0850F12F" w14:textId="77777777" w:rsidTr="00660F07">
        <w:trPr>
          <w:trHeight w:val="397"/>
          <w:jc w:val="center"/>
        </w:trPr>
        <w:tc>
          <w:tcPr>
            <w:tcW w:w="3726" w:type="dxa"/>
            <w:tcBorders>
              <w:top w:val="single" w:sz="8" w:space="0" w:color="auto"/>
            </w:tcBorders>
            <w:vAlign w:val="center"/>
          </w:tcPr>
          <w:p w14:paraId="5FE6846B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Aminoacyl-tRNA biosynthesis</w:t>
            </w:r>
          </w:p>
        </w:tc>
        <w:tc>
          <w:tcPr>
            <w:tcW w:w="983" w:type="dxa"/>
            <w:tcBorders>
              <w:top w:val="single" w:sz="8" w:space="0" w:color="auto"/>
            </w:tcBorders>
            <w:vAlign w:val="center"/>
          </w:tcPr>
          <w:p w14:paraId="2972F283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2.79E-08</w:t>
            </w:r>
          </w:p>
        </w:tc>
        <w:tc>
          <w:tcPr>
            <w:tcW w:w="1167" w:type="dxa"/>
            <w:tcBorders>
              <w:top w:val="single" w:sz="8" w:space="0" w:color="auto"/>
            </w:tcBorders>
            <w:vAlign w:val="center"/>
          </w:tcPr>
          <w:p w14:paraId="39CE45CF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2.35E-06</w:t>
            </w:r>
          </w:p>
        </w:tc>
        <w:tc>
          <w:tcPr>
            <w:tcW w:w="987" w:type="dxa"/>
            <w:tcBorders>
              <w:top w:val="single" w:sz="8" w:space="0" w:color="auto"/>
            </w:tcBorders>
            <w:vAlign w:val="center"/>
          </w:tcPr>
          <w:p w14:paraId="3958F536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2.35E-06</w:t>
            </w:r>
          </w:p>
        </w:tc>
        <w:tc>
          <w:tcPr>
            <w:tcW w:w="956" w:type="dxa"/>
            <w:tcBorders>
              <w:top w:val="single" w:sz="8" w:space="0" w:color="auto"/>
            </w:tcBorders>
            <w:vAlign w:val="center"/>
          </w:tcPr>
          <w:p w14:paraId="24C3D862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0.16667</w:t>
            </w:r>
          </w:p>
        </w:tc>
      </w:tr>
      <w:tr w:rsidR="00A24629" w:rsidRPr="00A24629" w14:paraId="324F6487" w14:textId="77777777" w:rsidTr="00660F07">
        <w:trPr>
          <w:trHeight w:val="397"/>
          <w:jc w:val="center"/>
        </w:trPr>
        <w:tc>
          <w:tcPr>
            <w:tcW w:w="3726" w:type="dxa"/>
            <w:vAlign w:val="center"/>
          </w:tcPr>
          <w:p w14:paraId="244159CA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Arginine biosynthesis</w:t>
            </w:r>
          </w:p>
        </w:tc>
        <w:tc>
          <w:tcPr>
            <w:tcW w:w="983" w:type="dxa"/>
            <w:vAlign w:val="center"/>
          </w:tcPr>
          <w:p w14:paraId="7A1E5952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1.43E-05</w:t>
            </w:r>
          </w:p>
        </w:tc>
        <w:tc>
          <w:tcPr>
            <w:tcW w:w="1167" w:type="dxa"/>
            <w:vAlign w:val="center"/>
          </w:tcPr>
          <w:p w14:paraId="79558ECE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0.001183</w:t>
            </w:r>
          </w:p>
        </w:tc>
        <w:tc>
          <w:tcPr>
            <w:tcW w:w="987" w:type="dxa"/>
            <w:vAlign w:val="center"/>
          </w:tcPr>
          <w:p w14:paraId="625463F4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0.00059864</w:t>
            </w:r>
          </w:p>
        </w:tc>
        <w:tc>
          <w:tcPr>
            <w:tcW w:w="956" w:type="dxa"/>
            <w:vAlign w:val="center"/>
          </w:tcPr>
          <w:p w14:paraId="5A8B6FDD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0.2538</w:t>
            </w:r>
          </w:p>
        </w:tc>
      </w:tr>
      <w:tr w:rsidR="00A24629" w:rsidRPr="00A24629" w14:paraId="06B5D2BC" w14:textId="77777777" w:rsidTr="00660F07">
        <w:trPr>
          <w:trHeight w:val="397"/>
          <w:jc w:val="center"/>
        </w:trPr>
        <w:tc>
          <w:tcPr>
            <w:tcW w:w="3726" w:type="dxa"/>
            <w:vAlign w:val="center"/>
          </w:tcPr>
          <w:p w14:paraId="2AD05075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Alanine, aspartate and glutamate metabolism</w:t>
            </w:r>
          </w:p>
        </w:tc>
        <w:tc>
          <w:tcPr>
            <w:tcW w:w="983" w:type="dxa"/>
            <w:vAlign w:val="center"/>
          </w:tcPr>
          <w:p w14:paraId="14AB61F0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3.17E-05</w:t>
            </w:r>
          </w:p>
        </w:tc>
        <w:tc>
          <w:tcPr>
            <w:tcW w:w="1167" w:type="dxa"/>
            <w:vAlign w:val="center"/>
          </w:tcPr>
          <w:p w14:paraId="0DD8E7F7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0.0025992</w:t>
            </w:r>
          </w:p>
        </w:tc>
        <w:tc>
          <w:tcPr>
            <w:tcW w:w="987" w:type="dxa"/>
            <w:vAlign w:val="center"/>
          </w:tcPr>
          <w:p w14:paraId="5547B5E9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0.00088752</w:t>
            </w:r>
          </w:p>
        </w:tc>
        <w:tc>
          <w:tcPr>
            <w:tcW w:w="956" w:type="dxa"/>
            <w:vAlign w:val="center"/>
          </w:tcPr>
          <w:p w14:paraId="3B1A9AEA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0.67148</w:t>
            </w:r>
          </w:p>
        </w:tc>
      </w:tr>
      <w:tr w:rsidR="00A24629" w:rsidRPr="00A24629" w14:paraId="57D1AB96" w14:textId="77777777" w:rsidTr="00660F07">
        <w:trPr>
          <w:trHeight w:val="397"/>
          <w:jc w:val="center"/>
        </w:trPr>
        <w:tc>
          <w:tcPr>
            <w:tcW w:w="3726" w:type="dxa"/>
            <w:vAlign w:val="center"/>
          </w:tcPr>
          <w:p w14:paraId="086233F7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Butanoate metabolism</w:t>
            </w:r>
          </w:p>
        </w:tc>
        <w:tc>
          <w:tcPr>
            <w:tcW w:w="983" w:type="dxa"/>
            <w:vAlign w:val="center"/>
          </w:tcPr>
          <w:p w14:paraId="3A705104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0.0020454</w:t>
            </w:r>
          </w:p>
        </w:tc>
        <w:tc>
          <w:tcPr>
            <w:tcW w:w="1167" w:type="dxa"/>
            <w:vAlign w:val="center"/>
          </w:tcPr>
          <w:p w14:paraId="01E0C878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0.16568</w:t>
            </w:r>
          </w:p>
        </w:tc>
        <w:tc>
          <w:tcPr>
            <w:tcW w:w="987" w:type="dxa"/>
            <w:vAlign w:val="center"/>
          </w:tcPr>
          <w:p w14:paraId="2777580C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0.042953</w:t>
            </w:r>
          </w:p>
        </w:tc>
        <w:tc>
          <w:tcPr>
            <w:tcW w:w="956" w:type="dxa"/>
            <w:vAlign w:val="center"/>
          </w:tcPr>
          <w:p w14:paraId="28797D89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0.14286</w:t>
            </w:r>
          </w:p>
        </w:tc>
      </w:tr>
      <w:tr w:rsidR="00A24629" w:rsidRPr="00A24629" w14:paraId="3B6EB168" w14:textId="77777777" w:rsidTr="00660F07">
        <w:trPr>
          <w:trHeight w:val="397"/>
          <w:jc w:val="center"/>
        </w:trPr>
        <w:tc>
          <w:tcPr>
            <w:tcW w:w="3726" w:type="dxa"/>
            <w:vAlign w:val="center"/>
          </w:tcPr>
          <w:p w14:paraId="21B089E3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Arginine and proline metabolism</w:t>
            </w:r>
          </w:p>
        </w:tc>
        <w:tc>
          <w:tcPr>
            <w:tcW w:w="983" w:type="dxa"/>
            <w:vAlign w:val="center"/>
          </w:tcPr>
          <w:p w14:paraId="0CA68EA1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0.0028433</w:t>
            </w:r>
          </w:p>
        </w:tc>
        <w:tc>
          <w:tcPr>
            <w:tcW w:w="1167" w:type="dxa"/>
            <w:vAlign w:val="center"/>
          </w:tcPr>
          <w:p w14:paraId="6CBA5CB3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0.22747</w:t>
            </w:r>
          </w:p>
        </w:tc>
        <w:tc>
          <w:tcPr>
            <w:tcW w:w="987" w:type="dxa"/>
            <w:vAlign w:val="center"/>
          </w:tcPr>
          <w:p w14:paraId="4483314B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0.047768</w:t>
            </w:r>
          </w:p>
        </w:tc>
        <w:tc>
          <w:tcPr>
            <w:tcW w:w="956" w:type="dxa"/>
            <w:vAlign w:val="center"/>
          </w:tcPr>
          <w:p w14:paraId="7806E43B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0.5004</w:t>
            </w:r>
          </w:p>
        </w:tc>
      </w:tr>
      <w:tr w:rsidR="00A24629" w:rsidRPr="00A24629" w14:paraId="7A03070E" w14:textId="77777777" w:rsidTr="00660F07">
        <w:trPr>
          <w:trHeight w:val="397"/>
          <w:jc w:val="center"/>
        </w:trPr>
        <w:tc>
          <w:tcPr>
            <w:tcW w:w="3726" w:type="dxa"/>
            <w:vAlign w:val="center"/>
          </w:tcPr>
          <w:p w14:paraId="2098B3EE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Glycine, serine and threonine metabolism</w:t>
            </w:r>
          </w:p>
        </w:tc>
        <w:tc>
          <w:tcPr>
            <w:tcW w:w="983" w:type="dxa"/>
            <w:vAlign w:val="center"/>
          </w:tcPr>
          <w:p w14:paraId="1D3B8070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0.0035524</w:t>
            </w:r>
          </w:p>
        </w:tc>
        <w:tc>
          <w:tcPr>
            <w:tcW w:w="1167" w:type="dxa"/>
            <w:vAlign w:val="center"/>
          </w:tcPr>
          <w:p w14:paraId="0EBB0D66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0.28064</w:t>
            </w:r>
          </w:p>
        </w:tc>
        <w:tc>
          <w:tcPr>
            <w:tcW w:w="987" w:type="dxa"/>
            <w:vAlign w:val="center"/>
          </w:tcPr>
          <w:p w14:paraId="38FDCB2F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0.049733</w:t>
            </w:r>
          </w:p>
        </w:tc>
        <w:tc>
          <w:tcPr>
            <w:tcW w:w="956" w:type="dxa"/>
            <w:vAlign w:val="center"/>
          </w:tcPr>
          <w:p w14:paraId="7B68AEB3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0.58578</w:t>
            </w:r>
          </w:p>
        </w:tc>
      </w:tr>
      <w:tr w:rsidR="00A24629" w:rsidRPr="00A24629" w14:paraId="5FE92B6F" w14:textId="77777777" w:rsidTr="00660F07">
        <w:trPr>
          <w:trHeight w:val="397"/>
          <w:jc w:val="center"/>
        </w:trPr>
        <w:tc>
          <w:tcPr>
            <w:tcW w:w="3726" w:type="dxa"/>
            <w:vAlign w:val="center"/>
          </w:tcPr>
          <w:p w14:paraId="61329201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Valine, leucine and isoleucine biosynthesis</w:t>
            </w:r>
          </w:p>
        </w:tc>
        <w:tc>
          <w:tcPr>
            <w:tcW w:w="983" w:type="dxa"/>
            <w:vAlign w:val="center"/>
          </w:tcPr>
          <w:p w14:paraId="6C181C2F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0.004773</w:t>
            </w:r>
          </w:p>
        </w:tc>
        <w:tc>
          <w:tcPr>
            <w:tcW w:w="1167" w:type="dxa"/>
            <w:vAlign w:val="center"/>
          </w:tcPr>
          <w:p w14:paraId="73FE1F85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0.37229</w:t>
            </w:r>
          </w:p>
        </w:tc>
        <w:tc>
          <w:tcPr>
            <w:tcW w:w="987" w:type="dxa"/>
            <w:vAlign w:val="center"/>
          </w:tcPr>
          <w:p w14:paraId="770C399C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0.057276</w:t>
            </w:r>
          </w:p>
        </w:tc>
        <w:tc>
          <w:tcPr>
            <w:tcW w:w="956" w:type="dxa"/>
            <w:vAlign w:val="center"/>
          </w:tcPr>
          <w:p w14:paraId="2B0AFF19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</w:t>
            </w:r>
          </w:p>
        </w:tc>
      </w:tr>
      <w:tr w:rsidR="00A24629" w:rsidRPr="00A24629" w14:paraId="7610804F" w14:textId="77777777" w:rsidTr="00660F07">
        <w:trPr>
          <w:trHeight w:val="397"/>
          <w:jc w:val="center"/>
        </w:trPr>
        <w:tc>
          <w:tcPr>
            <w:tcW w:w="3726" w:type="dxa"/>
            <w:vAlign w:val="center"/>
          </w:tcPr>
          <w:p w14:paraId="0F343ADC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Citrate cycle (TCA cycle)</w:t>
            </w:r>
          </w:p>
        </w:tc>
        <w:tc>
          <w:tcPr>
            <w:tcW w:w="983" w:type="dxa"/>
            <w:vAlign w:val="center"/>
          </w:tcPr>
          <w:p w14:paraId="61C2D539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0.010394</w:t>
            </w:r>
          </w:p>
        </w:tc>
        <w:tc>
          <w:tcPr>
            <w:tcW w:w="1167" w:type="dxa"/>
            <w:vAlign w:val="center"/>
          </w:tcPr>
          <w:p w14:paraId="0A7ADA9B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0.80035</w:t>
            </w:r>
          </w:p>
        </w:tc>
        <w:tc>
          <w:tcPr>
            <w:tcW w:w="987" w:type="dxa"/>
            <w:vAlign w:val="center"/>
          </w:tcPr>
          <w:p w14:paraId="26211931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0.097449</w:t>
            </w:r>
          </w:p>
        </w:tc>
        <w:tc>
          <w:tcPr>
            <w:tcW w:w="956" w:type="dxa"/>
            <w:vAlign w:val="center"/>
          </w:tcPr>
          <w:p w14:paraId="5ED03F12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0.25782</w:t>
            </w:r>
          </w:p>
        </w:tc>
      </w:tr>
      <w:tr w:rsidR="00A24629" w:rsidRPr="00A24629" w14:paraId="62EFABD4" w14:textId="77777777" w:rsidTr="00660F07">
        <w:trPr>
          <w:trHeight w:val="397"/>
          <w:jc w:val="center"/>
        </w:trPr>
        <w:tc>
          <w:tcPr>
            <w:tcW w:w="3726" w:type="dxa"/>
            <w:vAlign w:val="center"/>
          </w:tcPr>
          <w:p w14:paraId="721750AE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Glyoxylate and dicarboxylate metabolism</w:t>
            </w:r>
          </w:p>
        </w:tc>
        <w:tc>
          <w:tcPr>
            <w:tcW w:w="983" w:type="dxa"/>
            <w:vAlign w:val="center"/>
          </w:tcPr>
          <w:p w14:paraId="037F1854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0.010441</w:t>
            </w:r>
          </w:p>
        </w:tc>
        <w:tc>
          <w:tcPr>
            <w:tcW w:w="1167" w:type="dxa"/>
            <w:vAlign w:val="center"/>
          </w:tcPr>
          <w:p w14:paraId="3DD4FE65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0.80035</w:t>
            </w:r>
          </w:p>
        </w:tc>
        <w:tc>
          <w:tcPr>
            <w:tcW w:w="987" w:type="dxa"/>
            <w:vAlign w:val="center"/>
          </w:tcPr>
          <w:p w14:paraId="2F304527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0.097449</w:t>
            </w:r>
          </w:p>
        </w:tc>
        <w:tc>
          <w:tcPr>
            <w:tcW w:w="956" w:type="dxa"/>
            <w:vAlign w:val="center"/>
          </w:tcPr>
          <w:p w14:paraId="69D9C88D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0.1799</w:t>
            </w:r>
          </w:p>
        </w:tc>
      </w:tr>
      <w:tr w:rsidR="00A24629" w:rsidRPr="00A24629" w14:paraId="4182C6E1" w14:textId="77777777" w:rsidTr="00660F07">
        <w:trPr>
          <w:trHeight w:val="397"/>
          <w:jc w:val="center"/>
        </w:trPr>
        <w:tc>
          <w:tcPr>
            <w:tcW w:w="3726" w:type="dxa"/>
            <w:vAlign w:val="center"/>
          </w:tcPr>
          <w:p w14:paraId="1F9FBF5B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Phenylalanine metabolism</w:t>
            </w:r>
          </w:p>
        </w:tc>
        <w:tc>
          <w:tcPr>
            <w:tcW w:w="983" w:type="dxa"/>
            <w:vAlign w:val="center"/>
          </w:tcPr>
          <w:p w14:paraId="4E7CC9A5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0.012211</w:t>
            </w:r>
          </w:p>
        </w:tc>
        <w:tc>
          <w:tcPr>
            <w:tcW w:w="1167" w:type="dxa"/>
            <w:vAlign w:val="center"/>
          </w:tcPr>
          <w:p w14:paraId="245092A3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0.91583</w:t>
            </w:r>
          </w:p>
        </w:tc>
        <w:tc>
          <w:tcPr>
            <w:tcW w:w="987" w:type="dxa"/>
            <w:vAlign w:val="center"/>
          </w:tcPr>
          <w:p w14:paraId="42164CEF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0.10257</w:t>
            </w:r>
          </w:p>
        </w:tc>
        <w:tc>
          <w:tcPr>
            <w:tcW w:w="956" w:type="dxa"/>
            <w:vAlign w:val="center"/>
          </w:tcPr>
          <w:p w14:paraId="6C923EDE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0.59524</w:t>
            </w:r>
          </w:p>
        </w:tc>
      </w:tr>
      <w:tr w:rsidR="00A24629" w:rsidRPr="00A24629" w14:paraId="072CB52A" w14:textId="77777777" w:rsidTr="00660F07">
        <w:trPr>
          <w:trHeight w:val="397"/>
          <w:jc w:val="center"/>
        </w:trPr>
        <w:tc>
          <w:tcPr>
            <w:tcW w:w="3726" w:type="dxa"/>
            <w:vAlign w:val="center"/>
          </w:tcPr>
          <w:p w14:paraId="511485DF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D-Glutamine and D-glutamate metabolism</w:t>
            </w:r>
          </w:p>
        </w:tc>
        <w:tc>
          <w:tcPr>
            <w:tcW w:w="983" w:type="dxa"/>
            <w:vAlign w:val="center"/>
          </w:tcPr>
          <w:p w14:paraId="1B609794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0.015359</w:t>
            </w:r>
          </w:p>
        </w:tc>
        <w:tc>
          <w:tcPr>
            <w:tcW w:w="1167" w:type="dxa"/>
            <w:vAlign w:val="center"/>
          </w:tcPr>
          <w:p w14:paraId="63A3BAE4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987" w:type="dxa"/>
            <w:vAlign w:val="center"/>
          </w:tcPr>
          <w:p w14:paraId="1B45AA87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0.11215</w:t>
            </w:r>
          </w:p>
        </w:tc>
        <w:tc>
          <w:tcPr>
            <w:tcW w:w="956" w:type="dxa"/>
            <w:vAlign w:val="center"/>
          </w:tcPr>
          <w:p w14:paraId="5AABAD85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0.5</w:t>
            </w:r>
          </w:p>
        </w:tc>
      </w:tr>
      <w:tr w:rsidR="00A24629" w:rsidRPr="00A24629" w14:paraId="08D4F828" w14:textId="77777777" w:rsidTr="00660F07">
        <w:trPr>
          <w:trHeight w:val="397"/>
          <w:jc w:val="center"/>
        </w:trPr>
        <w:tc>
          <w:tcPr>
            <w:tcW w:w="3726" w:type="dxa"/>
            <w:vAlign w:val="center"/>
          </w:tcPr>
          <w:p w14:paraId="592ECAAC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Histidine metabolism</w:t>
            </w:r>
          </w:p>
        </w:tc>
        <w:tc>
          <w:tcPr>
            <w:tcW w:w="983" w:type="dxa"/>
            <w:vAlign w:val="center"/>
          </w:tcPr>
          <w:p w14:paraId="73220E16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0.016022</w:t>
            </w:r>
          </w:p>
        </w:tc>
        <w:tc>
          <w:tcPr>
            <w:tcW w:w="1167" w:type="dxa"/>
            <w:vAlign w:val="center"/>
          </w:tcPr>
          <w:p w14:paraId="7C834784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987" w:type="dxa"/>
            <w:vAlign w:val="center"/>
          </w:tcPr>
          <w:p w14:paraId="535B97F3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0.11215</w:t>
            </w:r>
          </w:p>
        </w:tc>
        <w:tc>
          <w:tcPr>
            <w:tcW w:w="956" w:type="dxa"/>
            <w:vAlign w:val="center"/>
          </w:tcPr>
          <w:p w14:paraId="7BE12EFF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0.34426</w:t>
            </w:r>
          </w:p>
        </w:tc>
      </w:tr>
      <w:tr w:rsidR="00A24629" w:rsidRPr="00A24629" w14:paraId="07ABA08C" w14:textId="77777777" w:rsidTr="00660F07">
        <w:trPr>
          <w:trHeight w:val="397"/>
          <w:jc w:val="center"/>
        </w:trPr>
        <w:tc>
          <w:tcPr>
            <w:tcW w:w="3726" w:type="dxa"/>
            <w:tcBorders>
              <w:bottom w:val="single" w:sz="12" w:space="0" w:color="auto"/>
            </w:tcBorders>
            <w:vAlign w:val="center"/>
          </w:tcPr>
          <w:p w14:paraId="6D40D266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Sphingolipid metabolism</w:t>
            </w: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6AD471E9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0.049732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vAlign w:val="center"/>
          </w:tcPr>
          <w:p w14:paraId="7322F658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vAlign w:val="center"/>
          </w:tcPr>
          <w:p w14:paraId="1F51942B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0.29084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17ADF563" w14:textId="77777777" w:rsidR="00A24629" w:rsidRPr="00D53E33" w:rsidRDefault="00A24629" w:rsidP="00660F07">
            <w:pPr>
              <w:spacing w:afterLines="50" w:after="156"/>
              <w:jc w:val="left"/>
              <w:rPr>
                <w:rFonts w:ascii="Arial" w:eastAsia="Times New Roman Uni" w:hAnsi="Arial" w:cs="Arial"/>
                <w:color w:val="000000"/>
                <w:sz w:val="13"/>
                <w:szCs w:val="13"/>
              </w:rPr>
            </w:pPr>
            <w:r w:rsidRPr="00D53E33">
              <w:rPr>
                <w:rFonts w:ascii="Arial" w:eastAsia="Times New Roman Uni" w:hAnsi="Arial" w:cs="Arial"/>
                <w:color w:val="000000"/>
                <w:sz w:val="13"/>
                <w:szCs w:val="13"/>
              </w:rPr>
              <w:t>0.2069</w:t>
            </w:r>
          </w:p>
        </w:tc>
      </w:tr>
    </w:tbl>
    <w:p w14:paraId="5E3ADC92" w14:textId="157CB2A4" w:rsidR="00A24629" w:rsidRPr="00D53E33" w:rsidRDefault="00D53E33" w:rsidP="00A24629">
      <w:pPr>
        <w:spacing w:afterLines="50" w:after="156"/>
        <w:jc w:val="left"/>
        <w:rPr>
          <w:rFonts w:ascii="Arial" w:eastAsia="Times New Roman Uni" w:hAnsi="Arial" w:cs="Arial"/>
          <w:kern w:val="0"/>
          <w:sz w:val="20"/>
          <w:szCs w:val="20"/>
        </w:rPr>
      </w:pPr>
      <w:r w:rsidRPr="00D53E33">
        <w:rPr>
          <w:rFonts w:ascii="Arial" w:hAnsi="Arial" w:cs="Arial"/>
          <w:b/>
          <w:sz w:val="20"/>
          <w:szCs w:val="20"/>
        </w:rPr>
        <w:t>Abbreviations:</w:t>
      </w:r>
      <w:r w:rsidR="00583C09" w:rsidRPr="00D53E33">
        <w:rPr>
          <w:rFonts w:ascii="Arial" w:hAnsi="Arial" w:cs="Arial"/>
          <w:sz w:val="20"/>
          <w:szCs w:val="20"/>
        </w:rPr>
        <w:t xml:space="preserve"> </w:t>
      </w:r>
      <w:r w:rsidR="00A24629" w:rsidRPr="00D53E33">
        <w:rPr>
          <w:rFonts w:ascii="Arial" w:eastAsia="Times New Roman Uni" w:hAnsi="Arial" w:cs="Arial"/>
          <w:kern w:val="0"/>
          <w:sz w:val="20"/>
          <w:szCs w:val="20"/>
        </w:rPr>
        <w:t>FDR</w:t>
      </w:r>
      <w:r w:rsidR="00442C08" w:rsidRPr="00D53E33">
        <w:rPr>
          <w:rFonts w:ascii="Arial" w:eastAsia="Times New Roman Uni" w:hAnsi="Arial" w:cs="Arial"/>
          <w:kern w:val="0"/>
          <w:sz w:val="20"/>
          <w:szCs w:val="20"/>
        </w:rPr>
        <w:t>,</w:t>
      </w:r>
      <w:r w:rsidR="00583C09" w:rsidRPr="00D53E33">
        <w:rPr>
          <w:rFonts w:ascii="Arial" w:eastAsia="Times New Roman Uni" w:hAnsi="Arial" w:cs="Arial"/>
          <w:kern w:val="0"/>
          <w:sz w:val="20"/>
          <w:szCs w:val="20"/>
        </w:rPr>
        <w:t xml:space="preserve"> </w:t>
      </w:r>
      <w:r w:rsidR="00A24629" w:rsidRPr="00D53E33">
        <w:rPr>
          <w:rFonts w:ascii="Arial" w:eastAsia="Times New Roman Uni" w:hAnsi="Arial" w:cs="Arial"/>
          <w:kern w:val="0"/>
          <w:sz w:val="20"/>
          <w:szCs w:val="20"/>
        </w:rPr>
        <w:t>false discovery rate</w:t>
      </w:r>
      <w:r w:rsidR="00442C08" w:rsidRPr="00D53E33">
        <w:rPr>
          <w:rFonts w:ascii="Arial" w:eastAsia="Times New Roman Uni" w:hAnsi="Arial" w:cs="Arial"/>
          <w:kern w:val="0"/>
          <w:sz w:val="20"/>
          <w:szCs w:val="20"/>
        </w:rPr>
        <w:t>.</w:t>
      </w:r>
    </w:p>
    <w:p w14:paraId="032D4FE1" w14:textId="77777777" w:rsidR="00001D86" w:rsidRPr="00D53E33" w:rsidRDefault="00001D86"/>
    <w:sectPr w:rsidR="00001D86" w:rsidRPr="00D53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5F5B" w14:textId="77777777" w:rsidR="007359A8" w:rsidRDefault="007359A8" w:rsidP="00A24629">
      <w:r>
        <w:separator/>
      </w:r>
    </w:p>
  </w:endnote>
  <w:endnote w:type="continuationSeparator" w:id="0">
    <w:p w14:paraId="5D0AA190" w14:textId="77777777" w:rsidR="007359A8" w:rsidRDefault="007359A8" w:rsidP="00A2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SemiCn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STIX-Regular">
    <w:altName w:val="宋体"/>
    <w:panose1 w:val="00000000000000000000"/>
    <w:charset w:val="86"/>
    <w:family w:val="roman"/>
    <w:notTrueType/>
    <w:pitch w:val="default"/>
    <w:sig w:usb0="00000081" w:usb1="080E0000" w:usb2="00000010" w:usb3="00000000" w:csb0="00040008" w:csb1="00000000"/>
  </w:font>
  <w:font w:name="Times New Roman Uni">
    <w:altName w:val="Arial Unicode MS"/>
    <w:panose1 w:val="02020603050405020304"/>
    <w:charset w:val="86"/>
    <w:family w:val="roman"/>
    <w:pitch w:val="variable"/>
    <w:sig w:usb0="B334AAFF" w:usb1="F9DFFFFF" w:usb2="0000003E" w:usb3="00000000" w:csb0="001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7954" w14:textId="77777777" w:rsidR="007359A8" w:rsidRDefault="007359A8" w:rsidP="00A24629">
      <w:r>
        <w:separator/>
      </w:r>
    </w:p>
  </w:footnote>
  <w:footnote w:type="continuationSeparator" w:id="0">
    <w:p w14:paraId="40CB5984" w14:textId="77777777" w:rsidR="007359A8" w:rsidRDefault="007359A8" w:rsidP="00A24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E7"/>
    <w:rsid w:val="00001D86"/>
    <w:rsid w:val="00442C08"/>
    <w:rsid w:val="00583C09"/>
    <w:rsid w:val="005D3FE7"/>
    <w:rsid w:val="007359A8"/>
    <w:rsid w:val="00A24629"/>
    <w:rsid w:val="00B56599"/>
    <w:rsid w:val="00D53E33"/>
    <w:rsid w:val="00F5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1C5EB"/>
  <w15:chartTrackingRefBased/>
  <w15:docId w15:val="{CA8BEFF6-75F3-48D1-8065-C745F86A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6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629"/>
    <w:rPr>
      <w:sz w:val="18"/>
      <w:szCs w:val="18"/>
    </w:rPr>
  </w:style>
  <w:style w:type="table" w:styleId="a7">
    <w:name w:val="Table Grid"/>
    <w:basedOn w:val="a1"/>
    <w:uiPriority w:val="59"/>
    <w:rsid w:val="00A2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梦馨</dc:creator>
  <cp:keywords/>
  <dc:description/>
  <cp:lastModifiedBy>梦馨</cp:lastModifiedBy>
  <cp:revision>5</cp:revision>
  <dcterms:created xsi:type="dcterms:W3CDTF">2021-12-05T12:59:00Z</dcterms:created>
  <dcterms:modified xsi:type="dcterms:W3CDTF">2021-12-07T11:11:00Z</dcterms:modified>
</cp:coreProperties>
</file>