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BC" w:rsidRDefault="002D3D7C" w:rsidP="00CD7D89">
      <w:pPr>
        <w:spacing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Supplemental Methods</w:t>
      </w:r>
    </w:p>
    <w:p w:rsidR="002D3D7C" w:rsidRPr="006F119C" w:rsidRDefault="00A64B6B" w:rsidP="00CD7D89">
      <w:pPr>
        <w:spacing w:line="360" w:lineRule="auto"/>
        <w:rPr>
          <w:rFonts w:ascii="Times New Roman" w:hAnsi="Times New Roman" w:cs="Times New Roman"/>
          <w:b/>
        </w:rPr>
      </w:pPr>
      <w:r w:rsidRPr="006F119C">
        <w:rPr>
          <w:rFonts w:ascii="Times New Roman" w:hAnsi="Times New Roman" w:cs="Times New Roman"/>
          <w:b/>
        </w:rPr>
        <w:t xml:space="preserve">Preparation of CAR T cells </w:t>
      </w:r>
    </w:p>
    <w:p w:rsidR="006F119C" w:rsidRDefault="006F119C" w:rsidP="00CD7D89">
      <w:pPr>
        <w:spacing w:line="360" w:lineRule="auto"/>
        <w:rPr>
          <w:rFonts w:ascii="Times New Roman" w:eastAsia="Songti SC Regular" w:hAnsi="Times New Roman" w:cs="Times New Roman"/>
          <w:color w:val="131413"/>
          <w:sz w:val="22"/>
        </w:rPr>
      </w:pPr>
      <w:r w:rsidRPr="00B4708B">
        <w:rPr>
          <w:rFonts w:ascii="Times New Roman" w:eastAsia="Songti SC Regular" w:hAnsi="Times New Roman" w:cs="Times New Roman"/>
          <w:sz w:val="22"/>
        </w:rPr>
        <w:t xml:space="preserve">Lymphocytes were obtained from the patient through lymphocyte apheresis under protocols approved by the Ethic Committee of </w:t>
      </w:r>
      <w:proofErr w:type="spellStart"/>
      <w:r w:rsidRPr="00B4708B">
        <w:rPr>
          <w:rFonts w:ascii="Times New Roman" w:eastAsia="Songti SC Regular" w:hAnsi="Times New Roman" w:cs="Times New Roman"/>
          <w:sz w:val="22"/>
        </w:rPr>
        <w:t>Tongji</w:t>
      </w:r>
      <w:proofErr w:type="spellEnd"/>
      <w:r w:rsidRPr="00B4708B">
        <w:rPr>
          <w:rFonts w:ascii="Times New Roman" w:eastAsia="Songti SC Regular" w:hAnsi="Times New Roman" w:cs="Times New Roman"/>
          <w:sz w:val="22"/>
        </w:rPr>
        <w:t xml:space="preserve"> Hospital, </w:t>
      </w:r>
      <w:proofErr w:type="spellStart"/>
      <w:r w:rsidRPr="00B4708B">
        <w:rPr>
          <w:rFonts w:ascii="Times New Roman" w:eastAsia="Songti SC Regular" w:hAnsi="Times New Roman" w:cs="Times New Roman"/>
          <w:sz w:val="22"/>
        </w:rPr>
        <w:t>Tongji</w:t>
      </w:r>
      <w:proofErr w:type="spellEnd"/>
      <w:r w:rsidRPr="00B4708B">
        <w:rPr>
          <w:rFonts w:ascii="Times New Roman" w:eastAsia="Songti SC Regular" w:hAnsi="Times New Roman" w:cs="Times New Roman"/>
          <w:sz w:val="22"/>
        </w:rPr>
        <w:t xml:space="preserve"> Medical College, </w:t>
      </w:r>
      <w:proofErr w:type="spellStart"/>
      <w:r w:rsidRPr="00B4708B">
        <w:rPr>
          <w:rFonts w:ascii="Times New Roman" w:eastAsia="Songti SC Regular" w:hAnsi="Times New Roman" w:cs="Times New Roman"/>
          <w:sz w:val="22"/>
        </w:rPr>
        <w:t>Huazhong</w:t>
      </w:r>
      <w:proofErr w:type="spellEnd"/>
      <w:r w:rsidRPr="00B4708B">
        <w:rPr>
          <w:rFonts w:ascii="Times New Roman" w:eastAsia="Songti SC Regular" w:hAnsi="Times New Roman" w:cs="Times New Roman"/>
          <w:sz w:val="22"/>
        </w:rPr>
        <w:t xml:space="preserve"> University of Scien</w:t>
      </w:r>
      <w:r w:rsidR="001839A6">
        <w:rPr>
          <w:rFonts w:ascii="Times New Roman" w:eastAsia="Songti SC Regular" w:hAnsi="Times New Roman" w:cs="Times New Roman"/>
          <w:sz w:val="22"/>
        </w:rPr>
        <w:t>ce and Technology, Wuhan, China. W</w:t>
      </w:r>
      <w:r w:rsidRPr="00B4708B">
        <w:rPr>
          <w:rFonts w:ascii="Times New Roman" w:eastAsia="Songti SC Regular" w:hAnsi="Times New Roman" w:cs="Times New Roman"/>
          <w:sz w:val="22"/>
        </w:rPr>
        <w:t xml:space="preserve">ritten informed consent was obtained from the patient, in accordance with the Declaration of Helsinki. Peripheral blood mononuclear cells (PBMCs) were obtained </w:t>
      </w:r>
      <w:r w:rsidRPr="00B4708B">
        <w:rPr>
          <w:rStyle w:val="fontstyle01"/>
          <w:rFonts w:ascii="Times New Roman" w:eastAsia="Songti SC Regular" w:hAnsi="Times New Roman" w:cs="Times New Roman"/>
          <w:sz w:val="22"/>
          <w:szCs w:val="22"/>
        </w:rPr>
        <w:t xml:space="preserve">using </w:t>
      </w:r>
      <w:r>
        <w:rPr>
          <w:rFonts w:ascii="Times New Roman" w:eastAsia="Songti SC Regular" w:hAnsi="Times New Roman" w:cs="Times New Roman"/>
          <w:color w:val="131413"/>
          <w:sz w:val="22"/>
        </w:rPr>
        <w:t>l</w:t>
      </w:r>
      <w:r w:rsidRPr="00B4708B">
        <w:rPr>
          <w:rFonts w:ascii="Times New Roman" w:eastAsia="Songti SC Regular" w:hAnsi="Times New Roman" w:cs="Times New Roman"/>
          <w:color w:val="131413"/>
          <w:sz w:val="22"/>
        </w:rPr>
        <w:t xml:space="preserve">ymphocyte separation solution by the </w:t>
      </w:r>
      <w:r w:rsidRPr="00B4708B">
        <w:rPr>
          <w:rStyle w:val="fontstyle01"/>
          <w:rFonts w:ascii="Times New Roman" w:eastAsia="Songti SC Regular" w:hAnsi="Times New Roman" w:cs="Times New Roman"/>
          <w:sz w:val="22"/>
          <w:szCs w:val="22"/>
        </w:rPr>
        <w:t>density gradient centrifugation at 700 g for 20 min. CD3</w:t>
      </w:r>
      <w:r w:rsidRPr="001839A6">
        <w:rPr>
          <w:rStyle w:val="fontstyle01"/>
          <w:rFonts w:ascii="Times New Roman" w:eastAsia="Songti SC Regular" w:hAnsi="Times New Roman" w:cs="Times New Roman"/>
          <w:sz w:val="22"/>
          <w:szCs w:val="22"/>
          <w:vertAlign w:val="superscript"/>
        </w:rPr>
        <w:t>+</w:t>
      </w:r>
      <w:r w:rsidRPr="00B4708B">
        <w:rPr>
          <w:rStyle w:val="fontstyle01"/>
          <w:rFonts w:ascii="Times New Roman" w:eastAsia="Songti SC Regular" w:hAnsi="Times New Roman" w:cs="Times New Roman"/>
          <w:sz w:val="22"/>
          <w:szCs w:val="22"/>
        </w:rPr>
        <w:t xml:space="preserve"> T cells were isolated from the PBMCs by magnetic bead-conjugated anti-CD3 antibody (</w:t>
      </w:r>
      <w:proofErr w:type="spellStart"/>
      <w:r w:rsidRPr="00B4708B">
        <w:rPr>
          <w:rStyle w:val="fontstyle01"/>
          <w:rFonts w:ascii="Times New Roman" w:eastAsia="Songti SC Regular" w:hAnsi="Times New Roman" w:cs="Times New Roman"/>
          <w:sz w:val="22"/>
          <w:szCs w:val="22"/>
        </w:rPr>
        <w:t>MiltenyiBiotec</w:t>
      </w:r>
      <w:proofErr w:type="spellEnd"/>
      <w:r w:rsidRPr="00B4708B">
        <w:rPr>
          <w:rStyle w:val="fontstyle01"/>
          <w:rFonts w:ascii="Times New Roman" w:eastAsia="Songti SC Regular" w:hAnsi="Times New Roman" w:cs="Times New Roman"/>
          <w:sz w:val="22"/>
          <w:szCs w:val="22"/>
        </w:rPr>
        <w:t xml:space="preserve">) and </w:t>
      </w:r>
      <w:r w:rsidRPr="00B4708B">
        <w:rPr>
          <w:rFonts w:ascii="Times New Roman" w:eastAsia="Songti SC Regular" w:hAnsi="Times New Roman" w:cs="Times New Roman"/>
          <w:color w:val="131413"/>
          <w:sz w:val="22"/>
        </w:rPr>
        <w:t>stimulated with anti-CD3/ anti-CD28 monoclonal antibody-coated magnetic beads</w:t>
      </w:r>
      <w:r w:rsidRPr="00B4708B">
        <w:rPr>
          <w:rFonts w:ascii="Times New Roman" w:eastAsia="Songti SC Regular" w:hAnsi="Times New Roman" w:cs="Times New Roman"/>
          <w:color w:val="131413"/>
          <w:sz w:val="22"/>
        </w:rPr>
        <w:t>（</w:t>
      </w:r>
      <w:r w:rsidRPr="00B4708B">
        <w:rPr>
          <w:rFonts w:ascii="Times New Roman" w:eastAsia="Songti SC Regular" w:hAnsi="Times New Roman" w:cs="Times New Roman"/>
          <w:color w:val="131413"/>
          <w:sz w:val="22"/>
        </w:rPr>
        <w:t xml:space="preserve">Thermo Fisher </w:t>
      </w:r>
      <w:r w:rsidRPr="00B4708B">
        <w:rPr>
          <w:rFonts w:ascii="Times New Roman" w:eastAsia="Songti SC Regular" w:hAnsi="Times New Roman" w:cs="Times New Roman"/>
          <w:color w:val="000000"/>
          <w:sz w:val="22"/>
        </w:rPr>
        <w:t>11132D</w:t>
      </w:r>
      <w:r w:rsidRPr="00B4708B">
        <w:rPr>
          <w:rFonts w:ascii="Times New Roman" w:eastAsia="Songti SC Regular" w:hAnsi="Times New Roman" w:cs="Times New Roman"/>
          <w:color w:val="131413"/>
          <w:sz w:val="22"/>
        </w:rPr>
        <w:t>）</w:t>
      </w:r>
      <w:r w:rsidRPr="00B4708B">
        <w:rPr>
          <w:rFonts w:ascii="Times New Roman" w:eastAsia="Songti SC Regular" w:hAnsi="Times New Roman" w:cs="Times New Roman"/>
          <w:color w:val="131413"/>
          <w:sz w:val="22"/>
        </w:rPr>
        <w:t xml:space="preserve">in modified CTS™ </w:t>
      </w:r>
      <w:proofErr w:type="spellStart"/>
      <w:r w:rsidRPr="00B4708B">
        <w:rPr>
          <w:rFonts w:ascii="Times New Roman" w:eastAsia="Songti SC Regular" w:hAnsi="Times New Roman" w:cs="Times New Roman"/>
          <w:color w:val="131413"/>
          <w:sz w:val="22"/>
        </w:rPr>
        <w:t>OpTmizer</w:t>
      </w:r>
      <w:proofErr w:type="spellEnd"/>
      <w:r w:rsidRPr="00B4708B">
        <w:rPr>
          <w:rFonts w:ascii="Times New Roman" w:eastAsia="Songti SC Regular" w:hAnsi="Times New Roman" w:cs="Times New Roman"/>
          <w:color w:val="131413"/>
          <w:sz w:val="22"/>
        </w:rPr>
        <w:t>™ T-Cell Expansion SFM (</w:t>
      </w:r>
      <w:r w:rsidRPr="00B4708B">
        <w:rPr>
          <w:rFonts w:ascii="Times New Roman" w:eastAsia="Songti SC Regular" w:hAnsi="Times New Roman" w:cs="Times New Roman"/>
          <w:sz w:val="22"/>
        </w:rPr>
        <w:t xml:space="preserve">Thermo Fisher </w:t>
      </w:r>
      <w:r w:rsidRPr="00B4708B">
        <w:rPr>
          <w:rFonts w:ascii="Times New Roman" w:eastAsia="Songti SC Regular" w:hAnsi="Times New Roman" w:cs="Times New Roman"/>
          <w:color w:val="000000"/>
          <w:sz w:val="22"/>
        </w:rPr>
        <w:t>A10221-01)</w:t>
      </w:r>
      <w:r w:rsidRPr="00B4708B">
        <w:rPr>
          <w:rFonts w:ascii="Times New Roman" w:eastAsia="Songti SC Regular" w:hAnsi="Times New Roman" w:cs="Times New Roman"/>
          <w:color w:val="131413"/>
          <w:sz w:val="22"/>
        </w:rPr>
        <w:t xml:space="preserve"> at 37 °C, 5% CO</w:t>
      </w:r>
      <w:r w:rsidRPr="00B4708B">
        <w:rPr>
          <w:rFonts w:ascii="Times New Roman" w:eastAsia="Songti SC Regular" w:hAnsi="Times New Roman" w:cs="Times New Roman"/>
          <w:color w:val="131413"/>
          <w:sz w:val="22"/>
          <w:vertAlign w:val="subscript"/>
        </w:rPr>
        <w:t>2</w:t>
      </w:r>
      <w:r w:rsidRPr="00B4708B">
        <w:rPr>
          <w:rFonts w:ascii="Times New Roman" w:eastAsia="Songti SC Regular" w:hAnsi="Times New Roman" w:cs="Times New Roman"/>
          <w:color w:val="131413"/>
          <w:sz w:val="22"/>
        </w:rPr>
        <w:t xml:space="preserve"> for 18-24 h. Cells were then separately transduced with different </w:t>
      </w:r>
      <w:proofErr w:type="spellStart"/>
      <w:r w:rsidRPr="00B4708B">
        <w:rPr>
          <w:rFonts w:ascii="Times New Roman" w:eastAsia="Songti SC Regular" w:hAnsi="Times New Roman" w:cs="Times New Roman"/>
          <w:color w:val="131413"/>
          <w:sz w:val="22"/>
        </w:rPr>
        <w:t>lentiviral</w:t>
      </w:r>
      <w:proofErr w:type="spellEnd"/>
      <w:r w:rsidRPr="00B4708B">
        <w:rPr>
          <w:rFonts w:ascii="Times New Roman" w:eastAsia="Songti SC Regular" w:hAnsi="Times New Roman" w:cs="Times New Roman"/>
          <w:color w:val="131413"/>
          <w:sz w:val="22"/>
        </w:rPr>
        <w:t xml:space="preserve"> </w:t>
      </w:r>
      <w:r w:rsidR="001839A6">
        <w:rPr>
          <w:rFonts w:ascii="Times New Roman" w:eastAsia="Songti SC Regular" w:hAnsi="Times New Roman" w:cs="Times New Roman"/>
          <w:color w:val="131413"/>
          <w:sz w:val="22"/>
        </w:rPr>
        <w:t xml:space="preserve">CAR </w:t>
      </w:r>
      <w:r w:rsidRPr="00B4708B">
        <w:rPr>
          <w:rFonts w:ascii="Times New Roman" w:eastAsia="Songti SC Regular" w:hAnsi="Times New Roman" w:cs="Times New Roman"/>
          <w:color w:val="131413"/>
          <w:sz w:val="22"/>
        </w:rPr>
        <w:t>vector</w:t>
      </w:r>
      <w:r w:rsidR="001839A6">
        <w:rPr>
          <w:rFonts w:ascii="Times New Roman" w:eastAsia="Songti SC Regular" w:hAnsi="Times New Roman" w:cs="Times New Roman"/>
          <w:color w:val="131413"/>
          <w:sz w:val="22"/>
        </w:rPr>
        <w:t>s</w:t>
      </w:r>
      <w:r w:rsidRPr="00B4708B">
        <w:rPr>
          <w:rFonts w:ascii="Times New Roman" w:eastAsia="Songti SC Regular" w:hAnsi="Times New Roman" w:cs="Times New Roman"/>
          <w:color w:val="131413"/>
          <w:sz w:val="22"/>
        </w:rPr>
        <w:t>, and cultured for</w:t>
      </w:r>
      <w:r w:rsidRPr="00B4708B">
        <w:rPr>
          <w:rFonts w:ascii="Times New Roman" w:eastAsia="Songti SC Regular" w:hAnsi="Times New Roman" w:cs="Times New Roman"/>
          <w:sz w:val="22"/>
        </w:rPr>
        <w:t xml:space="preserve"> 10-14</w:t>
      </w:r>
      <w:r w:rsidRPr="00B4708B">
        <w:rPr>
          <w:rFonts w:ascii="Times New Roman" w:eastAsia="Songti SC Regular" w:hAnsi="Times New Roman" w:cs="Times New Roman"/>
          <w:color w:val="131413"/>
          <w:sz w:val="22"/>
        </w:rPr>
        <w:t xml:space="preserve"> days in vitro.</w:t>
      </w:r>
      <w:r>
        <w:rPr>
          <w:rFonts w:ascii="Times New Roman" w:eastAsia="Songti SC Regular" w:hAnsi="Times New Roman" w:cs="Times New Roman"/>
          <w:color w:val="131413"/>
          <w:sz w:val="22"/>
        </w:rPr>
        <w:t xml:space="preserve"> </w:t>
      </w:r>
      <w:r w:rsidRPr="00B4708B">
        <w:rPr>
          <w:rFonts w:ascii="Times New Roman" w:eastAsia="Songti SC Regular" w:hAnsi="Times New Roman" w:cs="Times New Roman"/>
          <w:color w:val="131413"/>
          <w:sz w:val="22"/>
        </w:rPr>
        <w:t>The medium was renewed every 2-3 days and</w:t>
      </w:r>
      <w:r>
        <w:rPr>
          <w:rFonts w:ascii="Times New Roman" w:eastAsia="Songti SC Regular" w:hAnsi="Times New Roman" w:cs="Times New Roman"/>
          <w:color w:val="131413"/>
          <w:sz w:val="22"/>
        </w:rPr>
        <w:t xml:space="preserve"> cell concentration was adjusted to</w:t>
      </w:r>
      <w:r w:rsidRPr="00B4708B">
        <w:rPr>
          <w:rFonts w:ascii="Times New Roman" w:eastAsia="Songti SC Regular" w:hAnsi="Times New Roman" w:cs="Times New Roman"/>
          <w:color w:val="131413"/>
          <w:sz w:val="22"/>
        </w:rPr>
        <w:t xml:space="preserve"> 1.5-2.0×10^6 /ml. The transduction efficiency and tumor cytotoxic effects of CAR T cells were monitored prior to infusion.</w:t>
      </w:r>
    </w:p>
    <w:p w:rsidR="00CD7D89" w:rsidRDefault="00CD7D89" w:rsidP="00CD7D89">
      <w:pPr>
        <w:spacing w:line="360" w:lineRule="auto"/>
        <w:rPr>
          <w:rFonts w:ascii="Times New Roman" w:eastAsia="Songti SC Regular" w:hAnsi="Times New Roman" w:cs="Times New Roman"/>
          <w:color w:val="131413"/>
          <w:sz w:val="22"/>
        </w:rPr>
      </w:pPr>
    </w:p>
    <w:p w:rsidR="00A64B6B" w:rsidRPr="002A41F1" w:rsidRDefault="002A41F1" w:rsidP="00CD7D89">
      <w:pPr>
        <w:spacing w:line="360" w:lineRule="auto"/>
        <w:rPr>
          <w:rFonts w:ascii="Times New Roman" w:eastAsia="Songti SC Regular" w:hAnsi="Times New Roman" w:cs="Times New Roman"/>
          <w:b/>
          <w:sz w:val="22"/>
        </w:rPr>
      </w:pPr>
      <w:r w:rsidRPr="002A41F1">
        <w:rPr>
          <w:rFonts w:ascii="Times New Roman" w:eastAsia="Songti SC Regular" w:hAnsi="Times New Roman" w:cs="Times New Roman"/>
          <w:b/>
          <w:sz w:val="22"/>
        </w:rPr>
        <w:t xml:space="preserve">Phenotypic analysis by flow </w:t>
      </w:r>
      <w:proofErr w:type="spellStart"/>
      <w:r w:rsidRPr="002A41F1">
        <w:rPr>
          <w:rFonts w:ascii="Times New Roman" w:eastAsia="Songti SC Regular" w:hAnsi="Times New Roman" w:cs="Times New Roman"/>
          <w:b/>
          <w:sz w:val="22"/>
        </w:rPr>
        <w:t>cytometry</w:t>
      </w:r>
      <w:proofErr w:type="spellEnd"/>
    </w:p>
    <w:p w:rsidR="00446EC1" w:rsidRDefault="00E33018" w:rsidP="00CD7D89">
      <w:pPr>
        <w:spacing w:line="360" w:lineRule="auto"/>
        <w:rPr>
          <w:rFonts w:ascii="Times New Roman" w:eastAsia="Songti SC Regular" w:hAnsi="Times New Roman" w:cs="Times New Roman"/>
          <w:sz w:val="22"/>
        </w:rPr>
      </w:pPr>
      <w:r>
        <w:rPr>
          <w:rFonts w:ascii="Times New Roman" w:eastAsia="Songti SC Regular" w:hAnsi="Times New Roman" w:cs="Times New Roman"/>
          <w:sz w:val="22"/>
        </w:rPr>
        <w:t>B</w:t>
      </w:r>
      <w:r w:rsidR="002A41F1">
        <w:rPr>
          <w:rFonts w:ascii="Times New Roman" w:eastAsia="Songti SC Regular" w:hAnsi="Times New Roman" w:cs="Times New Roman"/>
          <w:sz w:val="22"/>
        </w:rPr>
        <w:t xml:space="preserve">one marrow </w:t>
      </w:r>
      <w:r w:rsidR="00837D7E">
        <w:rPr>
          <w:rFonts w:ascii="Times New Roman" w:eastAsia="Songti SC Regular" w:hAnsi="Times New Roman" w:cs="Times New Roman"/>
          <w:sz w:val="22"/>
        </w:rPr>
        <w:t xml:space="preserve">mononuclear </w:t>
      </w:r>
      <w:r w:rsidR="00DF27F2" w:rsidRPr="002A41F1">
        <w:rPr>
          <w:rFonts w:ascii="Times New Roman" w:eastAsia="Songti SC Regular" w:hAnsi="Times New Roman" w:cs="Times New Roman"/>
          <w:sz w:val="22"/>
        </w:rPr>
        <w:t>cells were stained with the following fluorescently-labeled</w:t>
      </w:r>
      <w:r w:rsidR="00837D7E">
        <w:rPr>
          <w:rFonts w:ascii="Times New Roman" w:eastAsia="Songti SC Regular" w:hAnsi="Times New Roman" w:cs="Times New Roman"/>
          <w:sz w:val="22"/>
        </w:rPr>
        <w:t xml:space="preserve"> </w:t>
      </w:r>
      <w:r w:rsidR="00DF27F2" w:rsidRPr="002A41F1">
        <w:rPr>
          <w:rFonts w:ascii="Times New Roman" w:eastAsia="Songti SC Regular" w:hAnsi="Times New Roman" w:cs="Times New Roman"/>
          <w:sz w:val="22"/>
        </w:rPr>
        <w:t xml:space="preserve">monoclonal antibodies: </w:t>
      </w:r>
      <w:r w:rsidR="00E56317">
        <w:rPr>
          <w:rFonts w:ascii="Times New Roman" w:eastAsia="Songti SC Regular" w:hAnsi="Times New Roman" w:cs="Times New Roman"/>
          <w:sz w:val="22"/>
        </w:rPr>
        <w:t>BV421</w:t>
      </w:r>
      <w:r w:rsidR="00DF27F2" w:rsidRPr="002A41F1">
        <w:rPr>
          <w:rFonts w:ascii="Times New Roman" w:eastAsia="Songti SC Regular" w:hAnsi="Times New Roman" w:cs="Times New Roman"/>
          <w:sz w:val="22"/>
        </w:rPr>
        <w:t xml:space="preserve"> anti-CD</w:t>
      </w:r>
      <w:r w:rsidR="00E56317">
        <w:rPr>
          <w:rFonts w:ascii="Times New Roman" w:eastAsia="Songti SC Regular" w:hAnsi="Times New Roman" w:cs="Times New Roman"/>
          <w:sz w:val="22"/>
        </w:rPr>
        <w:t>19 (</w:t>
      </w:r>
      <w:proofErr w:type="spellStart"/>
      <w:r w:rsidR="00E56317">
        <w:rPr>
          <w:rFonts w:ascii="Times New Roman" w:eastAsia="Songti SC Regular" w:hAnsi="Times New Roman" w:cs="Times New Roman"/>
          <w:sz w:val="22"/>
        </w:rPr>
        <w:t>Biolegend</w:t>
      </w:r>
      <w:proofErr w:type="spellEnd"/>
      <w:r w:rsidR="00E56317">
        <w:rPr>
          <w:rFonts w:ascii="Times New Roman" w:eastAsia="Songti SC Regular" w:hAnsi="Times New Roman" w:cs="Times New Roman"/>
          <w:sz w:val="22"/>
        </w:rPr>
        <w:t>)</w:t>
      </w:r>
      <w:r w:rsidR="00DF27F2" w:rsidRPr="002A41F1">
        <w:rPr>
          <w:rFonts w:ascii="Times New Roman" w:eastAsia="Songti SC Regular" w:hAnsi="Times New Roman" w:cs="Times New Roman"/>
          <w:sz w:val="22"/>
        </w:rPr>
        <w:t xml:space="preserve">, </w:t>
      </w:r>
      <w:r w:rsidR="00E56317">
        <w:rPr>
          <w:rFonts w:ascii="Times New Roman" w:eastAsia="Songti SC Regular" w:hAnsi="Times New Roman" w:cs="Times New Roman"/>
          <w:sz w:val="22"/>
        </w:rPr>
        <w:t xml:space="preserve">PE-CY7 anti-CD10 (BDIS), Percp5.5 anti-CD34 (BDIS), Percp5.5 anti-CD38 (BD </w:t>
      </w:r>
      <w:proofErr w:type="spellStart"/>
      <w:r w:rsidR="00E56317">
        <w:rPr>
          <w:rFonts w:ascii="Times New Roman" w:eastAsia="Songti SC Regular" w:hAnsi="Times New Roman" w:cs="Times New Roman"/>
          <w:sz w:val="22"/>
        </w:rPr>
        <w:t>Pharmingen</w:t>
      </w:r>
      <w:proofErr w:type="spellEnd"/>
      <w:r w:rsidR="00E56317">
        <w:rPr>
          <w:rFonts w:ascii="Times New Roman" w:eastAsia="Songti SC Regular" w:hAnsi="Times New Roman" w:cs="Times New Roman"/>
          <w:sz w:val="22"/>
        </w:rPr>
        <w:t xml:space="preserve">), </w:t>
      </w:r>
      <w:r w:rsidR="0034798C">
        <w:rPr>
          <w:rFonts w:ascii="Times New Roman" w:eastAsia="Songti SC Regular" w:hAnsi="Times New Roman" w:cs="Times New Roman"/>
          <w:sz w:val="22"/>
        </w:rPr>
        <w:t>V500 anti-CD45 (BDIS), PE anti-CD79b (</w:t>
      </w:r>
      <w:proofErr w:type="spellStart"/>
      <w:r w:rsidR="0034798C">
        <w:rPr>
          <w:rFonts w:ascii="Times New Roman" w:eastAsia="Songti SC Regular" w:hAnsi="Times New Roman" w:cs="Times New Roman"/>
          <w:sz w:val="22"/>
        </w:rPr>
        <w:t>Biolegend</w:t>
      </w:r>
      <w:proofErr w:type="spellEnd"/>
      <w:r w:rsidR="0034798C">
        <w:rPr>
          <w:rFonts w:ascii="Times New Roman" w:eastAsia="Songti SC Regular" w:hAnsi="Times New Roman" w:cs="Times New Roman"/>
          <w:sz w:val="22"/>
        </w:rPr>
        <w:t xml:space="preserve">), </w:t>
      </w:r>
      <w:r w:rsidR="006458E2">
        <w:rPr>
          <w:rFonts w:ascii="Times New Roman" w:eastAsia="Songti SC Regular" w:hAnsi="Times New Roman" w:cs="Times New Roman"/>
          <w:sz w:val="22"/>
        </w:rPr>
        <w:t xml:space="preserve">PE anti-CD79a (BDIS), </w:t>
      </w:r>
      <w:r w:rsidR="0034798C">
        <w:rPr>
          <w:rFonts w:ascii="Times New Roman" w:eastAsia="Songti SC Regular" w:hAnsi="Times New Roman" w:cs="Times New Roman"/>
          <w:sz w:val="22"/>
        </w:rPr>
        <w:t>APC anti-CD22 (BDIS)</w:t>
      </w:r>
      <w:r w:rsidR="00C43371">
        <w:rPr>
          <w:rFonts w:ascii="Times New Roman" w:eastAsia="Songti SC Regular" w:hAnsi="Times New Roman" w:cs="Times New Roman"/>
          <w:sz w:val="22"/>
        </w:rPr>
        <w:t xml:space="preserve">, </w:t>
      </w:r>
      <w:r w:rsidR="00E56317">
        <w:rPr>
          <w:rFonts w:ascii="Times New Roman" w:eastAsia="Songti SC Regular" w:hAnsi="Times New Roman" w:cs="Times New Roman"/>
          <w:sz w:val="22"/>
        </w:rPr>
        <w:t>FITC anti-</w:t>
      </w:r>
      <w:proofErr w:type="spellStart"/>
      <w:r w:rsidR="00E56317">
        <w:rPr>
          <w:rFonts w:ascii="Times New Roman" w:eastAsia="Songti SC Regular" w:hAnsi="Times New Roman" w:cs="Times New Roman"/>
          <w:sz w:val="22"/>
        </w:rPr>
        <w:t>TdT</w:t>
      </w:r>
      <w:proofErr w:type="spellEnd"/>
      <w:r w:rsidR="00E56317">
        <w:rPr>
          <w:rFonts w:ascii="Times New Roman" w:eastAsia="Songti SC Regular" w:hAnsi="Times New Roman" w:cs="Times New Roman"/>
          <w:sz w:val="22"/>
        </w:rPr>
        <w:t xml:space="preserve"> (</w:t>
      </w:r>
      <w:proofErr w:type="spellStart"/>
      <w:r w:rsidR="00E56317">
        <w:rPr>
          <w:rFonts w:ascii="Times New Roman" w:eastAsia="Songti SC Regular" w:hAnsi="Times New Roman" w:cs="Times New Roman"/>
          <w:sz w:val="22"/>
        </w:rPr>
        <w:t>Dako</w:t>
      </w:r>
      <w:proofErr w:type="spellEnd"/>
      <w:r w:rsidR="00E56317">
        <w:rPr>
          <w:rFonts w:ascii="Times New Roman" w:eastAsia="Songti SC Regular" w:hAnsi="Times New Roman" w:cs="Times New Roman"/>
          <w:sz w:val="22"/>
        </w:rPr>
        <w:t>)</w:t>
      </w:r>
      <w:r w:rsidR="0034798C">
        <w:rPr>
          <w:rFonts w:ascii="Times New Roman" w:eastAsia="Songti SC Regular" w:hAnsi="Times New Roman" w:cs="Times New Roman"/>
          <w:sz w:val="22"/>
        </w:rPr>
        <w:t xml:space="preserve"> and</w:t>
      </w:r>
      <w:r w:rsidR="00E56317">
        <w:rPr>
          <w:rFonts w:ascii="Times New Roman" w:eastAsia="Songti SC Regular" w:hAnsi="Times New Roman" w:cs="Times New Roman"/>
          <w:sz w:val="22"/>
        </w:rPr>
        <w:t xml:space="preserve"> FITC anti-</w:t>
      </w:r>
      <w:proofErr w:type="spellStart"/>
      <w:r w:rsidR="00E56317">
        <w:rPr>
          <w:rFonts w:ascii="Times New Roman" w:eastAsia="Songti SC Regular" w:hAnsi="Times New Roman" w:cs="Times New Roman"/>
          <w:sz w:val="22"/>
        </w:rPr>
        <w:t>Ig</w:t>
      </w:r>
      <w:r w:rsidR="00E56317">
        <w:rPr>
          <w:rFonts w:ascii="Calibri" w:eastAsia="Songti SC Regular" w:hAnsi="Calibri" w:cs="Times New Roman"/>
          <w:sz w:val="22"/>
        </w:rPr>
        <w:t>κ</w:t>
      </w:r>
      <w:proofErr w:type="spellEnd"/>
      <w:r w:rsidR="00E56317">
        <w:rPr>
          <w:rFonts w:ascii="Times New Roman" w:eastAsia="Songti SC Regular" w:hAnsi="Times New Roman" w:cs="Times New Roman"/>
          <w:sz w:val="22"/>
        </w:rPr>
        <w:t>/</w:t>
      </w:r>
      <w:proofErr w:type="spellStart"/>
      <w:r w:rsidR="00E56317">
        <w:rPr>
          <w:rFonts w:ascii="Times New Roman" w:eastAsia="Songti SC Regular" w:hAnsi="Times New Roman" w:cs="Times New Roman"/>
          <w:sz w:val="22"/>
        </w:rPr>
        <w:t>Ig</w:t>
      </w:r>
      <w:r w:rsidR="00E56317">
        <w:rPr>
          <w:rFonts w:ascii="Calibri" w:eastAsia="Songti SC Regular" w:hAnsi="Calibri" w:cs="Times New Roman"/>
          <w:sz w:val="22"/>
        </w:rPr>
        <w:t>λ</w:t>
      </w:r>
      <w:proofErr w:type="spellEnd"/>
      <w:r w:rsidR="00E56317">
        <w:rPr>
          <w:rFonts w:ascii="Times New Roman" w:eastAsia="Songti SC Regular" w:hAnsi="Times New Roman" w:cs="Times New Roman"/>
          <w:sz w:val="22"/>
        </w:rPr>
        <w:t xml:space="preserve"> (</w:t>
      </w:r>
      <w:proofErr w:type="spellStart"/>
      <w:r w:rsidR="00E56317">
        <w:rPr>
          <w:rFonts w:ascii="Times New Roman" w:eastAsia="Songti SC Regular" w:hAnsi="Times New Roman" w:cs="Times New Roman"/>
          <w:sz w:val="22"/>
        </w:rPr>
        <w:t>Dako</w:t>
      </w:r>
      <w:proofErr w:type="spellEnd"/>
      <w:r w:rsidR="00E56317">
        <w:rPr>
          <w:rFonts w:ascii="Times New Roman" w:eastAsia="Songti SC Regular" w:hAnsi="Times New Roman" w:cs="Times New Roman"/>
          <w:sz w:val="22"/>
        </w:rPr>
        <w:t>)</w:t>
      </w:r>
      <w:r w:rsidR="0034798C">
        <w:rPr>
          <w:rFonts w:ascii="Times New Roman" w:eastAsia="Songti SC Regular" w:hAnsi="Times New Roman" w:cs="Times New Roman"/>
          <w:sz w:val="22"/>
        </w:rPr>
        <w:t>.</w:t>
      </w:r>
      <w:r>
        <w:rPr>
          <w:rFonts w:ascii="Times New Roman" w:eastAsia="Songti SC Regular" w:hAnsi="Times New Roman" w:cs="Times New Roman"/>
          <w:sz w:val="22"/>
        </w:rPr>
        <w:t xml:space="preserve"> </w:t>
      </w:r>
      <w:r w:rsidR="00027FD8" w:rsidRPr="00446EC1">
        <w:rPr>
          <w:rFonts w:ascii="Times New Roman" w:eastAsia="Songti SC Regular" w:hAnsi="Times New Roman" w:cs="Times New Roman"/>
          <w:sz w:val="22"/>
        </w:rPr>
        <w:t xml:space="preserve">For intracellular proteins </w:t>
      </w:r>
      <w:r w:rsidR="00027FD8">
        <w:rPr>
          <w:rFonts w:ascii="Times New Roman" w:eastAsia="Songti SC Regular" w:hAnsi="Times New Roman" w:cs="Times New Roman"/>
          <w:sz w:val="22"/>
        </w:rPr>
        <w:t xml:space="preserve">(CD79a) </w:t>
      </w:r>
      <w:r w:rsidR="00027FD8" w:rsidRPr="00446EC1">
        <w:rPr>
          <w:rFonts w:ascii="Times New Roman" w:eastAsia="Songti SC Regular" w:hAnsi="Times New Roman" w:cs="Times New Roman"/>
          <w:sz w:val="22"/>
        </w:rPr>
        <w:t xml:space="preserve">analysis, </w:t>
      </w:r>
      <w:proofErr w:type="spellStart"/>
      <w:r w:rsidR="00027FD8" w:rsidRPr="00446EC1">
        <w:rPr>
          <w:rFonts w:ascii="Times New Roman" w:eastAsia="Songti SC Regular" w:hAnsi="Times New Roman" w:cs="Times New Roman"/>
          <w:sz w:val="22"/>
        </w:rPr>
        <w:t>permeabilization</w:t>
      </w:r>
      <w:proofErr w:type="spellEnd"/>
      <w:r w:rsidR="00027FD8" w:rsidRPr="00446EC1">
        <w:rPr>
          <w:rFonts w:ascii="Times New Roman" w:eastAsia="Songti SC Regular" w:hAnsi="Times New Roman" w:cs="Times New Roman"/>
          <w:sz w:val="22"/>
        </w:rPr>
        <w:t xml:space="preserve"> process should be performed</w:t>
      </w:r>
      <w:r w:rsidR="00027FD8">
        <w:rPr>
          <w:rFonts w:ascii="Times New Roman" w:eastAsia="Songti SC Regular" w:hAnsi="Times New Roman" w:cs="Times New Roman"/>
          <w:sz w:val="22"/>
        </w:rPr>
        <w:t>.</w:t>
      </w:r>
    </w:p>
    <w:p w:rsidR="00CD7D89" w:rsidRDefault="00CD7D89" w:rsidP="00CD7D89">
      <w:pPr>
        <w:pStyle w:val="a6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34798C" w:rsidRPr="0096591E" w:rsidRDefault="0034798C" w:rsidP="00CD7D89">
      <w:pPr>
        <w:spacing w:line="360" w:lineRule="auto"/>
        <w:rPr>
          <w:rFonts w:ascii="Times New Roman" w:eastAsia="Songti SC Regular" w:hAnsi="Times New Roman" w:cs="Times New Roman"/>
          <w:color w:val="131413"/>
          <w:sz w:val="22"/>
        </w:rPr>
      </w:pPr>
      <w:r w:rsidRPr="0096591E">
        <w:rPr>
          <w:rFonts w:ascii="Times New Roman" w:eastAsia="Songti SC Regular" w:hAnsi="Times New Roman" w:cs="Times New Roman" w:hint="eastAsia"/>
          <w:b/>
          <w:color w:val="131413"/>
          <w:sz w:val="22"/>
        </w:rPr>
        <w:t>C</w:t>
      </w:r>
      <w:r w:rsidRPr="0096591E">
        <w:rPr>
          <w:rFonts w:ascii="Times New Roman" w:eastAsia="Songti SC Regular" w:hAnsi="Times New Roman" w:cs="Times New Roman"/>
          <w:b/>
          <w:color w:val="131413"/>
          <w:sz w:val="22"/>
        </w:rPr>
        <w:t xml:space="preserve">opy number </w:t>
      </w:r>
      <w:r w:rsidR="007050D1">
        <w:rPr>
          <w:rFonts w:ascii="Times New Roman" w:eastAsia="Songti SC Regular" w:hAnsi="Times New Roman" w:cs="Times New Roman"/>
          <w:b/>
          <w:color w:val="131413"/>
          <w:sz w:val="22"/>
        </w:rPr>
        <w:t xml:space="preserve">calculation </w:t>
      </w:r>
      <w:r w:rsidRPr="0096591E">
        <w:rPr>
          <w:rFonts w:ascii="Times New Roman" w:eastAsia="Songti SC Regular" w:hAnsi="Times New Roman" w:cs="Times New Roman"/>
          <w:b/>
          <w:color w:val="131413"/>
          <w:sz w:val="22"/>
        </w:rPr>
        <w:t>of CAR</w:t>
      </w:r>
    </w:p>
    <w:p w:rsidR="0034798C" w:rsidRDefault="003C3B2D" w:rsidP="003C3B2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2"/>
        </w:rPr>
      </w:pPr>
      <w:r w:rsidRPr="003C3B2D">
        <w:rPr>
          <w:rFonts w:ascii="Times New Roman" w:eastAsia="Songti SC Regular" w:hAnsi="Times New Roman" w:cs="Times New Roman"/>
          <w:color w:val="131413"/>
          <w:sz w:val="22"/>
        </w:rPr>
        <w:t xml:space="preserve">Genomic DNA of peripheral blood mononuclear cells was isolated. </w:t>
      </w:r>
      <w:r w:rsidR="0034798C" w:rsidRPr="00B4708B">
        <w:rPr>
          <w:rFonts w:ascii="Times New Roman" w:eastAsia="Songti SC Regular" w:hAnsi="Times New Roman" w:cs="Times New Roman"/>
          <w:color w:val="131413"/>
          <w:sz w:val="22"/>
        </w:rPr>
        <w:t>Absolute quantificati</w:t>
      </w:r>
      <w:r w:rsidR="0034798C">
        <w:rPr>
          <w:rFonts w:ascii="Times New Roman" w:eastAsia="Songti SC Regular" w:hAnsi="Times New Roman" w:cs="Times New Roman"/>
          <w:color w:val="131413"/>
          <w:sz w:val="22"/>
        </w:rPr>
        <w:t xml:space="preserve">on of CAR </w:t>
      </w:r>
      <w:r w:rsidR="003E3B78">
        <w:rPr>
          <w:rFonts w:ascii="Times New Roman" w:eastAsia="Songti SC Regular" w:hAnsi="Times New Roman" w:cs="Times New Roman"/>
          <w:color w:val="131413"/>
          <w:sz w:val="22"/>
        </w:rPr>
        <w:t xml:space="preserve">gene copy number per </w:t>
      </w:r>
      <w:proofErr w:type="spellStart"/>
      <w:r w:rsidR="003E3B78">
        <w:rPr>
          <w:rFonts w:ascii="Times New Roman" w:eastAsia="Songti SC Regular" w:hAnsi="Times New Roman" w:cs="Times New Roman"/>
          <w:color w:val="131413"/>
          <w:sz w:val="22"/>
        </w:rPr>
        <w:t>microgramme</w:t>
      </w:r>
      <w:proofErr w:type="spellEnd"/>
      <w:r w:rsidR="003E3B78">
        <w:rPr>
          <w:rFonts w:ascii="Times New Roman" w:eastAsia="Songti SC Regular" w:hAnsi="Times New Roman" w:cs="Times New Roman"/>
          <w:color w:val="131413"/>
          <w:sz w:val="22"/>
        </w:rPr>
        <w:t xml:space="preserve"> genomic DNA</w:t>
      </w:r>
      <w:r w:rsidR="0034798C">
        <w:rPr>
          <w:rFonts w:ascii="Times New Roman" w:eastAsia="Songti SC Regular" w:hAnsi="Times New Roman" w:cs="Times New Roman"/>
          <w:color w:val="131413"/>
          <w:sz w:val="22"/>
        </w:rPr>
        <w:t xml:space="preserve"> was</w:t>
      </w:r>
      <w:r w:rsidR="0034798C" w:rsidRPr="00B4708B">
        <w:rPr>
          <w:rFonts w:ascii="Times New Roman" w:eastAsia="Songti SC Regular" w:hAnsi="Times New Roman" w:cs="Times New Roman"/>
          <w:color w:val="131413"/>
          <w:sz w:val="22"/>
        </w:rPr>
        <w:t xml:space="preserve"> determined by </w:t>
      </w:r>
      <w:proofErr w:type="spellStart"/>
      <w:r>
        <w:rPr>
          <w:rFonts w:ascii="Times New Roman" w:eastAsia="Songti SC Regular" w:hAnsi="Times New Roman" w:cs="Times New Roman"/>
          <w:color w:val="131413"/>
          <w:sz w:val="22"/>
        </w:rPr>
        <w:t>ddPCR</w:t>
      </w:r>
      <w:proofErr w:type="spellEnd"/>
      <w:r w:rsidR="0034798C" w:rsidRPr="00B4708B">
        <w:rPr>
          <w:rFonts w:ascii="Times New Roman" w:eastAsia="Songti SC Regular" w:hAnsi="Times New Roman" w:cs="Times New Roman"/>
          <w:color w:val="131413"/>
          <w:sz w:val="22"/>
        </w:rPr>
        <w:t xml:space="preserve"> before </w:t>
      </w:r>
      <w:r w:rsidR="0034798C">
        <w:rPr>
          <w:rFonts w:ascii="Times New Roman" w:eastAsia="Songti SC Regular" w:hAnsi="Times New Roman" w:cs="Times New Roman"/>
          <w:color w:val="131413"/>
          <w:sz w:val="22"/>
        </w:rPr>
        <w:t>and after infusion of CAR T cells</w:t>
      </w:r>
      <w:r w:rsidR="0034798C" w:rsidRPr="00B4708B">
        <w:rPr>
          <w:rFonts w:ascii="Times New Roman" w:eastAsia="Songti SC Regular" w:hAnsi="Times New Roman" w:cs="Times New Roman"/>
          <w:color w:val="131413"/>
          <w:sz w:val="22"/>
        </w:rPr>
        <w:t xml:space="preserve">. </w:t>
      </w:r>
      <w:r>
        <w:rPr>
          <w:rFonts w:ascii="Times New Roman" w:hAnsi="Times New Roman"/>
          <w:sz w:val="22"/>
        </w:rPr>
        <w:t>T</w:t>
      </w:r>
      <w:r w:rsidR="0034798C">
        <w:rPr>
          <w:rFonts w:ascii="Times New Roman" w:hAnsi="Times New Roman"/>
          <w:sz w:val="22"/>
        </w:rPr>
        <w:t>he sequences of the primers</w:t>
      </w:r>
      <w:r>
        <w:rPr>
          <w:rFonts w:ascii="Times New Roman" w:hAnsi="Times New Roman"/>
          <w:sz w:val="22"/>
        </w:rPr>
        <w:t xml:space="preserve"> and probes</w:t>
      </w:r>
      <w:r w:rsidR="0034798C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were</w:t>
      </w:r>
      <w:r w:rsidR="0034798C" w:rsidRPr="003D0840">
        <w:rPr>
          <w:rFonts w:ascii="Times New Roman" w:hAnsi="Times New Roman"/>
          <w:sz w:val="22"/>
        </w:rPr>
        <w:t xml:space="preserve"> </w:t>
      </w:r>
      <w:r w:rsidR="0034798C">
        <w:rPr>
          <w:rFonts w:ascii="Times New Roman" w:hAnsi="Times New Roman" w:hint="eastAsia"/>
          <w:sz w:val="22"/>
        </w:rPr>
        <w:t>list</w:t>
      </w:r>
      <w:r w:rsidR="0034798C" w:rsidRPr="003D0840">
        <w:rPr>
          <w:rFonts w:ascii="Times New Roman" w:hAnsi="Times New Roman" w:hint="eastAsia"/>
          <w:sz w:val="22"/>
        </w:rPr>
        <w:t xml:space="preserve">ed </w:t>
      </w:r>
      <w:r w:rsidR="0034798C">
        <w:rPr>
          <w:rFonts w:ascii="Times New Roman" w:hAnsi="Times New Roman"/>
          <w:sz w:val="22"/>
        </w:rPr>
        <w:t>in supplementary table 1</w:t>
      </w:r>
      <w:r w:rsidR="0034798C" w:rsidRPr="003D0840">
        <w:rPr>
          <w:rFonts w:ascii="Times New Roman" w:hAnsi="Times New Roman" w:hint="eastAsia"/>
          <w:sz w:val="22"/>
        </w:rPr>
        <w:t>.</w:t>
      </w:r>
      <w:r w:rsidR="0034798C">
        <w:rPr>
          <w:rFonts w:ascii="Times New Roman" w:hAnsi="Times New Roman"/>
          <w:sz w:val="22"/>
        </w:rPr>
        <w:t xml:space="preserve"> </w:t>
      </w:r>
    </w:p>
    <w:p w:rsidR="00CD7D89" w:rsidRPr="003C3B2D" w:rsidRDefault="00CD7D89" w:rsidP="00CD7D89">
      <w:pPr>
        <w:autoSpaceDE w:val="0"/>
        <w:autoSpaceDN w:val="0"/>
        <w:adjustRightInd w:val="0"/>
        <w:spacing w:line="360" w:lineRule="auto"/>
        <w:rPr>
          <w:rFonts w:ascii="Times New Roman" w:eastAsia="Songti SC Regular" w:hAnsi="Times New Roman" w:cs="Times New Roman"/>
          <w:color w:val="131413"/>
          <w:sz w:val="22"/>
        </w:rPr>
      </w:pPr>
    </w:p>
    <w:p w:rsidR="0034798C" w:rsidRDefault="0034798C" w:rsidP="003C3B2D">
      <w:pPr>
        <w:spacing w:line="360" w:lineRule="auto"/>
        <w:jc w:val="center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Supplementary table 1.</w:t>
      </w:r>
      <w:proofErr w:type="gramEnd"/>
      <w:r>
        <w:rPr>
          <w:rFonts w:ascii="Times New Roman" w:hAnsi="Times New Roman"/>
          <w:sz w:val="22"/>
        </w:rPr>
        <w:t xml:space="preserve">    Sequences of primers used in</w:t>
      </w:r>
      <w:r w:rsidRPr="005A48D5"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 w:hint="eastAsia"/>
          <w:sz w:val="22"/>
        </w:rPr>
        <w:t>dd</w:t>
      </w:r>
      <w:r w:rsidRPr="005A48D5">
        <w:rPr>
          <w:rFonts w:ascii="Times New Roman" w:hAnsi="Times New Roman"/>
          <w:sz w:val="22"/>
        </w:rPr>
        <w:t>PCR</w:t>
      </w:r>
      <w:proofErr w:type="spellEnd"/>
    </w:p>
    <w:tbl>
      <w:tblPr>
        <w:tblW w:w="864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16"/>
        <w:gridCol w:w="5324"/>
      </w:tblGrid>
      <w:tr w:rsidR="0034798C" w:rsidRPr="000A5364" w:rsidTr="00254C82">
        <w:trPr>
          <w:trHeight w:hRule="exact" w:val="567"/>
        </w:trPr>
        <w:tc>
          <w:tcPr>
            <w:tcW w:w="3316" w:type="dxa"/>
            <w:shd w:val="clear" w:color="auto" w:fill="auto"/>
            <w:noWrap/>
            <w:vAlign w:val="center"/>
            <w:hideMark/>
          </w:tcPr>
          <w:p w:rsidR="0034798C" w:rsidRPr="000A5364" w:rsidRDefault="0034798C" w:rsidP="00CD7D89">
            <w:pPr>
              <w:widowControl/>
              <w:spacing w:line="360" w:lineRule="auto"/>
              <w:jc w:val="righ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CAR22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</w:t>
            </w:r>
            <w:r w:rsidRPr="000A5364">
              <w:rPr>
                <w:rFonts w:ascii="Times New Roman" w:hAnsi="Times New Roman"/>
                <w:kern w:val="0"/>
                <w:sz w:val="22"/>
              </w:rPr>
              <w:t>Forward</w:t>
            </w:r>
          </w:p>
        </w:tc>
        <w:tc>
          <w:tcPr>
            <w:tcW w:w="5324" w:type="dxa"/>
            <w:shd w:val="clear" w:color="000000" w:fill="FFFFFF"/>
            <w:vAlign w:val="center"/>
            <w:hideMark/>
          </w:tcPr>
          <w:p w:rsidR="0034798C" w:rsidRPr="000A5364" w:rsidRDefault="0034798C" w:rsidP="00CD7D8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0F661D">
              <w:rPr>
                <w:rFonts w:ascii="Times New Roman" w:hAnsi="Times New Roman"/>
                <w:kern w:val="0"/>
                <w:sz w:val="22"/>
              </w:rPr>
              <w:t>CTGCCGCGCCAGTCA</w:t>
            </w:r>
          </w:p>
        </w:tc>
      </w:tr>
      <w:tr w:rsidR="0034798C" w:rsidRPr="000A5364" w:rsidTr="00254C82">
        <w:trPr>
          <w:trHeight w:hRule="exact" w:val="567"/>
        </w:trPr>
        <w:tc>
          <w:tcPr>
            <w:tcW w:w="3316" w:type="dxa"/>
            <w:shd w:val="clear" w:color="auto" w:fill="auto"/>
            <w:noWrap/>
            <w:vAlign w:val="center"/>
            <w:hideMark/>
          </w:tcPr>
          <w:p w:rsidR="0034798C" w:rsidRPr="000A5364" w:rsidRDefault="0034798C" w:rsidP="00CD7D89">
            <w:pPr>
              <w:widowControl/>
              <w:spacing w:line="360" w:lineRule="auto"/>
              <w:jc w:val="right"/>
              <w:rPr>
                <w:rFonts w:ascii="Times New Roman" w:hAnsi="Times New Roman"/>
                <w:kern w:val="0"/>
                <w:sz w:val="22"/>
              </w:rPr>
            </w:pPr>
            <w:r w:rsidRPr="000A5364">
              <w:rPr>
                <w:rFonts w:ascii="Times New Roman" w:hAnsi="Times New Roman"/>
                <w:kern w:val="0"/>
                <w:sz w:val="22"/>
              </w:rPr>
              <w:t>Reverse</w:t>
            </w:r>
          </w:p>
        </w:tc>
        <w:tc>
          <w:tcPr>
            <w:tcW w:w="5324" w:type="dxa"/>
            <w:shd w:val="clear" w:color="auto" w:fill="auto"/>
            <w:noWrap/>
            <w:vAlign w:val="center"/>
            <w:hideMark/>
          </w:tcPr>
          <w:p w:rsidR="0034798C" w:rsidRDefault="0034798C" w:rsidP="00CD7D8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0F661D">
              <w:rPr>
                <w:rFonts w:ascii="Times New Roman" w:hAnsi="Times New Roman"/>
                <w:kern w:val="0"/>
                <w:sz w:val="22"/>
              </w:rPr>
              <w:t>CGGGCCGTTGCTGGTA</w:t>
            </w:r>
          </w:p>
          <w:p w:rsidR="0034798C" w:rsidRPr="000A5364" w:rsidRDefault="0034798C" w:rsidP="00CD7D8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34798C" w:rsidRPr="000A5364" w:rsidTr="00254C82">
        <w:trPr>
          <w:trHeight w:hRule="exact" w:val="567"/>
        </w:trPr>
        <w:tc>
          <w:tcPr>
            <w:tcW w:w="3316" w:type="dxa"/>
            <w:shd w:val="clear" w:color="auto" w:fill="auto"/>
            <w:noWrap/>
            <w:vAlign w:val="center"/>
            <w:hideMark/>
          </w:tcPr>
          <w:p w:rsidR="0034798C" w:rsidRPr="000A5364" w:rsidRDefault="0034798C" w:rsidP="00CD7D89">
            <w:pPr>
              <w:widowControl/>
              <w:spacing w:line="360" w:lineRule="auto"/>
              <w:jc w:val="righ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Probe</w:t>
            </w:r>
          </w:p>
        </w:tc>
        <w:tc>
          <w:tcPr>
            <w:tcW w:w="5324" w:type="dxa"/>
            <w:shd w:val="clear" w:color="000000" w:fill="FFFFFF"/>
            <w:vAlign w:val="center"/>
            <w:hideMark/>
          </w:tcPr>
          <w:p w:rsidR="0034798C" w:rsidRPr="000A5364" w:rsidRDefault="0034798C" w:rsidP="00CD7D8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0F661D">
              <w:rPr>
                <w:rFonts w:ascii="Times New Roman" w:hAnsi="Times New Roman"/>
                <w:kern w:val="0"/>
                <w:sz w:val="22"/>
              </w:rPr>
              <w:t>ACCATCTGGTCTTATCTG</w:t>
            </w:r>
          </w:p>
        </w:tc>
      </w:tr>
      <w:tr w:rsidR="0034798C" w:rsidRPr="000A5364" w:rsidTr="00254C82">
        <w:trPr>
          <w:trHeight w:hRule="exact" w:val="567"/>
        </w:trPr>
        <w:tc>
          <w:tcPr>
            <w:tcW w:w="3316" w:type="dxa"/>
            <w:shd w:val="clear" w:color="auto" w:fill="auto"/>
            <w:noWrap/>
            <w:vAlign w:val="center"/>
            <w:hideMark/>
          </w:tcPr>
          <w:p w:rsidR="0034798C" w:rsidRPr="000A5364" w:rsidRDefault="0034798C" w:rsidP="00CD7D89">
            <w:pPr>
              <w:widowControl/>
              <w:spacing w:line="360" w:lineRule="auto"/>
              <w:jc w:val="righ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CAR19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 w:val="22"/>
              </w:rPr>
              <w:t>Forward</w:t>
            </w:r>
          </w:p>
        </w:tc>
        <w:tc>
          <w:tcPr>
            <w:tcW w:w="5324" w:type="dxa"/>
            <w:shd w:val="clear" w:color="000000" w:fill="FFFFFF"/>
            <w:vAlign w:val="center"/>
            <w:hideMark/>
          </w:tcPr>
          <w:p w:rsidR="0034798C" w:rsidRPr="000A5364" w:rsidRDefault="0034798C" w:rsidP="00CD7D8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0F661D">
              <w:rPr>
                <w:rFonts w:ascii="Times New Roman" w:hAnsi="Times New Roman"/>
                <w:kern w:val="0"/>
                <w:sz w:val="22"/>
              </w:rPr>
              <w:t>CCGGCTGACCATCATCAAG</w:t>
            </w:r>
          </w:p>
        </w:tc>
      </w:tr>
      <w:tr w:rsidR="0034798C" w:rsidRPr="000A5364" w:rsidTr="00254C82">
        <w:trPr>
          <w:trHeight w:hRule="exact" w:val="567"/>
        </w:trPr>
        <w:tc>
          <w:tcPr>
            <w:tcW w:w="3316" w:type="dxa"/>
            <w:shd w:val="clear" w:color="auto" w:fill="auto"/>
            <w:noWrap/>
            <w:vAlign w:val="center"/>
            <w:hideMark/>
          </w:tcPr>
          <w:p w:rsidR="0034798C" w:rsidRPr="000A5364" w:rsidRDefault="0034798C" w:rsidP="00CD7D89">
            <w:pPr>
              <w:widowControl/>
              <w:spacing w:line="360" w:lineRule="auto"/>
              <w:jc w:val="righ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Reverse</w:t>
            </w:r>
          </w:p>
        </w:tc>
        <w:tc>
          <w:tcPr>
            <w:tcW w:w="5324" w:type="dxa"/>
            <w:shd w:val="clear" w:color="000000" w:fill="FFFFFF"/>
            <w:vAlign w:val="center"/>
            <w:hideMark/>
          </w:tcPr>
          <w:p w:rsidR="0034798C" w:rsidRPr="000A5364" w:rsidRDefault="0034798C" w:rsidP="00CD7D89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F661D">
              <w:rPr>
                <w:rFonts w:ascii="Times New Roman" w:hAnsi="Times New Roman"/>
                <w:color w:val="000000"/>
                <w:kern w:val="0"/>
                <w:sz w:val="22"/>
              </w:rPr>
              <w:t>GGTCTGCAGGCTGTTCATCTT</w:t>
            </w:r>
          </w:p>
        </w:tc>
      </w:tr>
      <w:tr w:rsidR="0034798C" w:rsidRPr="000A5364" w:rsidTr="00254C82">
        <w:trPr>
          <w:trHeight w:hRule="exact" w:val="567"/>
        </w:trPr>
        <w:tc>
          <w:tcPr>
            <w:tcW w:w="3316" w:type="dxa"/>
            <w:shd w:val="clear" w:color="auto" w:fill="auto"/>
            <w:noWrap/>
            <w:vAlign w:val="center"/>
            <w:hideMark/>
          </w:tcPr>
          <w:p w:rsidR="0034798C" w:rsidRPr="000A5364" w:rsidRDefault="0034798C" w:rsidP="00CD7D89">
            <w:pPr>
              <w:widowControl/>
              <w:spacing w:line="360" w:lineRule="auto"/>
              <w:jc w:val="righ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Probe</w:t>
            </w:r>
          </w:p>
        </w:tc>
        <w:tc>
          <w:tcPr>
            <w:tcW w:w="5324" w:type="dxa"/>
            <w:shd w:val="clear" w:color="000000" w:fill="FFFFFF"/>
            <w:vAlign w:val="center"/>
            <w:hideMark/>
          </w:tcPr>
          <w:p w:rsidR="0034798C" w:rsidRPr="000A5364" w:rsidRDefault="0034798C" w:rsidP="00CD7D89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F661D">
              <w:rPr>
                <w:rFonts w:ascii="Times New Roman" w:hAnsi="Times New Roman"/>
                <w:color w:val="000000"/>
                <w:kern w:val="0"/>
                <w:sz w:val="22"/>
              </w:rPr>
              <w:t>CAACAGCAAGAGCCAGG</w:t>
            </w:r>
          </w:p>
        </w:tc>
      </w:tr>
    </w:tbl>
    <w:p w:rsidR="0034798C" w:rsidRPr="000F661D" w:rsidRDefault="0034798C" w:rsidP="00CD7D89">
      <w:pPr>
        <w:autoSpaceDE w:val="0"/>
        <w:autoSpaceDN w:val="0"/>
        <w:adjustRightInd w:val="0"/>
        <w:spacing w:line="360" w:lineRule="auto"/>
        <w:rPr>
          <w:rFonts w:ascii="Times New Roman" w:eastAsia="Songti SC Regular" w:hAnsi="Times New Roman" w:cs="Times New Roman"/>
          <w:color w:val="131413"/>
          <w:sz w:val="22"/>
        </w:rPr>
      </w:pPr>
    </w:p>
    <w:sectPr w:rsidR="0034798C" w:rsidRPr="000F6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9C0" w:rsidRDefault="00BC39C0" w:rsidP="002D3D7C">
      <w:r>
        <w:separator/>
      </w:r>
    </w:p>
  </w:endnote>
  <w:endnote w:type="continuationSeparator" w:id="0">
    <w:p w:rsidR="00BC39C0" w:rsidRDefault="00BC39C0" w:rsidP="002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qfjlAdvTT86d47313">
    <w:altName w:val="Cambria"/>
    <w:panose1 w:val="00000000000000000000"/>
    <w:charset w:val="00"/>
    <w:family w:val="roman"/>
    <w:notTrueType/>
    <w:pitch w:val="default"/>
    <w:sig w:usb0="00000001" w:usb1="080E0000" w:usb2="00000010" w:usb3="00000000" w:csb0="00040000" w:csb1="00000000"/>
  </w:font>
  <w:font w:name="Songti SC Regular">
    <w:altName w:val="Calibri"/>
    <w:charset w:val="50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9C0" w:rsidRDefault="00BC39C0" w:rsidP="002D3D7C">
      <w:r>
        <w:separator/>
      </w:r>
    </w:p>
  </w:footnote>
  <w:footnote w:type="continuationSeparator" w:id="0">
    <w:p w:rsidR="00BC39C0" w:rsidRDefault="00BC39C0" w:rsidP="002D3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AB"/>
    <w:rsid w:val="00027FD8"/>
    <w:rsid w:val="000D527C"/>
    <w:rsid w:val="00176AF9"/>
    <w:rsid w:val="001839A6"/>
    <w:rsid w:val="001E2167"/>
    <w:rsid w:val="00254C82"/>
    <w:rsid w:val="002A41F1"/>
    <w:rsid w:val="002D3D7C"/>
    <w:rsid w:val="0034798C"/>
    <w:rsid w:val="003614CD"/>
    <w:rsid w:val="00377586"/>
    <w:rsid w:val="003C3B2D"/>
    <w:rsid w:val="003E3B78"/>
    <w:rsid w:val="00446EC1"/>
    <w:rsid w:val="00501F95"/>
    <w:rsid w:val="00562A1A"/>
    <w:rsid w:val="00574ABC"/>
    <w:rsid w:val="00580B9A"/>
    <w:rsid w:val="006458E2"/>
    <w:rsid w:val="006851AB"/>
    <w:rsid w:val="00691E70"/>
    <w:rsid w:val="006B0971"/>
    <w:rsid w:val="006F119C"/>
    <w:rsid w:val="007050D1"/>
    <w:rsid w:val="00756612"/>
    <w:rsid w:val="00790DD7"/>
    <w:rsid w:val="00837D7E"/>
    <w:rsid w:val="00857F92"/>
    <w:rsid w:val="00864D8A"/>
    <w:rsid w:val="0094131C"/>
    <w:rsid w:val="00A63DDE"/>
    <w:rsid w:val="00A64B6B"/>
    <w:rsid w:val="00A7634E"/>
    <w:rsid w:val="00B46670"/>
    <w:rsid w:val="00BC39C0"/>
    <w:rsid w:val="00BD5E7B"/>
    <w:rsid w:val="00BE753C"/>
    <w:rsid w:val="00C43371"/>
    <w:rsid w:val="00CD7D89"/>
    <w:rsid w:val="00D16352"/>
    <w:rsid w:val="00DC3181"/>
    <w:rsid w:val="00DD71E7"/>
    <w:rsid w:val="00DF27F2"/>
    <w:rsid w:val="00E33018"/>
    <w:rsid w:val="00E56317"/>
    <w:rsid w:val="00EB79CE"/>
    <w:rsid w:val="00ED1373"/>
    <w:rsid w:val="00F13090"/>
    <w:rsid w:val="00FE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3C3B2D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3D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D7C"/>
    <w:rPr>
      <w:sz w:val="18"/>
      <w:szCs w:val="18"/>
    </w:rPr>
  </w:style>
  <w:style w:type="character" w:customStyle="1" w:styleId="fontstyle01">
    <w:name w:val="fontstyle01"/>
    <w:basedOn w:val="a0"/>
    <w:rsid w:val="006F119C"/>
    <w:rPr>
      <w:rFonts w:ascii="SsqfjlAdvTT86d47313" w:hAnsi="SsqfjlAdvTT86d47313" w:hint="default"/>
      <w:b w:val="0"/>
      <w:bCs w:val="0"/>
      <w:i w:val="0"/>
      <w:iCs w:val="0"/>
      <w:color w:val="131413"/>
      <w:sz w:val="20"/>
      <w:szCs w:val="20"/>
    </w:rPr>
  </w:style>
  <w:style w:type="character" w:styleId="a5">
    <w:name w:val="Hyperlink"/>
    <w:basedOn w:val="a0"/>
    <w:uiPriority w:val="99"/>
    <w:unhideWhenUsed/>
    <w:rsid w:val="001839A6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1E21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3C3B2D"/>
    <w:rPr>
      <w:rFonts w:ascii="宋体" w:eastAsia="宋体" w:hAnsi="宋体" w:cs="宋体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3C3B2D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3D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D7C"/>
    <w:rPr>
      <w:sz w:val="18"/>
      <w:szCs w:val="18"/>
    </w:rPr>
  </w:style>
  <w:style w:type="character" w:customStyle="1" w:styleId="fontstyle01">
    <w:name w:val="fontstyle01"/>
    <w:basedOn w:val="a0"/>
    <w:rsid w:val="006F119C"/>
    <w:rPr>
      <w:rFonts w:ascii="SsqfjlAdvTT86d47313" w:hAnsi="SsqfjlAdvTT86d47313" w:hint="default"/>
      <w:b w:val="0"/>
      <w:bCs w:val="0"/>
      <w:i w:val="0"/>
      <w:iCs w:val="0"/>
      <w:color w:val="131413"/>
      <w:sz w:val="20"/>
      <w:szCs w:val="20"/>
    </w:rPr>
  </w:style>
  <w:style w:type="character" w:styleId="a5">
    <w:name w:val="Hyperlink"/>
    <w:basedOn w:val="a0"/>
    <w:uiPriority w:val="99"/>
    <w:unhideWhenUsed/>
    <w:rsid w:val="001839A6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1E21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3C3B2D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DELL</cp:lastModifiedBy>
  <cp:revision>50</cp:revision>
  <dcterms:created xsi:type="dcterms:W3CDTF">2019-11-22T07:29:00Z</dcterms:created>
  <dcterms:modified xsi:type="dcterms:W3CDTF">2021-08-23T03:11:00Z</dcterms:modified>
</cp:coreProperties>
</file>