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rPr>
          <w:rFonts w:hint="default" w:ascii="Arial" w:hAnsi="Arial" w:cs="Arial"/>
          <w:b w:val="0"/>
        </w:rPr>
      </w:pPr>
      <w:r>
        <w:rPr>
          <w:rFonts w:hint="default" w:ascii="Arial" w:hAnsi="Arial" w:cs="Arial"/>
        </w:rPr>
        <w:t>Supplementary Material</w:t>
      </w:r>
    </w:p>
    <w:p>
      <w:pPr>
        <w:pStyle w:val="2"/>
        <w:rPr>
          <w:rFonts w:hint="default" w:ascii="Arial" w:hAnsi="Arial" w:cs="Arial"/>
        </w:rPr>
      </w:pPr>
      <w:r>
        <w:rPr>
          <w:rFonts w:hint="default" w:ascii="Arial" w:hAnsi="Arial" w:cs="Arial"/>
        </w:rPr>
        <w:t>Supplement Figures and Tables</w:t>
      </w:r>
    </w:p>
    <w:p>
      <w:pPr>
        <w:pStyle w:val="4"/>
        <w:rPr>
          <w:rFonts w:hint="default" w:ascii="Arial" w:hAnsi="Arial" w:eastAsia="仿宋" w:cs="Arial"/>
          <w:color w:val="000000"/>
          <w:kern w:val="0"/>
          <w:sz w:val="24"/>
          <w:highlight w:val="none"/>
          <w:lang w:val="en-US" w:eastAsia="zh-CN" w:bidi="ar"/>
        </w:rPr>
      </w:pPr>
      <w:r>
        <w:rPr>
          <w:rFonts w:hint="default" w:ascii="Arial" w:hAnsi="Arial" w:cs="Arial"/>
        </w:rPr>
        <w:t>Supplement Figures</w:t>
      </w:r>
    </w:p>
    <w:p>
      <w:pPr>
        <w:jc w:val="left"/>
        <w:rPr>
          <w:rFonts w:hint="default" w:ascii="Arial" w:hAnsi="Arial" w:eastAsia="仿宋" w:cs="Arial"/>
          <w:color w:val="000000"/>
          <w:kern w:val="0"/>
          <w:sz w:val="20"/>
          <w:szCs w:val="20"/>
          <w:lang w:val="en-US" w:eastAsia="zh-CN" w:bidi="ar"/>
        </w:rPr>
      </w:pPr>
      <w:r>
        <w:rPr>
          <w:rFonts w:hint="default" w:ascii="Arial" w:hAnsi="Arial" w:cs="Arial"/>
          <w:b/>
          <w:sz w:val="20"/>
          <w:szCs w:val="20"/>
        </w:rPr>
        <w:t>Supplemen</w:t>
      </w:r>
      <w:r>
        <w:rPr>
          <w:rFonts w:hint="eastAsia" w:ascii="Arial" w:hAnsi="Arial" w:eastAsia="宋体" w:cs="Arial"/>
          <w:b/>
          <w:sz w:val="20"/>
          <w:szCs w:val="20"/>
          <w:lang w:val="en-US" w:eastAsia="zh-CN"/>
        </w:rPr>
        <w:t>t</w:t>
      </w:r>
      <w:r>
        <w:rPr>
          <w:rFonts w:hint="default" w:ascii="Arial" w:hAnsi="Arial" w:cs="Arial"/>
          <w:b/>
          <w:sz w:val="20"/>
          <w:szCs w:val="20"/>
        </w:rPr>
        <w:t xml:space="preserve"> Figure </w:t>
      </w:r>
      <w:r>
        <w:rPr>
          <w:rFonts w:hint="default" w:ascii="Arial" w:hAnsi="Arial" w:cs="Arial"/>
          <w:b/>
          <w:sz w:val="20"/>
          <w:szCs w:val="20"/>
        </w:rPr>
        <w:fldChar w:fldCharType="begin"/>
      </w:r>
      <w:r>
        <w:rPr>
          <w:rFonts w:hint="default" w:ascii="Arial" w:hAnsi="Arial" w:cs="Arial"/>
          <w:b/>
          <w:sz w:val="20"/>
          <w:szCs w:val="20"/>
        </w:rPr>
        <w:instrText xml:space="preserve"> SEQ Figure \* ARABIC </w:instrText>
      </w:r>
      <w:r>
        <w:rPr>
          <w:rFonts w:hint="default" w:ascii="Arial" w:hAnsi="Arial" w:cs="Arial"/>
          <w:b/>
          <w:sz w:val="20"/>
          <w:szCs w:val="20"/>
        </w:rPr>
        <w:fldChar w:fldCharType="separate"/>
      </w:r>
      <w:r>
        <w:rPr>
          <w:rFonts w:hint="default" w:ascii="Arial" w:hAnsi="Arial" w:cs="Arial"/>
          <w:b/>
          <w:sz w:val="20"/>
          <w:szCs w:val="20"/>
        </w:rPr>
        <w:t>1</w:t>
      </w:r>
      <w:r>
        <w:rPr>
          <w:rFonts w:hint="default" w:ascii="Arial" w:hAnsi="Arial" w:cs="Arial"/>
          <w:b/>
          <w:sz w:val="20"/>
          <w:szCs w:val="20"/>
        </w:rPr>
        <w:fldChar w:fldCharType="end"/>
      </w:r>
      <w:r>
        <w:rPr>
          <w:rFonts w:hint="default" w:ascii="Arial" w:hAnsi="Arial" w:cs="Arial"/>
          <w:b/>
          <w:sz w:val="20"/>
          <w:szCs w:val="20"/>
        </w:rPr>
        <w:t>.</w:t>
      </w:r>
      <w:r>
        <w:rPr>
          <w:rFonts w:hint="default" w:ascii="Arial" w:hAnsi="Arial" w:cs="Arial"/>
          <w:sz w:val="20"/>
          <w:szCs w:val="20"/>
        </w:rPr>
        <w:t xml:space="preserve"> 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lang w:val="en-US" w:eastAsia="zh-CN" w:bidi="ar"/>
        </w:rPr>
        <w:t>Identification of chemical components of GCXX. (A) T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lang w:bidi="ar"/>
        </w:rPr>
        <w:t>otal ion chromatogram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lang w:val="en-US" w:eastAsia="zh-CN" w:bidi="ar"/>
        </w:rPr>
        <w:t xml:space="preserve"> (TIC)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lang w:bidi="ar"/>
        </w:rPr>
        <w:t xml:space="preserve"> 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lang w:val="en-US" w:eastAsia="zh-CN" w:bidi="ar"/>
        </w:rPr>
        <w:t>in positive (left) and negative (right) ion mode of QC for GCXX samples</w:t>
      </w:r>
      <w:r>
        <w:rPr>
          <w:rFonts w:hint="eastAsia" w:ascii="Arial" w:hAnsi="Arial" w:eastAsia="仿宋" w:cs="Arial"/>
          <w:color w:val="000000"/>
          <w:kern w:val="0"/>
          <w:sz w:val="20"/>
          <w:szCs w:val="20"/>
          <w:lang w:val="en-US" w:eastAsia="zh-CN" w:bidi="ar"/>
        </w:rPr>
        <w:t>1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lang w:val="en-US" w:eastAsia="zh-CN" w:bidi="ar"/>
        </w:rPr>
        <w:t>; (B) T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lang w:bidi="ar"/>
        </w:rPr>
        <w:t>otal ion chromatogram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lang w:val="en-US" w:eastAsia="zh-CN" w:bidi="ar"/>
        </w:rPr>
        <w:t xml:space="preserve"> (TIC)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lang w:bidi="ar"/>
        </w:rPr>
        <w:t xml:space="preserve"> 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lang w:val="en-US" w:eastAsia="zh-CN" w:bidi="ar"/>
        </w:rPr>
        <w:t>in positive (left) and negative (right) ion mode of GCXX Sample 2; (c) T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lang w:bidi="ar"/>
        </w:rPr>
        <w:t>otal ion chromatogram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lang w:val="en-US" w:eastAsia="zh-CN" w:bidi="ar"/>
        </w:rPr>
        <w:t xml:space="preserve"> (TIC)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lang w:bidi="ar"/>
        </w:rPr>
        <w:t xml:space="preserve"> 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lang w:val="en-US" w:eastAsia="zh-CN" w:bidi="ar"/>
        </w:rPr>
        <w:t>in positive (left) and negative (right) ion mode of GCXX Sample 3.</w:t>
      </w:r>
    </w:p>
    <w:p>
      <w:pPr>
        <w:jc w:val="left"/>
        <w:rPr>
          <w:rFonts w:hint="default" w:ascii="Arial" w:hAnsi="Arial" w:eastAsia="仿宋" w:cs="Arial"/>
          <w:color w:val="000000"/>
          <w:kern w:val="0"/>
          <w:sz w:val="24"/>
          <w:highlight w:val="none"/>
          <w:lang w:val="en-US" w:eastAsia="zh-CN" w:bidi="ar"/>
        </w:rPr>
      </w:pPr>
      <w:r>
        <w:rPr>
          <w:rFonts w:hint="default" w:ascii="Arial" w:hAnsi="Arial" w:cs="Arial"/>
          <w:b/>
          <w:sz w:val="20"/>
          <w:szCs w:val="20"/>
        </w:rPr>
        <w:t xml:space="preserve">Supplement Figure </w:t>
      </w:r>
      <w:r>
        <w:rPr>
          <w:rFonts w:hint="default" w:ascii="Arial" w:hAnsi="Arial" w:eastAsia="宋体" w:cs="Arial"/>
          <w:b/>
          <w:sz w:val="20"/>
          <w:szCs w:val="20"/>
          <w:lang w:val="en-US" w:eastAsia="zh-CN"/>
        </w:rPr>
        <w:t>2</w:t>
      </w:r>
      <w:r>
        <w:rPr>
          <w:rFonts w:hint="default" w:ascii="Arial" w:hAnsi="Arial" w:cs="Arial"/>
          <w:b/>
          <w:sz w:val="20"/>
          <w:szCs w:val="20"/>
        </w:rPr>
        <w:t>.</w:t>
      </w:r>
      <w:r>
        <w:rPr>
          <w:rFonts w:hint="default" w:ascii="Arial" w:hAnsi="Arial" w:cs="Arial"/>
          <w:sz w:val="20"/>
          <w:szCs w:val="20"/>
        </w:rPr>
        <w:t xml:space="preserve"> 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highlight w:val="none"/>
          <w:lang w:val="en-US" w:eastAsia="zh-CN" w:bidi="ar"/>
        </w:rPr>
        <w:t>The r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lang w:bidi="ar"/>
        </w:rPr>
        <w:t xml:space="preserve">arefaction curves of observed 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highlight w:val="none"/>
        </w:rPr>
        <w:t>operational taxonomic units (OTU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highlight w:val="none"/>
          <w:lang w:val="en-US" w:eastAsia="zh-CN"/>
        </w:rPr>
        <w:t>s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highlight w:val="none"/>
        </w:rPr>
        <w:t>)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highlight w:val="none"/>
          <w:lang w:val="en-US" w:eastAsia="zh-CN"/>
        </w:rPr>
        <w:t>.</w:t>
      </w:r>
    </w:p>
    <w:p>
      <w:pPr>
        <w:jc w:val="both"/>
        <w:rPr>
          <w:rFonts w:hint="default" w:ascii="Arial" w:hAnsi="Arial" w:eastAsia="仿宋" w:cs="Arial"/>
          <w:color w:val="000000"/>
          <w:kern w:val="0"/>
          <w:sz w:val="20"/>
          <w:szCs w:val="20"/>
          <w:lang w:val="en-US" w:eastAsia="zh-CN" w:bidi="ar"/>
        </w:rPr>
      </w:pPr>
      <w:r>
        <w:rPr>
          <w:rFonts w:hint="default" w:ascii="Arial" w:hAnsi="Arial" w:cs="Arial"/>
          <w:b/>
          <w:sz w:val="20"/>
          <w:szCs w:val="20"/>
        </w:rPr>
        <w:t xml:space="preserve">Supplement Figure </w:t>
      </w:r>
      <w:r>
        <w:rPr>
          <w:rFonts w:hint="default" w:ascii="Arial" w:hAnsi="Arial" w:eastAsia="宋体" w:cs="Arial"/>
          <w:b/>
          <w:sz w:val="20"/>
          <w:szCs w:val="20"/>
          <w:lang w:val="en-US" w:eastAsia="zh-CN"/>
        </w:rPr>
        <w:t>3</w:t>
      </w:r>
      <w:r>
        <w:rPr>
          <w:rFonts w:hint="default" w:ascii="Arial" w:hAnsi="Arial" w:cs="Arial"/>
          <w:b/>
          <w:sz w:val="20"/>
          <w:szCs w:val="20"/>
        </w:rPr>
        <w:t>.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highlight w:val="none"/>
          <w:lang w:val="en-US" w:eastAsia="zh-CN" w:bidi="ar"/>
        </w:rPr>
        <w:t xml:space="preserve"> (A) 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lang w:bidi="ar"/>
        </w:rPr>
        <w:t xml:space="preserve">otal ion chromatogram (TIC) 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lang w:val="en-US" w:eastAsia="zh-CN" w:bidi="ar"/>
        </w:rPr>
        <w:t>map in positive ion mode; (B) Metabolite m/z-rt distribution map in positive ion mode; (C) TIC map in negative ion mode; (D) Metabolite m/z-rt distribution map in negative ion mode.</w:t>
      </w:r>
    </w:p>
    <w:p>
      <w:pPr>
        <w:jc w:val="both"/>
        <w:rPr>
          <w:rFonts w:hint="default" w:ascii="Arial" w:hAnsi="Arial" w:eastAsia="仿宋" w:cs="Arial"/>
          <w:color w:val="000000"/>
          <w:kern w:val="0"/>
          <w:sz w:val="20"/>
          <w:szCs w:val="20"/>
          <w:highlight w:val="none"/>
          <w:lang w:val="en-US" w:eastAsia="zh-CN" w:bidi="ar"/>
        </w:rPr>
      </w:pPr>
      <w:r>
        <w:rPr>
          <w:rFonts w:hint="default" w:ascii="Arial" w:hAnsi="Arial" w:cs="Arial"/>
          <w:b/>
          <w:sz w:val="20"/>
          <w:szCs w:val="20"/>
        </w:rPr>
        <w:t xml:space="preserve">Supplement Figure </w:t>
      </w:r>
      <w:r>
        <w:rPr>
          <w:rFonts w:hint="default" w:ascii="Arial" w:hAnsi="Arial" w:eastAsia="宋体" w:cs="Arial"/>
          <w:b/>
          <w:sz w:val="20"/>
          <w:szCs w:val="20"/>
          <w:lang w:val="en-US" w:eastAsia="zh-CN"/>
        </w:rPr>
        <w:t>4</w:t>
      </w:r>
      <w:r>
        <w:rPr>
          <w:rFonts w:hint="default" w:ascii="Arial" w:hAnsi="Arial" w:cs="Arial"/>
          <w:b/>
          <w:sz w:val="20"/>
          <w:szCs w:val="20"/>
        </w:rPr>
        <w:t>.</w:t>
      </w:r>
      <w:r>
        <w:rPr>
          <w:rFonts w:hint="default" w:ascii="Arial" w:hAnsi="Arial" w:cs="Arial"/>
          <w:sz w:val="20"/>
          <w:szCs w:val="20"/>
        </w:rPr>
        <w:t xml:space="preserve"> 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highlight w:val="none"/>
          <w:lang w:val="en-US" w:eastAsia="zh-CN" w:bidi="ar"/>
        </w:rPr>
        <w:t xml:space="preserve">(A) 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lang w:val="en-US" w:eastAsia="zh-CN" w:bidi="ar"/>
        </w:rPr>
        <w:t>H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lang w:bidi="ar"/>
        </w:rPr>
        <w:t>eat map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lang w:val="en-US" w:eastAsia="zh-CN" w:bidi="ar"/>
        </w:rPr>
        <w:t xml:space="preserve"> of 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lang w:bidi="ar"/>
        </w:rPr>
        <w:t>significantly differentially abundant metabolites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lang w:val="en-US" w:eastAsia="zh-CN" w:bidi="ar"/>
        </w:rPr>
        <w:t xml:space="preserve"> between 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lang w:val="en-US" w:eastAsia="zh-CN"/>
        </w:rPr>
        <w:t xml:space="preserve">UC group and NC group; (B) 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lang w:val="en-US" w:eastAsia="zh-CN" w:bidi="ar"/>
        </w:rPr>
        <w:t>H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lang w:bidi="ar"/>
        </w:rPr>
        <w:t>eat map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lang w:val="en-US" w:eastAsia="zh-CN" w:bidi="ar"/>
        </w:rPr>
        <w:t xml:space="preserve"> of 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lang w:bidi="ar"/>
        </w:rPr>
        <w:t>significantly differentially abundant metabolites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lang w:val="en-US" w:eastAsia="zh-CN" w:bidi="ar"/>
        </w:rPr>
        <w:t xml:space="preserve"> between 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lang w:val="en-US" w:eastAsia="zh-CN"/>
        </w:rPr>
        <w:t>GCXX group and UC group.</w:t>
      </w:r>
    </w:p>
    <w:p>
      <w:pPr>
        <w:jc w:val="both"/>
        <w:rPr>
          <w:rFonts w:hint="default" w:ascii="Arial" w:hAnsi="Arial" w:eastAsia="宋体" w:cs="Arial"/>
          <w:color w:val="000000"/>
          <w:kern w:val="0"/>
          <w:sz w:val="24"/>
          <w:highlight w:val="none"/>
          <w:lang w:val="en-US" w:eastAsia="zh-CN" w:bidi="ar"/>
        </w:rPr>
      </w:pPr>
      <w:r>
        <w:rPr>
          <w:rFonts w:hint="default" w:ascii="Arial" w:hAnsi="Arial" w:cs="Arial"/>
          <w:b/>
          <w:sz w:val="20"/>
          <w:szCs w:val="20"/>
          <w:highlight w:val="none"/>
        </w:rPr>
        <w:t xml:space="preserve">Supplement Figure </w:t>
      </w:r>
      <w:r>
        <w:rPr>
          <w:rFonts w:hint="eastAsia" w:ascii="Arial" w:hAnsi="Arial" w:eastAsia="宋体" w:cs="Arial"/>
          <w:b/>
          <w:sz w:val="20"/>
          <w:szCs w:val="20"/>
          <w:highlight w:val="none"/>
          <w:lang w:val="en-US" w:eastAsia="zh-CN"/>
        </w:rPr>
        <w:t>5</w:t>
      </w:r>
      <w:r>
        <w:rPr>
          <w:rFonts w:hint="default" w:ascii="Arial" w:hAnsi="Arial" w:cs="Arial"/>
          <w:b/>
          <w:sz w:val="20"/>
          <w:szCs w:val="20"/>
          <w:highlight w:val="none"/>
        </w:rPr>
        <w:t>.</w:t>
      </w:r>
      <w:r>
        <w:rPr>
          <w:rFonts w:hint="default" w:ascii="Arial" w:hAnsi="Arial" w:cs="Arial"/>
          <w:sz w:val="20"/>
          <w:szCs w:val="20"/>
          <w:highlight w:val="none"/>
        </w:rPr>
        <w:t xml:space="preserve"> </w:t>
      </w:r>
      <w:r>
        <w:rPr>
          <w:rFonts w:hint="eastAsia" w:ascii="Arial" w:hAnsi="Arial" w:eastAsia="宋体" w:cs="Arial"/>
          <w:sz w:val="20"/>
          <w:szCs w:val="20"/>
          <w:highlight w:val="none"/>
          <w:lang w:val="en-US" w:eastAsia="zh-CN"/>
        </w:rPr>
        <w:t>(A) The QQ plot of glycine-tyrosine; (B) The QQ plot of phenylalanine-threonine; (C) The QQ plot of glutamic acid-phenylalanine; (D) The QQ plot of linoleic acid.</w:t>
      </w:r>
      <w:bookmarkStart w:id="0" w:name="_GoBack"/>
      <w:bookmarkEnd w:id="0"/>
    </w:p>
    <w:p>
      <w:pPr>
        <w:pStyle w:val="4"/>
        <w:rPr>
          <w:rFonts w:hint="default" w:ascii="Arial" w:hAnsi="Arial" w:cs="Arial"/>
        </w:rPr>
      </w:pPr>
      <w:r>
        <w:rPr>
          <w:rFonts w:hint="default" w:ascii="Arial" w:hAnsi="Arial" w:cs="Arial"/>
        </w:rPr>
        <w:t xml:space="preserve">Supplement </w:t>
      </w:r>
      <w:r>
        <w:rPr>
          <w:rFonts w:hint="default" w:ascii="Arial" w:hAnsi="Arial" w:eastAsia="宋体" w:cs="Arial"/>
          <w:lang w:val="en-US" w:eastAsia="zh-CN"/>
        </w:rPr>
        <w:t>Table</w:t>
      </w:r>
    </w:p>
    <w:p>
      <w:pPr>
        <w:jc w:val="center"/>
        <w:rPr>
          <w:rFonts w:hint="default" w:ascii="Arial" w:hAnsi="Arial" w:cs="Arial" w:eastAsiaTheme="minorEastAsia"/>
          <w:color w:val="auto"/>
          <w:sz w:val="20"/>
          <w:szCs w:val="20"/>
          <w:vertAlign w:val="baseline"/>
          <w:lang w:val="en-US" w:eastAsia="zh-CN"/>
        </w:rPr>
      </w:pPr>
      <w:r>
        <w:rPr>
          <w:rFonts w:hint="default" w:ascii="Arial" w:hAnsi="Arial" w:cs="Arial"/>
          <w:b/>
          <w:sz w:val="20"/>
          <w:szCs w:val="20"/>
        </w:rPr>
        <w:t xml:space="preserve">Supplementary </w:t>
      </w:r>
      <w:r>
        <w:rPr>
          <w:rFonts w:hint="default" w:ascii="Arial" w:hAnsi="Arial" w:eastAsia="宋体" w:cs="Arial"/>
          <w:b/>
          <w:sz w:val="20"/>
          <w:szCs w:val="20"/>
          <w:lang w:val="en-US" w:eastAsia="zh-CN"/>
        </w:rPr>
        <w:t>Table 1</w:t>
      </w:r>
      <w:r>
        <w:rPr>
          <w:rFonts w:hint="default" w:ascii="Arial" w:hAnsi="Arial" w:cs="Arial"/>
          <w:b/>
          <w:sz w:val="20"/>
          <w:szCs w:val="20"/>
        </w:rPr>
        <w:t>.</w:t>
      </w:r>
      <w:r>
        <w:rPr>
          <w:rFonts w:hint="default" w:ascii="Arial" w:hAnsi="Arial" w:eastAsia="仿宋" w:cs="Arial"/>
          <w:color w:val="000000"/>
          <w:kern w:val="0"/>
          <w:sz w:val="20"/>
          <w:szCs w:val="20"/>
          <w:highlight w:val="none"/>
          <w:lang w:val="en-US" w:eastAsia="zh-CN" w:bidi="ar"/>
        </w:rPr>
        <w:t xml:space="preserve"> </w:t>
      </w:r>
      <w:r>
        <w:rPr>
          <w:rFonts w:hint="default" w:ascii="Arial" w:hAnsi="Arial" w:cs="Arial"/>
          <w:color w:val="auto"/>
          <w:sz w:val="20"/>
          <w:szCs w:val="20"/>
          <w:vertAlign w:val="baseline"/>
          <w:lang w:val="en-US" w:eastAsia="zh-CN"/>
        </w:rPr>
        <w:t>The m</w:t>
      </w:r>
      <w:r>
        <w:rPr>
          <w:rFonts w:hint="default" w:ascii="Arial" w:hAnsi="Arial" w:cs="Arial"/>
          <w:color w:val="auto"/>
          <w:sz w:val="20"/>
          <w:szCs w:val="20"/>
          <w:vertAlign w:val="baseline"/>
        </w:rPr>
        <w:t>etabolites</w:t>
      </w:r>
      <w:r>
        <w:rPr>
          <w:rFonts w:hint="default" w:ascii="Arial" w:hAnsi="Arial" w:cs="Arial"/>
          <w:color w:val="auto"/>
          <w:sz w:val="20"/>
          <w:szCs w:val="20"/>
          <w:vertAlign w:val="baseline"/>
          <w:lang w:val="en-US" w:eastAsia="zh-CN"/>
        </w:rPr>
        <w:t xml:space="preserve"> regulated by GCXX</w:t>
      </w:r>
    </w:p>
    <w:tbl>
      <w:tblPr>
        <w:tblStyle w:val="10"/>
        <w:tblW w:w="9008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7"/>
        <w:gridCol w:w="1044"/>
        <w:gridCol w:w="948"/>
        <w:gridCol w:w="1128"/>
        <w:gridCol w:w="240"/>
        <w:gridCol w:w="996"/>
        <w:gridCol w:w="924"/>
        <w:gridCol w:w="901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827" w:type="dxa"/>
            <w:vMerge w:val="restart"/>
            <w:vAlign w:val="top"/>
          </w:tcPr>
          <w:p>
            <w:pPr>
              <w:jc w:val="center"/>
              <w:rPr>
                <w:rFonts w:hint="default" w:ascii="Arial" w:hAnsi="Arial" w:cs="Arial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  <w:vertAlign w:val="baseline"/>
              </w:rPr>
              <w:t>Metabolites</w:t>
            </w:r>
          </w:p>
        </w:tc>
        <w:tc>
          <w:tcPr>
            <w:tcW w:w="3120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Arial" w:hAnsi="Arial" w:cs="Arial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  <w:vertAlign w:val="baseline"/>
                <w:lang w:val="en-US" w:eastAsia="zh-CN"/>
              </w:rPr>
              <w:t>UC vs NC</w:t>
            </w:r>
          </w:p>
        </w:tc>
        <w:tc>
          <w:tcPr>
            <w:tcW w:w="240" w:type="dxa"/>
            <w:tcBorders>
              <w:bottom w:val="nil"/>
            </w:tcBorders>
            <w:vAlign w:val="top"/>
          </w:tcPr>
          <w:p>
            <w:pPr>
              <w:jc w:val="center"/>
              <w:rPr>
                <w:rFonts w:hint="default" w:ascii="Arial" w:hAnsi="Arial" w:cs="Arial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2821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Arial" w:hAnsi="Arial" w:cs="Arial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  <w:vertAlign w:val="baseline"/>
                <w:lang w:val="en-US" w:eastAsia="zh-CN"/>
              </w:rPr>
              <w:t>GCXX vs UC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827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Arial" w:hAnsi="Arial" w:cs="Arial"/>
                <w:color w:val="auto"/>
                <w:sz w:val="20"/>
                <w:szCs w:val="20"/>
                <w:vertAlign w:val="baseline"/>
              </w:rPr>
            </w:pPr>
          </w:p>
        </w:tc>
        <w:tc>
          <w:tcPr>
            <w:tcW w:w="1044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Arial" w:hAnsi="Arial" w:cs="Arial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  <w:vertAlign w:val="baseline"/>
              </w:rPr>
              <w:t>ratio</w:t>
            </w:r>
          </w:p>
        </w:tc>
        <w:tc>
          <w:tcPr>
            <w:tcW w:w="948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  <w:vertAlign w:val="baseline"/>
              </w:rPr>
              <w:t>p value</w:t>
            </w:r>
          </w:p>
        </w:tc>
        <w:tc>
          <w:tcPr>
            <w:tcW w:w="1128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  <w:vertAlign w:val="baseline"/>
              </w:rPr>
              <w:t>VIP</w:t>
            </w:r>
            <w:r>
              <w:rPr>
                <w:rFonts w:hint="default" w:ascii="Arial" w:hAnsi="Arial" w:cs="Arial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color w:val="auto"/>
                <w:sz w:val="20"/>
                <w:szCs w:val="20"/>
                <w:vertAlign w:val="baseline"/>
              </w:rPr>
              <w:t>score</w:t>
            </w:r>
          </w:p>
        </w:tc>
        <w:tc>
          <w:tcPr>
            <w:tcW w:w="240" w:type="dxa"/>
            <w:tcBorders>
              <w:top w:val="nil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Arial" w:hAnsi="Arial" w:cs="Arial"/>
                <w:color w:val="auto"/>
                <w:sz w:val="20"/>
                <w:szCs w:val="20"/>
                <w:vertAlign w:val="baseline"/>
              </w:rPr>
            </w:pPr>
          </w:p>
        </w:tc>
        <w:tc>
          <w:tcPr>
            <w:tcW w:w="996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  <w:vertAlign w:val="baseline"/>
              </w:rPr>
              <w:t>ratio</w:t>
            </w:r>
          </w:p>
        </w:tc>
        <w:tc>
          <w:tcPr>
            <w:tcW w:w="924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  <w:vertAlign w:val="baseline"/>
              </w:rPr>
              <w:t>p value</w:t>
            </w:r>
          </w:p>
        </w:tc>
        <w:tc>
          <w:tcPr>
            <w:tcW w:w="901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  <w:vertAlign w:val="baseline"/>
              </w:rPr>
              <w:t>VIP</w:t>
            </w:r>
            <w:r>
              <w:rPr>
                <w:rFonts w:hint="default" w:ascii="Arial" w:hAnsi="Arial" w:cs="Arial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color w:val="auto"/>
                <w:sz w:val="20"/>
                <w:szCs w:val="20"/>
                <w:vertAlign w:val="baseline"/>
              </w:rPr>
              <w:t>score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827" w:type="dxa"/>
            <w:tcBorders>
              <w:top w:val="single" w:color="auto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2,9-Dimethyl-2,9-diazatricyclo[10.2.2.25,8]octadeca-5,7,12,14,15,17-hexaene-3,10-diol, 9CI</w:t>
            </w:r>
          </w:p>
        </w:tc>
        <w:tc>
          <w:tcPr>
            <w:tcW w:w="1044" w:type="dxa"/>
            <w:tcBorders>
              <w:top w:val="single" w:color="auto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0.315</w:t>
            </w:r>
          </w:p>
        </w:tc>
        <w:tc>
          <w:tcPr>
            <w:tcW w:w="948" w:type="dxa"/>
            <w:tcBorders>
              <w:top w:val="single" w:color="auto" w:sz="4" w:space="0"/>
              <w:tl2br w:val="nil"/>
              <w:tr2bl w:val="nil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line="378" w:lineRule="atLeast"/>
              <w:jc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  <w:t>&lt;0.01</w:t>
            </w:r>
          </w:p>
        </w:tc>
        <w:tc>
          <w:tcPr>
            <w:tcW w:w="1128" w:type="dxa"/>
            <w:tcBorders>
              <w:top w:val="single" w:color="auto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1.434</w:t>
            </w:r>
          </w:p>
        </w:tc>
        <w:tc>
          <w:tcPr>
            <w:tcW w:w="240" w:type="dxa"/>
            <w:tcBorders>
              <w:top w:val="single" w:color="auto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op w:val="single" w:color="auto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8.202</w:t>
            </w:r>
          </w:p>
        </w:tc>
        <w:tc>
          <w:tcPr>
            <w:tcW w:w="924" w:type="dxa"/>
            <w:tcBorders>
              <w:top w:val="single" w:color="auto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901" w:type="dxa"/>
            <w:tcBorders>
              <w:top w:val="single" w:color="auto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2.230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4-Acetyl-2(3H)-benzoxazolone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0.071</w:t>
            </w: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3.148</w:t>
            </w: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12.469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2.777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4-Hydroxybenzoic acid 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0.166</w:t>
            </w: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2.161</w:t>
            </w: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14.359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2.937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3-(8,11,14-Pentadecatrienyl)phenol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0.344</w:t>
            </w: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1.777</w:t>
            </w: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3.196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1.719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8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N-Acetylarylamine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0.093</w:t>
            </w: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2.828</w:t>
            </w: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15.576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</w:t>
            </w: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2.929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3-Hydroxypicolinic acid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0.318</w:t>
            </w: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1.614</w:t>
            </w: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2.797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1.354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6-Hydroxynicotinic acid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0.291</w:t>
            </w: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1.787</w:t>
            </w: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2.475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1.219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1,5-Isoquinolinediol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0.092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2.979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9.787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2.627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4-Hydroxyquinoline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0.172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2.329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8.323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2.539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4,6-Dihydroxyquinoline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0.167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2.401</w:t>
            </w: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8.512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2.591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(-)-Podophyllotoxin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0.395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1.294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3.631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1.604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3-Hydroxycinnamic acid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0.269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1.697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4.196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1.702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Gly-Tyr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0.425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1.289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3.903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1.719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Phe-Thr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0.409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1.337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4.048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1.905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Glu-Phe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0.150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2.432</w:t>
            </w: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6.016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1.895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(25S)-7-Dafachronic acid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0.346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1.552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2.100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1.004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Isoliquiritigenin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0.050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2.604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107.623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3.609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Indole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0.243</w:t>
            </w: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1.907</w:t>
            </w: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7.775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2.523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Indole-3-carboxyaldehyde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0.189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2.174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6.693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2.216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5-Hydroxyindole-3-acetic acid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0.382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1.689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2.670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1.611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3-Formyl-6-hydroxyindole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0.100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2.918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9.256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2.606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1H-Indole-2,3-dione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0.126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2.516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13.180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2.799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1H-Indole-3-carboxaldehyde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0.141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2.379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8.939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2.384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Linoleoyl ethanolamide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0.295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2.028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2.391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1.245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1H-Pyrrole-2-carboxaldehyde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0.110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2.528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6.343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1.930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N,N'-Diacetylchitobiose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0.248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2.056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3.568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1.611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12a-Hydroxy-3-oxocholadienic acid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0.125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2.764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4.941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1.538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Tetrahydrocortisone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0.289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1.833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2.063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1.022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Nutriacholic acid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0.428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1.182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2.611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1.262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Lucidenic acid K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0.185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1.943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6.374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2.121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Cinobufagin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0.195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2.181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3.538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1.532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1-Methylene-5.alpha.-androstan-3.alpha.-ol-17-one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0.433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1.065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6.759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1.889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3-Oxo-4,6-choladienoic acid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0.399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</w:t>
            </w:r>
            <w:r>
              <w:rPr>
                <w:rFonts w:hint="default" w:ascii="Arial" w:hAnsi="Arial" w:cs="Arial"/>
                <w:color w:val="auto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1.055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16.132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2.555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Ubiquinone-4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0.267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1.606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7.353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2.205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Pilocarpine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0.369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1.112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10.014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2.203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400" w:firstLineChars="200"/>
              <w:jc w:val="both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D-Gluconic acid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0.317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1.637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4.127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1.842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Cucurbitacin I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0.238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1.854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5.351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2.003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Thioarginine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0.247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2.026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5.483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color w:val="auto"/>
                <w:sz w:val="20"/>
                <w:szCs w:val="20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2.137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Testosterone cypionate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0.382</w:t>
            </w: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1.358</w:t>
            </w: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2.509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1.131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Sampangine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3.814</w:t>
            </w: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line="378" w:lineRule="atLeast"/>
              <w:jc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2.170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0.350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1.609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Hydroxyphenyllactic acid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9.884</w:t>
            </w: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2.699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0.160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1.973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Phenylacetaldehyde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10.613</w:t>
            </w: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2.866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0.117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2.388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Benzaldehyde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8.967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2.619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0.143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2.138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2-Methylbenzoic acid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2.273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1.495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0.447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1.294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3-Hydroxybenzyl alcohol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34.502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3.237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0.036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2.936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3-Pyridinecarboxylic acid, 2-[(2-phenylethyl)thio]-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2.506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1.016</w:t>
            </w: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0.327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1.207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Tetrahydrofuran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4.185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2.154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0.271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1.790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5-Hydroxymethyl-4-methyluracil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3.156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1.587</w:t>
            </w: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0.300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1.565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Trimethylpyrazine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2.535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1.609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0.446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1.310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5-Hydroxymethyl-6-methyluracil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5.179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2.316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0.298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1.598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Isopropyl 3-(3,4-dihydroxyphenyl)-2-hydroxypropanoate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3.702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2.093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0.337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1.640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2,5-Dimethoxyphenol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36.300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2.966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0.011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3.503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1-Heptadecanoyl-sn-glycero-3-phosphocholine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8.432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2.239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0.142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</w:t>
            </w:r>
            <w:r>
              <w:rPr>
                <w:rFonts w:hint="default" w:ascii="Arial" w:hAnsi="Arial" w:cs="Arial"/>
                <w:color w:val="auto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1.880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Apigenin 7-sulfate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5.919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2.599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0.320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1.688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Puerarin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2.760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1.419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0.226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1.896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1-Naphthalenamine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9.499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2.226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0.065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2.736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Indoleacetaldehyde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15.859</w:t>
            </w: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3.084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0.171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1.964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Indolelactic acid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23.070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3.147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0.162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2.071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Butanal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2.124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1.154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0.437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1.106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6,10,14-Trimethyl-5,9,13-pentadecatrien-2-one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2.024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1.426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0.439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1.476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1,11-Undecanedicarboxylic acid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2.585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1.805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0.420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1.523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Avenoleic acid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3.943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1.982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0.372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1.490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Linoleic acid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2.247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1.438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0.421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1.377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9,10-Epoxyoctadecenoic acid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2.952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1.679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0.322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1.673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Ricinoleic acid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2.262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1.450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0.387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1.517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12,13-EpOME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3.118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2.000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0.390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1.555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11-Oxooctadecanoic acid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2.300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1.524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0.405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1.452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5,6-Epoxy-8Z,11Z,14Z-eicosatrienoic acid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2.216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1.372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0.352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1.641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3-Methyl-.gamma.-butyrolactone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7.847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2.160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0.107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2.187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2-Indolinone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8.904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2.430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0.195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1.727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Palmitic acid alkyne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2.405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1.456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0.389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1.519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Galaxolidone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2.364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1.462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0.495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</w:t>
            </w:r>
            <w:r>
              <w:rPr>
                <w:rFonts w:hint="default" w:ascii="Arial" w:hAnsi="Arial" w:cs="Arial"/>
                <w:color w:val="auto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1.096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27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9-Oxoprosta-10,12Z,14E-trienoic acid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4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3.273</w:t>
            </w:r>
          </w:p>
        </w:tc>
        <w:tc>
          <w:tcPr>
            <w:tcW w:w="94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&lt;0.01</w:t>
            </w:r>
          </w:p>
        </w:tc>
        <w:tc>
          <w:tcPr>
            <w:tcW w:w="1128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1.762</w:t>
            </w:r>
          </w:p>
        </w:tc>
        <w:tc>
          <w:tcPr>
            <w:tcW w:w="24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96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0.246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auto"/>
                <w:sz w:val="20"/>
                <w:szCs w:val="20"/>
              </w:rPr>
              <w:t>&lt;0.001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  <w:t>2.018</w:t>
            </w:r>
          </w:p>
        </w:tc>
      </w:tr>
    </w:tbl>
    <w:p>
      <w:pPr>
        <w:rPr>
          <w:rFonts w:hint="default" w:ascii="Arial" w:hAnsi="Arial" w:cs="Arial"/>
          <w:sz w:val="20"/>
          <w:szCs w:val="20"/>
        </w:rPr>
      </w:pPr>
    </w:p>
    <w:p>
      <w:pPr>
        <w:rPr>
          <w:rFonts w:hint="default" w:ascii="Arial" w:hAnsi="Arial" w:cs="Arial"/>
        </w:rPr>
      </w:pPr>
    </w:p>
    <w:p>
      <w:pPr>
        <w:jc w:val="center"/>
        <w:rPr>
          <w:rFonts w:hint="default" w:ascii="Arial" w:hAnsi="Arial" w:eastAsia="仿宋" w:cs="Arial"/>
          <w:color w:val="000000"/>
          <w:kern w:val="0"/>
          <w:sz w:val="24"/>
          <w:lang w:val="en-US" w:eastAsia="zh-CN" w:bidi="ar"/>
        </w:rPr>
      </w:pPr>
    </w:p>
    <w:p>
      <w:pPr>
        <w:keepNext/>
        <w:rPr>
          <w:rFonts w:hint="default" w:ascii="Arial" w:hAnsi="Arial" w:cs="Arial"/>
          <w:szCs w:val="24"/>
        </w:rPr>
      </w:pPr>
    </w:p>
    <w:p>
      <w:pPr>
        <w:spacing w:before="240"/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sectPr>
      <w:headerReference r:id="rId6" w:type="first"/>
      <w:footerReference r:id="rId7" w:type="default"/>
      <w:headerReference r:id="rId5" w:type="even"/>
      <w:footerReference r:id="rId8" w:type="even"/>
      <w:pgSz w:w="12240" w:h="15840"/>
      <w:pgMar w:top="1138" w:right="1181" w:bottom="1138" w:left="1282" w:header="720" w:footer="720" w:gutter="0"/>
      <w:cols w:space="720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b/>
        <w:sz w:val="20"/>
        <w:szCs w:val="24"/>
      </w:rPr>
    </w:pP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Text 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jc w:val="right"/>
                            <w:rPr>
                              <w:color w:val="000000" w:themeColor="text1"/>
                              <w:szCs w:val="4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000000" w:themeColor="text1"/>
                              <w:szCs w:val="4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fldChar w:fldCharType="begin"/>
                          </w:r>
                          <w:r>
                            <w:rPr>
                              <w:color w:val="000000" w:themeColor="text1"/>
                              <w:szCs w:val="4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color w:val="000000" w:themeColor="text1"/>
                              <w:szCs w:val="4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fldChar w:fldCharType="separate"/>
                          </w:r>
                          <w:r>
                            <w:rPr>
                              <w:color w:val="000000" w:themeColor="text1"/>
                              <w:szCs w:val="4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3</w:t>
                          </w:r>
                          <w:r>
                            <w:rPr>
                              <w:color w:val="000000" w:themeColor="text1"/>
                              <w:szCs w:val="4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56" o:spid="_x0000_s1026" o:spt="202" type="#_x0000_t202" style="position:absolute;left:0pt;margin-left:434.15pt;margin-top:726.5pt;height:31.15pt;width:118.8pt;mso-position-horizontal-relative:page;mso-position-vertical-relative:page;z-index:251659264;mso-width-relative:page;mso-height-relative:page;" filled="f" stroked="f" coordsize="21600,21600" o:gfxdata="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MV0Qi0gAAAAQBAAAPAAAAAAAAAAEAIAAAACIAAABkcnMvZG93bnJldi54bWxQSwEC&#10;FAAUAAAACACHTuJARAcAODMCAAB1BAAADgAAAAAAAAABACAAAAAhAQAAZHJzL2Uyb0RvYy54bWxQ&#10;SwUGAAAAAAYABgBZAQAAxgUAAAAA&#10;">
              <v:fill on="f" focussize="0,0"/>
              <v:stroke on="f" weight="0.5pt"/>
              <v:imagedata o:title=""/>
              <o:lock v:ext="edit" aspectratio="f"/>
              <v:textbox style="mso-fit-shape-to-text:t;">
                <w:txbxContent>
                  <w:p>
                    <w:pPr>
                      <w:jc w:val="right"/>
                      <w:rPr>
                        <w:color w:val="000000" w:themeColor="text1"/>
                        <w:szCs w:val="40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w:pPr>
                    <w:r>
                      <w:rPr>
                        <w:color w:val="000000" w:themeColor="text1"/>
                        <w:szCs w:val="40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w:fldChar w:fldCharType="begin"/>
                    </w:r>
                    <w:r>
                      <w:rPr>
                        <w:color w:val="000000" w:themeColor="text1"/>
                        <w:szCs w:val="40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w:instrText xml:space="preserve"> PAGE  \* Arabic  \* MERGEFORMAT </w:instrText>
                    </w:r>
                    <w:r>
                      <w:rPr>
                        <w:color w:val="000000" w:themeColor="text1"/>
                        <w:szCs w:val="40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w:fldChar w:fldCharType="separate"/>
                    </w:r>
                    <w:r>
                      <w:rPr>
                        <w:color w:val="000000" w:themeColor="text1"/>
                        <w:szCs w:val="40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w:t>3</w:t>
                    </w:r>
                    <w:r>
                      <w:rPr>
                        <w:color w:val="000000" w:themeColor="text1"/>
                        <w:szCs w:val="40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color w:val="C00000"/>
        <w:szCs w:val="24"/>
      </w:rPr>
    </w:pP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jc w:val="right"/>
                            <w:rPr>
                              <w:color w:val="000000" w:themeColor="text1"/>
                              <w:szCs w:val="4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000000" w:themeColor="text1"/>
                              <w:szCs w:val="4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fldChar w:fldCharType="begin"/>
                          </w:r>
                          <w:r>
                            <w:rPr>
                              <w:color w:val="000000" w:themeColor="text1"/>
                              <w:szCs w:val="4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color w:val="000000" w:themeColor="text1"/>
                              <w:szCs w:val="4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fldChar w:fldCharType="separate"/>
                          </w:r>
                          <w:r>
                            <w:rPr>
                              <w:color w:val="000000" w:themeColor="text1"/>
                              <w:szCs w:val="4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2</w:t>
                          </w:r>
                          <w:r>
                            <w:rPr>
                              <w:color w:val="000000" w:themeColor="text1"/>
                              <w:szCs w:val="4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0pt;margin-top:0pt;height:31.15pt;width:118.8pt;mso-position-horizontal-relative:page;mso-position-vertical-relative:page;z-index:251660288;mso-width-relative:page;mso-height-relative:page;" filled="f" stroked="f" coordsize="21600,21600" o:gfxdata="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TFdEItIAAAAEAQAADwAAAAAAAAABACAAAAAiAAAAZHJzL2Rvd25yZXYueG1sUEsBAhQA&#10;FAAAAAgAh07iQFsR1fExAgAAcwQAAA4AAAAAAAAAAQAgAAAAIQ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style="mso-fit-shape-to-text:t;">
                <w:txbxContent>
                  <w:p>
                    <w:pPr>
                      <w:jc w:val="right"/>
                      <w:rPr>
                        <w:color w:val="000000" w:themeColor="text1"/>
                        <w:szCs w:val="40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w:pPr>
                    <w:r>
                      <w:rPr>
                        <w:color w:val="000000" w:themeColor="text1"/>
                        <w:szCs w:val="40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w:fldChar w:fldCharType="begin"/>
                    </w:r>
                    <w:r>
                      <w:rPr>
                        <w:color w:val="000000" w:themeColor="text1"/>
                        <w:szCs w:val="40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w:instrText xml:space="preserve"> PAGE  \* Arabic  \* MERGEFORMAT </w:instrText>
                    </w:r>
                    <w:r>
                      <w:rPr>
                        <w:color w:val="000000" w:themeColor="text1"/>
                        <w:szCs w:val="40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w:fldChar w:fldCharType="separate"/>
                    </w:r>
                    <w:r>
                      <w:rPr>
                        <w:color w:val="000000" w:themeColor="text1"/>
                        <w:szCs w:val="40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w:t>2</w:t>
                    </w:r>
                    <w:r>
                      <w:rPr>
                        <w:color w:val="000000" w:themeColor="text1"/>
                        <w:szCs w:val="40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cs="Times New Roman"/>
      </w:rPr>
    </w:pPr>
    <w:r>
      <w:rPr>
        <w:rFonts w:cs="Times New Roman"/>
      </w:rPr>
      <w:ptab w:relativeTo="margin" w:alignment="center" w:leader="none"/>
    </w:r>
    <w:r>
      <w:rPr>
        <w:rFonts w:cs="Times New Roman"/>
      </w:rPr>
      <w:ptab w:relativeTo="margin" w:alignment="right" w:leader="none"/>
    </w:r>
    <w:r>
      <w:rPr>
        <w:rFonts w:cs="Times New Roman"/>
      </w:rPr>
      <w:t>Supplementary Material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b/>
      </w:rPr>
      <w:ptab w:relativeTo="margin" w:alignment="center" w:leader="none"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0601A"/>
    <w:multiLevelType w:val="multilevel"/>
    <w:tmpl w:val="1EC0601A"/>
    <w:lvl w:ilvl="0" w:tentative="0">
      <w:start w:val="1"/>
      <w:numFmt w:val="decimal"/>
      <w:pStyle w:val="2"/>
      <w:lvlText w:val="%1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tabs>
          <w:tab w:val="left" w:pos="567"/>
        </w:tabs>
        <w:ind w:left="567" w:hanging="567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8" w:tentative="0">
      <w:start w:val="1"/>
      <w:numFmt w:val="lowerRoman"/>
      <w:lvlText w:val="%9."/>
      <w:lvlJc w:val="righ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>
    <w:nsid w:val="225305B5"/>
    <w:multiLevelType w:val="multilevel"/>
    <w:tmpl w:val="225305B5"/>
    <w:lvl w:ilvl="0" w:tentative="0">
      <w:start w:val="1"/>
      <w:numFmt w:val="bullet"/>
      <w:pStyle w:val="3"/>
      <w:lvlText w:val="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DF2C5D"/>
    <w:rsid w:val="002232C8"/>
    <w:rsid w:val="14DF2C5D"/>
    <w:rsid w:val="64940332"/>
    <w:rsid w:val="679C3964"/>
    <w:rsid w:val="6F5B200B"/>
    <w:rsid w:val="788325D6"/>
    <w:rsid w:val="7E98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2" w:semiHidden="0" w:name="heading 1"/>
    <w:lsdException w:qFormat="1" w:unhideWhenUsed="0" w:uiPriority="2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240" w:line="240" w:lineRule="auto"/>
    </w:pPr>
    <w:rPr>
      <w:rFonts w:ascii="Times New Roman" w:hAnsi="Times New Roman" w:eastAsiaTheme="minorHAnsi" w:cstheme="minorBidi"/>
      <w:sz w:val="24"/>
      <w:szCs w:val="22"/>
      <w:lang w:val="en-US" w:eastAsia="en-US" w:bidi="ar-SA"/>
    </w:rPr>
  </w:style>
  <w:style w:type="paragraph" w:styleId="2">
    <w:name w:val="heading 1"/>
    <w:basedOn w:val="3"/>
    <w:next w:val="1"/>
    <w:qFormat/>
    <w:uiPriority w:val="2"/>
    <w:pPr>
      <w:numPr>
        <w:ilvl w:val="0"/>
        <w:numId w:val="1"/>
      </w:numPr>
      <w:spacing w:before="240"/>
      <w:contextualSpacing w:val="0"/>
      <w:outlineLvl w:val="0"/>
    </w:pPr>
    <w:rPr>
      <w:b/>
    </w:rPr>
  </w:style>
  <w:style w:type="paragraph" w:styleId="4">
    <w:name w:val="heading 2"/>
    <w:basedOn w:val="2"/>
    <w:next w:val="1"/>
    <w:qFormat/>
    <w:uiPriority w:val="2"/>
    <w:pPr>
      <w:numPr>
        <w:ilvl w:val="1"/>
      </w:numPr>
      <w:spacing w:after="200"/>
      <w:outlineLvl w:val="1"/>
    </w:p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Paragraph"/>
    <w:basedOn w:val="1"/>
    <w:qFormat/>
    <w:uiPriority w:val="3"/>
    <w:pPr>
      <w:numPr>
        <w:ilvl w:val="0"/>
        <w:numId w:val="2"/>
      </w:numPr>
      <w:contextualSpacing/>
    </w:pPr>
    <w:rPr>
      <w:rFonts w:eastAsia="Cambria" w:cs="Times New Roman"/>
      <w:szCs w:val="2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8">
    <w:name w:val="Title"/>
    <w:basedOn w:val="1"/>
    <w:next w:val="1"/>
    <w:qFormat/>
    <w:uiPriority w:val="0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table" w:styleId="10">
    <w:name w:val="Table Grid"/>
    <w:basedOn w:val="9"/>
    <w:qFormat/>
    <w:uiPriority w:val="59"/>
    <w:pPr>
      <w:spacing w:after="0" w:line="240" w:lineRule="auto"/>
    </w:pPr>
    <w:rPr>
      <w:rFonts w:asciiTheme="majorHAnsi" w:hAnsiTheme="majorHAns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Supplementary Material"/>
    <w:basedOn w:val="8"/>
    <w:next w:val="8"/>
    <w:qFormat/>
    <w:uiPriority w:val="0"/>
    <w:pPr>
      <w:spacing w:after="120"/>
    </w:pPr>
    <w:rPr>
      <w:i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776</Words>
  <Characters>5147</Characters>
  <Lines>0</Lines>
  <Paragraphs>0</Paragraphs>
  <TotalTime>1</TotalTime>
  <ScaleCrop>false</ScaleCrop>
  <LinksUpToDate>false</LinksUpToDate>
  <CharactersWithSpaces>5394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2021-11-15T13:33:00Z</dcterms:created>
  <dc:creator>路一直向前</dc:creator>
  <cp:lastModifiedBy>路一直向前</cp:lastModifiedBy>
  <dcterms:modified xsi:type="dcterms:W3CDTF">2022-04-20T13:15:30Z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BC4B477A46FA446593DD34B0CB3212CF</vt:lpwstr>
  </property>
</Properties>
</file>