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796ABA" w14:textId="43005A94" w:rsidR="005C6719" w:rsidRDefault="005C6719" w:rsidP="00662202">
      <w:pPr>
        <w:pStyle w:val="Heading1"/>
        <w:keepNext/>
        <w:keepLines/>
        <w:widowControl w:val="0"/>
        <w:divId w:val="210857372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C671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Supplementary materials</w:t>
      </w:r>
    </w:p>
    <w:p w14:paraId="7F9FC717" w14:textId="77777777" w:rsidR="005C6719" w:rsidRPr="005C6719" w:rsidRDefault="005C6719" w:rsidP="00662202">
      <w:pPr>
        <w:pStyle w:val="Heading1"/>
        <w:keepNext/>
        <w:keepLines/>
        <w:widowControl w:val="0"/>
        <w:divId w:val="210857372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73B0D1AC" w14:textId="1D80BA57" w:rsidR="00092DCE" w:rsidRPr="005A168A" w:rsidRDefault="005A168A" w:rsidP="00662202">
      <w:pPr>
        <w:pStyle w:val="Heading1"/>
        <w:keepNext/>
        <w:keepLines/>
        <w:widowControl w:val="0"/>
        <w:divId w:val="210857372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146DF"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5143E"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ROC curves for diagnosis of CC </w:t>
      </w:r>
      <w:r w:rsidR="005146DF" w:rsidRPr="005A168A">
        <w:rPr>
          <w:rFonts w:ascii="Times New Roman" w:hAnsi="Times New Roman" w:cs="Times New Roman"/>
          <w:color w:val="000000" w:themeColor="text1"/>
          <w:sz w:val="22"/>
          <w:szCs w:val="22"/>
        </w:rPr>
        <w:t>in</w:t>
      </w:r>
      <w:r w:rsidR="005146DF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 GSE30759</w:t>
      </w:r>
    </w:p>
    <w:p w14:paraId="6168A659" w14:textId="77777777" w:rsidR="00092DCE" w:rsidRPr="005A168A" w:rsidRDefault="00E5143E">
      <w:pPr>
        <w:pStyle w:val="NormalWeb"/>
        <w:rPr>
          <w:rFonts w:ascii="Times New Roman" w:hAnsi="Times New Roman" w:cs="Times New Roman"/>
          <w:color w:val="000000" w:themeColor="text1"/>
          <w:sz w:val="4"/>
          <w:szCs w:val="4"/>
        </w:rPr>
      </w:pPr>
      <w:r w:rsidRPr="005A168A">
        <w:rPr>
          <w:rFonts w:ascii="Times New Roman" w:hAnsi="Times New Roman" w:cs="Times New Roman"/>
          <w:color w:val="000000" w:themeColor="text1"/>
          <w:sz w:val="4"/>
          <w:szCs w:val="4"/>
        </w:rPr>
        <w:t> </w:t>
      </w:r>
    </w:p>
    <w:tbl>
      <w:tblPr>
        <w:tblW w:w="72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5"/>
        <w:gridCol w:w="1181"/>
        <w:gridCol w:w="1524"/>
        <w:gridCol w:w="2390"/>
      </w:tblGrid>
      <w:tr w:rsidR="00E5143E" w:rsidRPr="005A168A" w14:paraId="7068C0D5" w14:textId="77777777" w:rsidTr="005146DF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06C28FB5" w14:textId="77777777" w:rsidR="00092DCE" w:rsidRPr="005A168A" w:rsidRDefault="00E5143E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710FD164" w14:textId="77777777" w:rsidR="00092DCE" w:rsidRPr="005A168A" w:rsidRDefault="00E5143E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06E0E3D7" w14:textId="77777777" w:rsidR="00092DCE" w:rsidRPr="005A168A" w:rsidRDefault="00E5143E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SE 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7C9161FA" w14:textId="77777777" w:rsidR="00092DCE" w:rsidRPr="005A168A" w:rsidRDefault="00E5143E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95% CI b</w:t>
            </w:r>
          </w:p>
        </w:tc>
      </w:tr>
      <w:tr w:rsidR="00E5143E" w:rsidRPr="005A168A" w14:paraId="0FB90044" w14:textId="77777777" w:rsidTr="005146DF"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DBAA5E2" w14:textId="77777777" w:rsidR="00092DCE" w:rsidRPr="005A168A" w:rsidRDefault="00E5143E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cg10635061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C7ACEB3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E58B61F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C4F77EF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0.943 to 1.000</w:t>
            </w:r>
          </w:p>
        </w:tc>
      </w:tr>
      <w:tr w:rsidR="00E5143E" w:rsidRPr="005A168A" w14:paraId="6ACDE1E9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74BEEAB" w14:textId="77777777" w:rsidR="00092DCE" w:rsidRPr="005A168A" w:rsidRDefault="00E5143E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cg16428251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70FF847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0.999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AB493AF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0.00196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C927CE4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0.940 to 1.000</w:t>
            </w:r>
          </w:p>
        </w:tc>
      </w:tr>
      <w:tr w:rsidR="00E5143E" w:rsidRPr="005A168A" w14:paraId="4D34EBFD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760927D" w14:textId="77777777" w:rsidR="00092DCE" w:rsidRPr="005A168A" w:rsidRDefault="00E5143E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cg22341310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EE0C683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0.999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02C683B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0.00196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2A774B3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0.940 to 1.000</w:t>
            </w:r>
          </w:p>
        </w:tc>
      </w:tr>
      <w:tr w:rsidR="00E5143E" w:rsidRPr="005A168A" w14:paraId="59956EF5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24E3782" w14:textId="77777777" w:rsidR="00092DCE" w:rsidRPr="005A168A" w:rsidRDefault="00E5143E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cg23316360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DB42D9A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0.989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4462957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0.0115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2ACC886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0.923 to 1.000</w:t>
            </w:r>
          </w:p>
        </w:tc>
      </w:tr>
      <w:tr w:rsidR="00E5143E" w:rsidRPr="005A168A" w14:paraId="67DDFB9B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4CE8245" w14:textId="77777777" w:rsidR="00092DCE" w:rsidRPr="005A168A" w:rsidRDefault="00E5143E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cg24019564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1688608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1EAA922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2678173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0.943 to 1.000</w:t>
            </w:r>
          </w:p>
        </w:tc>
      </w:tr>
      <w:tr w:rsidR="00E5143E" w:rsidRPr="005A168A" w14:paraId="7954F60C" w14:textId="77777777" w:rsidTr="005146DF"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A0A598D" w14:textId="77777777" w:rsidR="00092DCE" w:rsidRPr="005A168A" w:rsidRDefault="00E5143E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combine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A1A53D0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F0E0105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749E7F8" w14:textId="77777777" w:rsidR="00092DCE" w:rsidRPr="005A168A" w:rsidRDefault="00E5143E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0.943 to 1.000</w:t>
            </w:r>
          </w:p>
        </w:tc>
      </w:tr>
    </w:tbl>
    <w:p w14:paraId="73ABFB43" w14:textId="77777777" w:rsid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702C36" w14:textId="36C6620A" w:rsidR="005146DF" w:rsidRP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146DF"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>ROC curves for diagnosis of CC</w:t>
      </w:r>
      <w:r w:rsidR="005146DF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 in GSE30760</w:t>
      </w:r>
    </w:p>
    <w:tbl>
      <w:tblPr>
        <w:tblW w:w="72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5"/>
        <w:gridCol w:w="1154"/>
        <w:gridCol w:w="1656"/>
        <w:gridCol w:w="2335"/>
      </w:tblGrid>
      <w:tr w:rsidR="00E5143E" w:rsidRPr="005A168A" w14:paraId="50C29393" w14:textId="77777777" w:rsidTr="003D0D1C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295CE537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6BD2416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7C23DEC3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SE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0725D0A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95% CI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E5143E" w:rsidRPr="005A168A" w14:paraId="414BE592" w14:textId="77777777" w:rsidTr="005146DF"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3A4405F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cg10635061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F4671C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0.639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C879D0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0.0449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9A02F8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0.571 to 0.703</w:t>
            </w:r>
          </w:p>
        </w:tc>
      </w:tr>
      <w:tr w:rsidR="00E5143E" w:rsidRPr="005A168A" w14:paraId="723D8D07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7B2ED3B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cg16428251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643A61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0.999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C474F91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0.000817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6C442A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0.981 to 1.000</w:t>
            </w:r>
          </w:p>
        </w:tc>
      </w:tr>
      <w:tr w:rsidR="00E5143E" w:rsidRPr="005A168A" w14:paraId="26687A19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E58449F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cg22341310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B4D63FF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0.996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3021E7B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0.00238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3581D4A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0.976 to 1.000</w:t>
            </w:r>
          </w:p>
        </w:tc>
      </w:tr>
      <w:tr w:rsidR="00E5143E" w:rsidRPr="005A168A" w14:paraId="4435CFCE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120DF3C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cg23316360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520C59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0.996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548B53A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0.00333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15D529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0.975 to 1.000</w:t>
            </w:r>
          </w:p>
        </w:tc>
      </w:tr>
      <w:tr w:rsidR="00E5143E" w:rsidRPr="005A168A" w14:paraId="11E08FD3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F71FC15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cg24019564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2E0A133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0.927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E94E6C2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0.0202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1659A62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0.884 to 0.958</w:t>
            </w:r>
          </w:p>
        </w:tc>
      </w:tr>
      <w:tr w:rsidR="00E5143E" w:rsidRPr="005A168A" w14:paraId="3790B910" w14:textId="77777777" w:rsidTr="005146DF"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EFA4C8B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combine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35767DC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B38240A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3CB4130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0.983 to 1.000</w:t>
            </w:r>
          </w:p>
        </w:tc>
      </w:tr>
    </w:tbl>
    <w:p w14:paraId="5FC0C670" w14:textId="77777777" w:rsid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7910A7" w14:textId="503015CA" w:rsidR="005A168A" w:rsidRPr="005A168A" w:rsidRDefault="005A168A" w:rsidP="005146DF">
      <w:pPr>
        <w:pStyle w:val="Heading1"/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</w:pP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146DF"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</w:t>
      </w:r>
      <w:r w:rsidR="005146DF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ROC curves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for diagnosis of CC </w:t>
      </w:r>
      <w:r w:rsidR="005146DF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>in GSE41384</w:t>
      </w:r>
    </w:p>
    <w:tbl>
      <w:tblPr>
        <w:tblW w:w="72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5"/>
        <w:gridCol w:w="1210"/>
        <w:gridCol w:w="1386"/>
        <w:gridCol w:w="2449"/>
      </w:tblGrid>
      <w:tr w:rsidR="00E5143E" w:rsidRPr="005A168A" w14:paraId="54B849C7" w14:textId="77777777" w:rsidTr="004E1194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303ABF21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58C32A68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523EB451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SE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4A986DC7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95% CI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E5143E" w:rsidRPr="005A168A" w14:paraId="469921AE" w14:textId="77777777" w:rsidTr="005146DF"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CF33301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cg10635061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8F893CA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0.578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34A91D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0.139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EC9965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0.334 to 0.797</w:t>
            </w:r>
          </w:p>
        </w:tc>
      </w:tr>
      <w:tr w:rsidR="00E5143E" w:rsidRPr="005A168A" w14:paraId="3B034DF2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BADF224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cg16428251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B2F386D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0.978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D94966C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0.0266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85B8B7F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0.786 to 1.000</w:t>
            </w:r>
          </w:p>
        </w:tc>
      </w:tr>
      <w:tr w:rsidR="00E5143E" w:rsidRPr="005A168A" w14:paraId="092FB1F6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8D20958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cg22341310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CBD32EE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0.889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157DCFC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0.0821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2C5613A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0.661 to 0.985</w:t>
            </w:r>
          </w:p>
        </w:tc>
      </w:tr>
      <w:tr w:rsidR="00E5143E" w:rsidRPr="005A168A" w14:paraId="1B2D2334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5CAD8B7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cg23316360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1E89200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235DDF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790DAF7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0.824 to 1.000</w:t>
            </w:r>
          </w:p>
        </w:tc>
      </w:tr>
      <w:tr w:rsidR="00E5143E" w:rsidRPr="005A168A" w14:paraId="5D6710A8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DAC43D4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cg24019564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4B2EFDC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0.656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FA8AE94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0.133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53E2D92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0.406 to 0.854</w:t>
            </w:r>
          </w:p>
        </w:tc>
      </w:tr>
      <w:tr w:rsidR="00E5143E" w:rsidRPr="005A168A" w14:paraId="03263B34" w14:textId="77777777" w:rsidTr="005146DF"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5F6D5F8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combine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97B7C3B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159EE47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216E39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0.824 to 1.000</w:t>
            </w:r>
          </w:p>
        </w:tc>
      </w:tr>
    </w:tbl>
    <w:p w14:paraId="77D6858B" w14:textId="77777777" w:rsid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B9EC77" w14:textId="1A70E38E" w:rsidR="005146DF" w:rsidRP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S4</w:t>
      </w:r>
      <w:r w:rsidR="005146DF"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ROC curves for diagnosis of CC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</w:rPr>
        <w:t>in</w:t>
      </w:r>
      <w:r w:rsidR="005146DF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 GSE46306</w:t>
      </w:r>
    </w:p>
    <w:tbl>
      <w:tblPr>
        <w:tblW w:w="72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5"/>
        <w:gridCol w:w="1210"/>
        <w:gridCol w:w="1386"/>
        <w:gridCol w:w="2449"/>
      </w:tblGrid>
      <w:tr w:rsidR="00E5143E" w:rsidRPr="005A168A" w14:paraId="56B7189A" w14:textId="77777777" w:rsidTr="00DD2F63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33B18260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3BE37212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1F9BE42C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SE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3A8D385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95% CI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E5143E" w:rsidRPr="005A168A" w14:paraId="0C650DEC" w14:textId="77777777" w:rsidTr="005146DF"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937B239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cg10635061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8BD0C38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0.554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78AC68B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0.148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1EF8242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0.368 to 0.729</w:t>
            </w:r>
          </w:p>
        </w:tc>
      </w:tr>
      <w:tr w:rsidR="00E5143E" w:rsidRPr="005A168A" w14:paraId="78F9A5A1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BD3D899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cg16428251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929327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C819A48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3088597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0.891 to 1.000</w:t>
            </w:r>
          </w:p>
        </w:tc>
      </w:tr>
      <w:tr w:rsidR="00E5143E" w:rsidRPr="005A168A" w14:paraId="4013FAC6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C53FF0A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cg22341310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D6BDC40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0.804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DED773E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0.0940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A043FE4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0.625 to 0.922</w:t>
            </w:r>
          </w:p>
        </w:tc>
      </w:tr>
      <w:tr w:rsidR="00E5143E" w:rsidRPr="005A168A" w14:paraId="4D01A775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9885BD0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cg23316360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F372B41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2833DA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FE0C56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0.891 to 1.000</w:t>
            </w:r>
          </w:p>
        </w:tc>
      </w:tr>
      <w:tr w:rsidR="00E5143E" w:rsidRPr="005A168A" w14:paraId="6062498A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381FF55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cg24019564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D2D32D3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0.661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A03A56B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0.175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8EDA867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0.473 to 0.818</w:t>
            </w:r>
          </w:p>
        </w:tc>
      </w:tr>
      <w:tr w:rsidR="00E5143E" w:rsidRPr="005A168A" w14:paraId="27C4BBBF" w14:textId="77777777" w:rsidTr="005146DF"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5AC0FF8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combine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4ED78F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5461D01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DD38C93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0.891 to 1.000</w:t>
            </w:r>
          </w:p>
        </w:tc>
      </w:tr>
    </w:tbl>
    <w:p w14:paraId="726558DB" w14:textId="77777777" w:rsid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C0F6A1" w14:textId="77777777" w:rsid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6347C8" w14:textId="59E6369A" w:rsidR="005146DF" w:rsidRP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146DF"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ROC curves for diagnosis of CC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</w:rPr>
        <w:t>in</w:t>
      </w:r>
      <w:r w:rsidR="005146DF" w:rsidRPr="005A168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5146DF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>GSE</w:t>
      </w:r>
      <w:r w:rsidR="00B21F82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>99511</w:t>
      </w:r>
    </w:p>
    <w:tbl>
      <w:tblPr>
        <w:tblW w:w="72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5"/>
        <w:gridCol w:w="1210"/>
        <w:gridCol w:w="1386"/>
        <w:gridCol w:w="2449"/>
      </w:tblGrid>
      <w:tr w:rsidR="00B21F82" w:rsidRPr="005A168A" w14:paraId="0365C016" w14:textId="77777777" w:rsidTr="00316669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18C5A2BE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710119C1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5245ECEF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SE 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5F9F7559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95% CI b</w:t>
            </w:r>
          </w:p>
        </w:tc>
      </w:tr>
      <w:tr w:rsidR="00B21F82" w:rsidRPr="005A168A" w14:paraId="10034D20" w14:textId="77777777" w:rsidTr="005146DF"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186BCEB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cg10635061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90A74A9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0.554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12A69D0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0.148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32A120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0.368 to 0.729</w:t>
            </w:r>
          </w:p>
        </w:tc>
      </w:tr>
      <w:tr w:rsidR="00B21F82" w:rsidRPr="005A168A" w14:paraId="5DB3816E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9B27FBE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cg16428251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FDB81EC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3143C23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A53D8D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0.891 to 1.000</w:t>
            </w:r>
          </w:p>
        </w:tc>
      </w:tr>
      <w:tr w:rsidR="00B21F82" w:rsidRPr="005A168A" w14:paraId="0CD8A205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A794F6C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cg22341310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AE8C2BE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0.804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E83CB11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0.0940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1120F0F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0.625 to 0.922</w:t>
            </w:r>
          </w:p>
        </w:tc>
      </w:tr>
      <w:tr w:rsidR="00B21F82" w:rsidRPr="005A168A" w14:paraId="5F466245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DCC5F0C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cg23316360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4674944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972A3E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E0775F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0.891 to 1.000</w:t>
            </w:r>
          </w:p>
        </w:tc>
      </w:tr>
      <w:tr w:rsidR="00B21F82" w:rsidRPr="005A168A" w14:paraId="13C993E5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A34D878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cg24019564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861408B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0.661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5F6033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0.175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9E726D5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0.473 to 0.818</w:t>
            </w:r>
          </w:p>
        </w:tc>
      </w:tr>
      <w:tr w:rsidR="00B21F82" w:rsidRPr="005A168A" w14:paraId="0ABEC7A6" w14:textId="77777777" w:rsidTr="005146DF"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73B7BDA" w14:textId="77777777" w:rsidR="00B21F82" w:rsidRPr="005A168A" w:rsidRDefault="00B21F82" w:rsidP="00B21F82">
            <w:pPr>
              <w:pStyle w:val="NormalWeb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combine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00B34D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8F7AD85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0C899BD" w14:textId="77777777" w:rsidR="00B21F82" w:rsidRPr="005A168A" w:rsidRDefault="00B21F82" w:rsidP="00B21F82">
            <w:pPr>
              <w:pStyle w:val="NormalWeb"/>
              <w:jc w:val="right"/>
              <w:rPr>
                <w:rStyle w:val="result"/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0.891 to 1.000</w:t>
            </w:r>
          </w:p>
        </w:tc>
      </w:tr>
    </w:tbl>
    <w:p w14:paraId="408BC0C8" w14:textId="77777777" w:rsidR="005A168A" w:rsidRDefault="005A168A" w:rsidP="005146DF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FDD291" w14:textId="230CE3CC" w:rsidR="005146DF" w:rsidRPr="005A168A" w:rsidRDefault="005146DF" w:rsidP="005146DF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 w:rsidR="005A168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A168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5A168A">
        <w:rPr>
          <w:rFonts w:ascii="Times New Roman" w:hAnsi="Times New Roman" w:cs="Times New Roman"/>
          <w:color w:val="000000" w:themeColor="text1"/>
        </w:rPr>
        <w:t xml:space="preserve"> </w:t>
      </w:r>
      <w:r w:rsidR="00E5143E"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 xml:space="preserve">ROC curves for diagnosis of CC in </w:t>
      </w:r>
      <w:r w:rsidRPr="005A168A">
        <w:rPr>
          <w:rFonts w:ascii="Times New Roman" w:eastAsiaTheme="minorEastAsia" w:hAnsi="Times New Roman" w:cs="Times New Roman"/>
          <w:b w:val="0"/>
          <w:bCs w:val="0"/>
          <w:kern w:val="0"/>
          <w:sz w:val="24"/>
          <w:szCs w:val="22"/>
          <w:lang w:eastAsia="en-US"/>
        </w:rPr>
        <w:t>TCGA</w:t>
      </w:r>
    </w:p>
    <w:tbl>
      <w:tblPr>
        <w:tblW w:w="7200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5"/>
        <w:gridCol w:w="1181"/>
        <w:gridCol w:w="1524"/>
        <w:gridCol w:w="2390"/>
      </w:tblGrid>
      <w:tr w:rsidR="00E5143E" w:rsidRPr="005A168A" w14:paraId="29D17A6A" w14:textId="77777777" w:rsidTr="005146DF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4B83E568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Variable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1E04B3BB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AUC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356FC47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SE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vAlign w:val="bottom"/>
            <w:hideMark/>
          </w:tcPr>
          <w:p w14:paraId="1BD086D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normal1"/>
                <w:rFonts w:ascii="Times New Roman" w:hAnsi="Times New Roman" w:cs="Times New Roman"/>
                <w:color w:val="000000" w:themeColor="text1"/>
              </w:rPr>
              <w:t>95% CI</w:t>
            </w:r>
            <w:r w:rsidRPr="005A16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A168A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b</w:t>
            </w:r>
          </w:p>
        </w:tc>
      </w:tr>
      <w:tr w:rsidR="00E5143E" w:rsidRPr="005A168A" w14:paraId="1349D6DF" w14:textId="77777777" w:rsidTr="005146DF"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451F099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cg10635061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688115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0.973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D0E4F2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0.0166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8FFAAD7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0.948 to 0.988</w:t>
            </w:r>
          </w:p>
        </w:tc>
      </w:tr>
      <w:tr w:rsidR="00E5143E" w:rsidRPr="005A168A" w14:paraId="786B158B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2C4D78C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cg16428251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48DC19F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0.987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D49A73B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0.00637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DA184A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0.967 to 0.996</w:t>
            </w:r>
          </w:p>
        </w:tc>
      </w:tr>
      <w:tr w:rsidR="00E5143E" w:rsidRPr="005A168A" w14:paraId="4001A48D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F2660A5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cg22341310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3E566A31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0.990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434A1E3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0.00665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2332AE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0.972 to 0.998</w:t>
            </w:r>
          </w:p>
        </w:tc>
      </w:tr>
      <w:tr w:rsidR="00E5143E" w:rsidRPr="005A168A" w14:paraId="5E2F6F15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A129DC0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cg23316360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73A9123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0.981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7CDEC301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0.00866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08EBEEA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0.958 to 0.993</w:t>
            </w:r>
          </w:p>
        </w:tc>
      </w:tr>
      <w:tr w:rsidR="00E5143E" w:rsidRPr="005A168A" w14:paraId="64183CAB" w14:textId="77777777" w:rsidTr="005146DF"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CC5607A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cg24019564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B131F16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0.978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79C3EA5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0.0104</w:t>
            </w:r>
          </w:p>
        </w:tc>
        <w:tc>
          <w:tcPr>
            <w:tcW w:w="0" w:type="auto"/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501C2DDC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0.955 to 0.991</w:t>
            </w:r>
          </w:p>
        </w:tc>
      </w:tr>
      <w:tr w:rsidR="00E5143E" w:rsidRPr="005A168A" w14:paraId="7228160A" w14:textId="77777777" w:rsidTr="005146DF"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10DC4D9B" w14:textId="77777777" w:rsidR="005146DF" w:rsidRPr="005A168A" w:rsidRDefault="005146DF" w:rsidP="005146DF">
            <w:pPr>
              <w:pStyle w:val="NormalWeb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combine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6E99F2D8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1.000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230649DF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FFFFFF" w:themeFill="background1"/>
            <w:tcMar>
              <w:top w:w="30" w:type="dxa"/>
              <w:left w:w="120" w:type="dxa"/>
              <w:bottom w:w="15" w:type="dxa"/>
              <w:right w:w="120" w:type="dxa"/>
            </w:tcMar>
            <w:hideMark/>
          </w:tcPr>
          <w:p w14:paraId="434CBE29" w14:textId="77777777" w:rsidR="005146DF" w:rsidRPr="005A168A" w:rsidRDefault="005146DF" w:rsidP="005146DF">
            <w:pPr>
              <w:pStyle w:val="NormalWeb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5A168A">
              <w:rPr>
                <w:rStyle w:val="result"/>
                <w:rFonts w:ascii="Times New Roman" w:hAnsi="Times New Roman" w:cs="Times New Roman"/>
                <w:color w:val="000000" w:themeColor="text1"/>
              </w:rPr>
              <w:t>0.988 to 1.000</w:t>
            </w:r>
          </w:p>
        </w:tc>
      </w:tr>
    </w:tbl>
    <w:p w14:paraId="06E27419" w14:textId="77777777" w:rsidR="00C647DC" w:rsidRPr="005A168A" w:rsidRDefault="00C647DC" w:rsidP="00C647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</w:rPr>
      </w:pPr>
    </w:p>
    <w:p w14:paraId="388C9D4D" w14:textId="1972488F" w:rsidR="00C647DC" w:rsidRDefault="00C647DC" w:rsidP="000D7F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</w:rPr>
      </w:pPr>
    </w:p>
    <w:p w14:paraId="50564E5F" w14:textId="1A0963BD" w:rsidR="0068499B" w:rsidRDefault="0068499B" w:rsidP="000D7F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</w:rPr>
      </w:pPr>
    </w:p>
    <w:p w14:paraId="7543F93D" w14:textId="2869B362" w:rsidR="0068499B" w:rsidRDefault="0068499B" w:rsidP="0068499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15CD75E" wp14:editId="662C1368">
            <wp:extent cx="4162425" cy="4356931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44" cy="43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8E71" w14:textId="6CB084F8" w:rsidR="0068499B" w:rsidRDefault="0068499B" w:rsidP="0068499B">
      <w:pPr>
        <w:spacing w:line="480" w:lineRule="auto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>Figure S1</w:t>
      </w:r>
      <w:r w:rsidR="005C6719">
        <w:rPr>
          <w:rFonts w:ascii="Times New Roman" w:eastAsiaTheme="minorEastAsia" w:hAnsi="Times New Roman" w:cs="Times New Roman"/>
          <w:kern w:val="36"/>
          <w:sz w:val="26"/>
          <w:szCs w:val="22"/>
          <w:lang w:eastAsia="en-US"/>
        </w:rPr>
        <w:t xml:space="preserve">: </w:t>
      </w:r>
      <w:r w:rsidRPr="0068499B">
        <w:rPr>
          <w:rFonts w:ascii="Times New Roman" w:eastAsiaTheme="minorEastAsia" w:hAnsi="Times New Roman" w:cs="Times New Roman"/>
          <w:kern w:val="36"/>
          <w:sz w:val="26"/>
          <w:szCs w:val="22"/>
          <w:lang w:eastAsia="en-US"/>
        </w:rPr>
        <w:t>Workflow chart of data generation and analysis.</w:t>
      </w:r>
    </w:p>
    <w:p w14:paraId="3FE8A231" w14:textId="77777777" w:rsidR="0068499B" w:rsidRPr="0068499B" w:rsidRDefault="0068499B" w:rsidP="000D7F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</w:rPr>
      </w:pPr>
    </w:p>
    <w:p w14:paraId="057B71FC" w14:textId="77777777" w:rsidR="00C647DC" w:rsidRPr="005A168A" w:rsidRDefault="00C647DC" w:rsidP="00C647D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A168A">
        <w:rPr>
          <w:rFonts w:ascii="Times New Roman" w:hAnsi="Times New Roman" w:cs="Times New Roman"/>
          <w:noProof/>
        </w:rPr>
        <w:drawing>
          <wp:inline distT="0" distB="0" distL="0" distR="0" wp14:anchorId="25491D50" wp14:editId="00F6441B">
            <wp:extent cx="5274310" cy="42665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904F" w14:textId="4AEA12FB" w:rsidR="00C647DC" w:rsidRPr="005A168A" w:rsidRDefault="00C647DC" w:rsidP="00B51E54">
      <w:pPr>
        <w:pStyle w:val="Heading1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 xml:space="preserve">Figure </w:t>
      </w:r>
      <w:r w:rsidR="005A168A">
        <w:rPr>
          <w:rFonts w:ascii="Times New Roman" w:eastAsiaTheme="minorEastAsia" w:hAnsi="Times New Roman" w:cs="Times New Roman"/>
          <w:szCs w:val="22"/>
          <w:lang w:eastAsia="en-US"/>
        </w:rPr>
        <w:t>S</w:t>
      </w:r>
      <w:r w:rsidR="0068499B">
        <w:rPr>
          <w:rFonts w:ascii="Times New Roman" w:eastAsiaTheme="minorEastAsia" w:hAnsi="Times New Roman" w:cs="Times New Roman"/>
          <w:szCs w:val="22"/>
          <w:lang w:eastAsia="en-US"/>
        </w:rPr>
        <w:t>2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 xml:space="preserve">: 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Unsupervised hierarchical clustering of differentially methylated between CC and normal cohort.</w:t>
      </w:r>
    </w:p>
    <w:p w14:paraId="3B3D16A5" w14:textId="77777777" w:rsidR="00B51E54" w:rsidRPr="005A168A" w:rsidRDefault="00B51E54" w:rsidP="00396035">
      <w:pPr>
        <w:jc w:val="center"/>
        <w:rPr>
          <w:rFonts w:ascii="Times New Roman" w:eastAsiaTheme="minorEastAsia" w:hAnsi="Times New Roman" w:cs="Times New Roman"/>
          <w:szCs w:val="22"/>
          <w:lang w:eastAsia="en-US"/>
        </w:rPr>
      </w:pPr>
      <w:r w:rsidRPr="005A168A">
        <w:rPr>
          <w:rFonts w:ascii="Times New Roman" w:hAnsi="Times New Roman" w:cs="Times New Roman"/>
          <w:noProof/>
        </w:rPr>
        <w:drawing>
          <wp:inline distT="0" distB="0" distL="0" distR="0" wp14:anchorId="029F8293" wp14:editId="3C60EED0">
            <wp:extent cx="4728796" cy="2719651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89" cy="27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79CE" w14:textId="0B2FFD0F" w:rsidR="005C3E30" w:rsidRPr="005A168A" w:rsidRDefault="00B51E54">
      <w:pPr>
        <w:pStyle w:val="Heading1"/>
        <w:rPr>
          <w:rFonts w:ascii="Times New Roman" w:eastAsiaTheme="minorEastAsia" w:hAnsi="Times New Roman" w:cs="Times New Roman"/>
          <w:noProof/>
          <w:szCs w:val="22"/>
          <w:lang w:eastAsia="en-US"/>
        </w:rPr>
      </w:pP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>Figure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 w:rsidR="005A168A">
        <w:rPr>
          <w:rFonts w:ascii="Times New Roman" w:eastAsiaTheme="minorEastAsia" w:hAnsi="Times New Roman" w:cs="Times New Roman"/>
          <w:szCs w:val="22"/>
          <w:lang w:eastAsia="en-US"/>
        </w:rPr>
        <w:t>S</w:t>
      </w:r>
      <w:r w:rsidR="0068499B">
        <w:rPr>
          <w:rFonts w:ascii="Times New Roman" w:eastAsiaTheme="minorEastAsia" w:hAnsi="Times New Roman" w:cs="Times New Roman"/>
          <w:szCs w:val="22"/>
          <w:lang w:eastAsia="en-US"/>
        </w:rPr>
        <w:t>3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>:</w:t>
      </w: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 w:rsidR="005C6719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C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ross-validation results of </w:t>
      </w:r>
      <w:proofErr w:type="gramStart"/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Random forest</w:t>
      </w:r>
      <w:proofErr w:type="gramEnd"/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visualized by broken line graph.</w:t>
      </w:r>
      <w:r w:rsidR="005C3E30" w:rsidRPr="005A168A">
        <w:rPr>
          <w:rFonts w:ascii="Times New Roman" w:eastAsiaTheme="minorEastAsia" w:hAnsi="Times New Roman" w:cs="Times New Roman"/>
          <w:noProof/>
          <w:szCs w:val="22"/>
          <w:lang w:eastAsia="en-US"/>
        </w:rPr>
        <w:t xml:space="preserve"> </w:t>
      </w:r>
    </w:p>
    <w:p w14:paraId="0E3FA0B7" w14:textId="77777777" w:rsidR="00B51E54" w:rsidRPr="005A168A" w:rsidRDefault="005C3E30" w:rsidP="00396035">
      <w:pPr>
        <w:jc w:val="center"/>
        <w:rPr>
          <w:rFonts w:ascii="Times New Roman" w:eastAsiaTheme="minorEastAsia" w:hAnsi="Times New Roman" w:cs="Times New Roman"/>
          <w:b/>
          <w:bCs/>
          <w:szCs w:val="22"/>
          <w:lang w:eastAsia="en-US"/>
        </w:rPr>
      </w:pPr>
      <w:r w:rsidRPr="005A168A">
        <w:rPr>
          <w:rFonts w:ascii="Times New Roman" w:hAnsi="Times New Roman" w:cs="Times New Roman"/>
          <w:noProof/>
        </w:rPr>
        <w:drawing>
          <wp:inline distT="0" distB="0" distL="0" distR="0" wp14:anchorId="6DB66362" wp14:editId="090F9294">
            <wp:extent cx="4254137" cy="2392888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97" cy="24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4DE5" w14:textId="03D83DCD" w:rsidR="00361AE8" w:rsidRPr="005A168A" w:rsidRDefault="005A168A" w:rsidP="00662202">
      <w:pPr>
        <w:pStyle w:val="Heading1"/>
        <w:suppressLineNumbers/>
        <w:suppressAutoHyphens/>
        <w:rPr>
          <w:rFonts w:ascii="Times New Roman" w:eastAsiaTheme="minorEastAsia" w:hAnsi="Times New Roman" w:cs="Times New Roman"/>
          <w:b w:val="0"/>
          <w:bCs w:val="0"/>
          <w:szCs w:val="22"/>
        </w:rPr>
      </w:pP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>Figure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>
        <w:rPr>
          <w:rFonts w:ascii="Times New Roman" w:eastAsiaTheme="minorEastAsia" w:hAnsi="Times New Roman" w:cs="Times New Roman"/>
          <w:szCs w:val="22"/>
          <w:lang w:eastAsia="en-US"/>
        </w:rPr>
        <w:t>S</w:t>
      </w:r>
      <w:r w:rsidR="0068499B">
        <w:rPr>
          <w:rFonts w:ascii="Times New Roman" w:eastAsiaTheme="minorEastAsia" w:hAnsi="Times New Roman" w:cs="Times New Roman"/>
          <w:szCs w:val="22"/>
          <w:lang w:eastAsia="en-US"/>
        </w:rPr>
        <w:t>4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>:</w:t>
      </w:r>
      <w:r w:rsidR="005C3E30" w:rsidRPr="005A168A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 w:rsidR="005C3E30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Boxplot presenting the beta value distribution of the five markers in HPV</w:t>
      </w:r>
      <w:r w:rsidR="00B00737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="005C3E30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(+) CC and HPV</w:t>
      </w:r>
      <w:r w:rsidR="00B00737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="005C3E30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(-) CC</w:t>
      </w:r>
      <w:r w:rsidR="00396035" w:rsidRPr="005A168A">
        <w:rPr>
          <w:rFonts w:ascii="Times New Roman" w:eastAsiaTheme="minorEastAsia" w:hAnsi="Times New Roman" w:cs="Times New Roman"/>
          <w:b w:val="0"/>
          <w:bCs w:val="0"/>
          <w:szCs w:val="22"/>
        </w:rPr>
        <w:t>.</w:t>
      </w:r>
      <w:r w:rsidR="00993383" w:rsidRPr="00993383">
        <w:rPr>
          <w:color w:val="000000"/>
        </w:rPr>
        <w:t xml:space="preserve"> </w:t>
      </w:r>
      <w:r w:rsidR="00993383" w:rsidRPr="00993383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(ns not significant</w:t>
      </w:r>
      <w:r w:rsidR="00547E1C">
        <w:rPr>
          <w:rFonts w:ascii="Times New Roman" w:eastAsiaTheme="minorEastAsia" w:hAnsi="Times New Roman" w:cs="Times New Roman" w:hint="eastAsia"/>
          <w:b w:val="0"/>
          <w:bCs w:val="0"/>
          <w:szCs w:val="22"/>
        </w:rPr>
        <w:t>;</w:t>
      </w:r>
      <w:r w:rsidR="00547E1C">
        <w:rPr>
          <w:rFonts w:ascii="Times New Roman" w:eastAsiaTheme="minorEastAsia" w:hAnsi="Times New Roman" w:cs="Times New Roman"/>
          <w:b w:val="0"/>
          <w:bCs w:val="0"/>
          <w:szCs w:val="22"/>
        </w:rPr>
        <w:t xml:space="preserve"> </w:t>
      </w:r>
      <w:r w:rsidR="00993383" w:rsidRPr="00993383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*P &lt; 0.05; **** P &lt; 0.0001).</w:t>
      </w:r>
    </w:p>
    <w:p w14:paraId="788A139E" w14:textId="77777777" w:rsidR="00662202" w:rsidRPr="005A168A" w:rsidRDefault="00662202" w:rsidP="00816921">
      <w:pPr>
        <w:jc w:val="center"/>
        <w:rPr>
          <w:rFonts w:ascii="Times New Roman" w:hAnsi="Times New Roman" w:cs="Times New Roman"/>
        </w:rPr>
      </w:pPr>
      <w:r w:rsidRPr="005A168A">
        <w:rPr>
          <w:rFonts w:ascii="Times New Roman" w:hAnsi="Times New Roman" w:cs="Times New Roman"/>
          <w:noProof/>
        </w:rPr>
        <w:drawing>
          <wp:inline distT="0" distB="0" distL="0" distR="0" wp14:anchorId="3576E180" wp14:editId="2CB5CC02">
            <wp:extent cx="5257800" cy="2584192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94E6" w14:textId="55B05A7E" w:rsidR="00473E86" w:rsidRPr="005A168A" w:rsidRDefault="005A168A" w:rsidP="00473E86">
      <w:pPr>
        <w:pStyle w:val="Heading1"/>
        <w:suppressLineNumbers/>
        <w:suppressAutoHyphens/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</w:pP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>Figure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>
        <w:rPr>
          <w:rFonts w:ascii="Times New Roman" w:eastAsiaTheme="minorEastAsia" w:hAnsi="Times New Roman" w:cs="Times New Roman"/>
          <w:szCs w:val="22"/>
          <w:lang w:eastAsia="en-US"/>
        </w:rPr>
        <w:t>S</w:t>
      </w:r>
      <w:r w:rsidR="0068499B">
        <w:rPr>
          <w:rFonts w:ascii="Times New Roman" w:eastAsiaTheme="minorEastAsia" w:hAnsi="Times New Roman" w:cs="Times New Roman"/>
          <w:szCs w:val="22"/>
          <w:lang w:eastAsia="en-US"/>
        </w:rPr>
        <w:t>5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>:</w:t>
      </w:r>
      <w:r w:rsidR="00662202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Lasso cox regression model. (A) Lasso coefficient of the 81 candidate methylation markers; (B) Ten-fold cross-validation for tuning parameter selection in the Lasso module.</w:t>
      </w:r>
    </w:p>
    <w:p w14:paraId="2AA0292D" w14:textId="133402D3" w:rsidR="00473E86" w:rsidRPr="005A168A" w:rsidRDefault="003350C7" w:rsidP="00816921">
      <w:pPr>
        <w:rPr>
          <w:rFonts w:ascii="Times New Roman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68CC5F0C" wp14:editId="35582FF1">
            <wp:extent cx="5274310" cy="383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7338" w14:textId="4A3F1E40" w:rsidR="00B51E54" w:rsidRPr="005A168A" w:rsidRDefault="00B51E54" w:rsidP="00473E86">
      <w:pPr>
        <w:pStyle w:val="Heading1"/>
        <w:suppressLineNumbers/>
        <w:suppressAutoHyphens/>
        <w:rPr>
          <w:rFonts w:ascii="Times New Roman" w:eastAsiaTheme="minorEastAsia" w:hAnsi="Times New Roman" w:cs="Times New Roman"/>
          <w:szCs w:val="22"/>
          <w:lang w:eastAsia="en-US"/>
        </w:rPr>
      </w:pP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 xml:space="preserve">Figure </w:t>
      </w:r>
      <w:r w:rsidR="005A168A">
        <w:rPr>
          <w:rFonts w:ascii="Times New Roman" w:eastAsiaTheme="minorEastAsia" w:hAnsi="Times New Roman" w:cs="Times New Roman"/>
          <w:szCs w:val="22"/>
          <w:lang w:eastAsia="en-US"/>
        </w:rPr>
        <w:t>S</w:t>
      </w:r>
      <w:r w:rsidR="0068499B">
        <w:rPr>
          <w:rFonts w:ascii="Times New Roman" w:eastAsiaTheme="minorEastAsia" w:hAnsi="Times New Roman" w:cs="Times New Roman"/>
          <w:szCs w:val="22"/>
          <w:lang w:eastAsia="en-US"/>
        </w:rPr>
        <w:t>6</w:t>
      </w:r>
      <w:r w:rsidR="005C6719">
        <w:rPr>
          <w:rFonts w:ascii="Times New Roman" w:eastAsiaTheme="minorEastAsia" w:hAnsi="Times New Roman" w:cs="Times New Roman"/>
          <w:szCs w:val="22"/>
          <w:lang w:eastAsia="en-US"/>
        </w:rPr>
        <w:t>:</w:t>
      </w:r>
      <w:r w:rsidRPr="005A168A">
        <w:rPr>
          <w:rFonts w:ascii="Times New Roman" w:eastAsiaTheme="minorEastAsia" w:hAnsi="Times New Roman" w:cs="Times New Roman"/>
          <w:szCs w:val="22"/>
          <w:lang w:eastAsia="en-US"/>
        </w:rPr>
        <w:t xml:space="preserve"> 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Nomogram and calibration plot based on the two-DNA methylation prognostic prediction model. (A,</w:t>
      </w:r>
      <w:r w:rsidR="00656BBC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="003350C7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B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)</w:t>
      </w:r>
      <w:r w:rsidR="00656BBC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The nomogram was constructed for predicting 3, 5-year survival rate of CC patients</w:t>
      </w:r>
      <w:r w:rsidR="003350C7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(A, GSE30597; B, TCGA)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. (</w:t>
      </w:r>
      <w:r w:rsidR="003350C7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C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,</w:t>
      </w:r>
      <w:r w:rsidR="00656BBC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D)</w:t>
      </w:r>
      <w:r w:rsidR="00656BBC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The calibration curves for predicting patient survival at 3,</w:t>
      </w:r>
      <w:r w:rsidR="00656BBC"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and 5 years in the cohort</w:t>
      </w:r>
      <w:r w:rsidR="003350C7" w:rsidRPr="003350C7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 xml:space="preserve"> </w:t>
      </w:r>
      <w:r w:rsidR="003350C7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(C, GSE30597; D, TCGA)</w:t>
      </w:r>
      <w:r w:rsidRPr="005A168A">
        <w:rPr>
          <w:rFonts w:ascii="Times New Roman" w:eastAsiaTheme="minorEastAsia" w:hAnsi="Times New Roman" w:cs="Times New Roman"/>
          <w:b w:val="0"/>
          <w:bCs w:val="0"/>
          <w:szCs w:val="22"/>
          <w:lang w:eastAsia="en-US"/>
        </w:rPr>
        <w:t>.</w:t>
      </w:r>
    </w:p>
    <w:sectPr w:rsidR="00B51E54" w:rsidRPr="005A168A"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6E136" w14:textId="77777777" w:rsidR="00617452" w:rsidRDefault="00617452" w:rsidP="005146DF">
      <w:r>
        <w:separator/>
      </w:r>
    </w:p>
  </w:endnote>
  <w:endnote w:type="continuationSeparator" w:id="0">
    <w:p w14:paraId="14B7E716" w14:textId="77777777" w:rsidR="00617452" w:rsidRDefault="00617452" w:rsidP="0051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">
    <w:altName w:val="宋体"/>
    <w:panose1 w:val="02020603050405020304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BD659" w14:textId="77777777" w:rsidR="00617452" w:rsidRDefault="00617452" w:rsidP="005146DF">
      <w:r>
        <w:separator/>
      </w:r>
    </w:p>
  </w:footnote>
  <w:footnote w:type="continuationSeparator" w:id="0">
    <w:p w14:paraId="037874DF" w14:textId="77777777" w:rsidR="00617452" w:rsidRDefault="00617452" w:rsidP="005146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6DF"/>
    <w:rsid w:val="00092DCE"/>
    <w:rsid w:val="000B7921"/>
    <w:rsid w:val="000D7F50"/>
    <w:rsid w:val="00102B71"/>
    <w:rsid w:val="0025106D"/>
    <w:rsid w:val="002D171E"/>
    <w:rsid w:val="002D72FC"/>
    <w:rsid w:val="003350C7"/>
    <w:rsid w:val="00361AE8"/>
    <w:rsid w:val="00396035"/>
    <w:rsid w:val="00411D15"/>
    <w:rsid w:val="00443BCC"/>
    <w:rsid w:val="00473E86"/>
    <w:rsid w:val="004F2282"/>
    <w:rsid w:val="005146DF"/>
    <w:rsid w:val="00537A5E"/>
    <w:rsid w:val="00547E1C"/>
    <w:rsid w:val="00552F6D"/>
    <w:rsid w:val="005A168A"/>
    <w:rsid w:val="005C3E30"/>
    <w:rsid w:val="005C6719"/>
    <w:rsid w:val="00617452"/>
    <w:rsid w:val="00656BBC"/>
    <w:rsid w:val="00662202"/>
    <w:rsid w:val="0068499B"/>
    <w:rsid w:val="00816921"/>
    <w:rsid w:val="00853BCD"/>
    <w:rsid w:val="00993383"/>
    <w:rsid w:val="00B00737"/>
    <w:rsid w:val="00B21F82"/>
    <w:rsid w:val="00B51E54"/>
    <w:rsid w:val="00C647DC"/>
    <w:rsid w:val="00E5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6DC36D"/>
  <w15:chartTrackingRefBased/>
  <w15:docId w15:val="{C9D41570-D171-43AB-989F-11F464EF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80" w:after="180"/>
      <w:outlineLvl w:val="0"/>
    </w:pPr>
    <w:rPr>
      <w:rFonts w:ascii="Arial" w:hAnsi="Arial" w:cs="Arial"/>
      <w:b/>
      <w:bCs/>
      <w:kern w:val="36"/>
      <w:sz w:val="26"/>
      <w:szCs w:val="26"/>
    </w:rPr>
  </w:style>
  <w:style w:type="paragraph" w:styleId="Heading2">
    <w:name w:val="heading 2"/>
    <w:basedOn w:val="Normal"/>
    <w:link w:val="Heading2Char"/>
    <w:uiPriority w:val="9"/>
    <w:qFormat/>
    <w:pPr>
      <w:spacing w:before="240" w:after="144"/>
      <w:ind w:left="120"/>
      <w:outlineLvl w:val="1"/>
    </w:pPr>
    <w:rPr>
      <w:b/>
      <w:bCs/>
    </w:rPr>
  </w:style>
  <w:style w:type="paragraph" w:styleId="Heading3">
    <w:name w:val="heading 3"/>
    <w:basedOn w:val="Normal"/>
    <w:link w:val="Heading3Char"/>
    <w:uiPriority w:val="9"/>
    <w:qFormat/>
    <w:pPr>
      <w:spacing w:before="240" w:after="144"/>
      <w:ind w:left="12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SimSun" w:eastAsia="SimSun" w:hAnsi="SimSun" w:cs="SimSu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SimSun" w:eastAsia="SimSun" w:hAnsi="SimSun" w:cs="SimSun"/>
      <w:b/>
      <w:bCs/>
      <w:sz w:val="32"/>
      <w:szCs w:val="32"/>
    </w:rPr>
  </w:style>
  <w:style w:type="paragraph" w:customStyle="1" w:styleId="msonormal0">
    <w:name w:val="msonormal"/>
    <w:basedOn w:val="Normal"/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Pr>
      <w:rFonts w:ascii="Arial" w:hAnsi="Arial" w:cs="Arial"/>
      <w:sz w:val="20"/>
      <w:szCs w:val="20"/>
    </w:rPr>
  </w:style>
  <w:style w:type="paragraph" w:customStyle="1" w:styleId="bordered">
    <w:name w:val="bordered"/>
    <w:basedOn w:val="Normal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20" w:after="100" w:afterAutospacing="1"/>
    </w:pPr>
  </w:style>
  <w:style w:type="paragraph" w:customStyle="1" w:styleId="1">
    <w:name w:val="正文1"/>
    <w:basedOn w:val="Normal"/>
    <w:rPr>
      <w:rFonts w:ascii="Arial" w:hAnsi="Arial" w:cs="Arial"/>
      <w:sz w:val="20"/>
      <w:szCs w:val="20"/>
    </w:rPr>
  </w:style>
  <w:style w:type="paragraph" w:customStyle="1" w:styleId="small">
    <w:name w:val="small"/>
    <w:basedOn w:val="Normal"/>
    <w:pPr>
      <w:spacing w:before="100" w:beforeAutospacing="1" w:after="100" w:afterAutospacing="1"/>
    </w:pPr>
    <w:rPr>
      <w:sz w:val="22"/>
      <w:szCs w:val="22"/>
    </w:rPr>
  </w:style>
  <w:style w:type="paragraph" w:customStyle="1" w:styleId="italic">
    <w:name w:val="italic"/>
    <w:basedOn w:val="Normal"/>
    <w:pPr>
      <w:spacing w:before="100" w:beforeAutospacing="1" w:after="100" w:afterAutospacing="1"/>
    </w:pPr>
    <w:rPr>
      <w:rFonts w:ascii="Times" w:eastAsia="Times"/>
      <w:i/>
      <w:iCs/>
    </w:rPr>
  </w:style>
  <w:style w:type="paragraph" w:customStyle="1" w:styleId="nobreak">
    <w:name w:val="nobreak"/>
    <w:basedOn w:val="Normal"/>
    <w:pPr>
      <w:spacing w:before="100" w:beforeAutospacing="1" w:after="100" w:afterAutospacing="1"/>
    </w:pPr>
  </w:style>
  <w:style w:type="paragraph" w:customStyle="1" w:styleId="hidden">
    <w:name w:val="hidden"/>
    <w:basedOn w:val="Normal"/>
    <w:pPr>
      <w:spacing w:before="100" w:beforeAutospacing="1" w:after="100" w:afterAutospacing="1"/>
    </w:pPr>
    <w:rPr>
      <w:vanish/>
    </w:rPr>
  </w:style>
  <w:style w:type="paragraph" w:customStyle="1" w:styleId="indent">
    <w:name w:val="indent"/>
    <w:basedOn w:val="Normal"/>
    <w:pPr>
      <w:spacing w:before="100" w:beforeAutospacing="1" w:after="100" w:afterAutospacing="1"/>
      <w:ind w:left="120"/>
    </w:pPr>
  </w:style>
  <w:style w:type="paragraph" w:customStyle="1" w:styleId="middle">
    <w:name w:val="middle"/>
    <w:basedOn w:val="Normal"/>
    <w:pPr>
      <w:spacing w:before="100" w:beforeAutospacing="1" w:after="100" w:afterAutospacing="1"/>
      <w:textAlignment w:val="center"/>
    </w:pPr>
  </w:style>
  <w:style w:type="paragraph" w:customStyle="1" w:styleId="vbottom">
    <w:name w:val="vbottom"/>
    <w:basedOn w:val="Normal"/>
    <w:pPr>
      <w:spacing w:before="100" w:beforeAutospacing="1" w:after="100" w:afterAutospacing="1"/>
      <w:textAlignment w:val="bottom"/>
    </w:pPr>
  </w:style>
  <w:style w:type="paragraph" w:customStyle="1" w:styleId="blue">
    <w:name w:val="blue"/>
    <w:basedOn w:val="Normal"/>
    <w:pPr>
      <w:spacing w:before="100" w:beforeAutospacing="1" w:after="100" w:afterAutospacing="1"/>
    </w:pPr>
    <w:rPr>
      <w:color w:val="0000FF"/>
    </w:rPr>
  </w:style>
  <w:style w:type="paragraph" w:customStyle="1" w:styleId="red">
    <w:name w:val="red"/>
    <w:basedOn w:val="Normal"/>
    <w:pPr>
      <w:spacing w:before="100" w:beforeAutospacing="1" w:after="100" w:afterAutospacing="1"/>
    </w:pPr>
    <w:rPr>
      <w:color w:val="FF0000"/>
    </w:rPr>
  </w:style>
  <w:style w:type="paragraph" w:customStyle="1" w:styleId="green">
    <w:name w:val="green"/>
    <w:basedOn w:val="Normal"/>
    <w:pPr>
      <w:spacing w:before="100" w:beforeAutospacing="1" w:after="100" w:afterAutospacing="1"/>
    </w:pPr>
    <w:rPr>
      <w:color w:val="008000"/>
    </w:rPr>
  </w:style>
  <w:style w:type="paragraph" w:customStyle="1" w:styleId="nounderline">
    <w:name w:val="nounderline"/>
    <w:basedOn w:val="Normal"/>
    <w:pPr>
      <w:spacing w:before="100" w:beforeAutospacing="1" w:after="100" w:afterAutospacing="1"/>
    </w:pPr>
  </w:style>
  <w:style w:type="paragraph" w:customStyle="1" w:styleId="rotate">
    <w:name w:val="rotate"/>
    <w:basedOn w:val="Normal"/>
    <w:pPr>
      <w:spacing w:before="100" w:beforeAutospacing="1" w:after="100" w:afterAutospacing="1"/>
    </w:pPr>
  </w:style>
  <w:style w:type="paragraph" w:customStyle="1" w:styleId="10">
    <w:name w:val="页眉1"/>
    <w:basedOn w:val="Normal"/>
    <w:pPr>
      <w:spacing w:before="180" w:after="180"/>
    </w:pPr>
    <w:rPr>
      <w:rFonts w:ascii="Arial" w:hAnsi="Arial" w:cs="Arial"/>
      <w:b/>
      <w:bCs/>
      <w:sz w:val="22"/>
      <w:szCs w:val="22"/>
    </w:rPr>
  </w:style>
  <w:style w:type="paragraph" w:customStyle="1" w:styleId="leftpanel">
    <w:name w:val="leftpanel"/>
    <w:basedOn w:val="Normal"/>
    <w:pPr>
      <w:spacing w:before="100" w:beforeAutospacing="1" w:after="100" w:afterAutospacing="1"/>
    </w:pPr>
  </w:style>
  <w:style w:type="paragraph" w:customStyle="1" w:styleId="light">
    <w:name w:val="light"/>
    <w:basedOn w:val="Normal"/>
    <w:pPr>
      <w:shd w:val="clear" w:color="auto" w:fill="FAFAFA"/>
      <w:spacing w:before="100" w:beforeAutospacing="1" w:after="100" w:afterAutospacing="1"/>
    </w:pPr>
  </w:style>
  <w:style w:type="paragraph" w:customStyle="1" w:styleId="thll">
    <w:name w:val="thll"/>
    <w:basedOn w:val="Normal"/>
    <w:pPr>
      <w:pBdr>
        <w:bottom w:val="dotted" w:sz="6" w:space="0" w:color="A0A0A0"/>
        <w:right w:val="single" w:sz="6" w:space="0" w:color="A0A0A0"/>
      </w:pBdr>
      <w:spacing w:before="100" w:beforeAutospacing="1" w:after="100" w:afterAutospacing="1"/>
    </w:pPr>
  </w:style>
  <w:style w:type="paragraph" w:customStyle="1" w:styleId="thtl">
    <w:name w:val="thtl"/>
    <w:basedOn w:val="Normal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/>
    </w:pPr>
  </w:style>
  <w:style w:type="paragraph" w:customStyle="1" w:styleId="thtc">
    <w:name w:val="thtc"/>
    <w:basedOn w:val="Normal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/>
      <w:jc w:val="center"/>
    </w:pPr>
  </w:style>
  <w:style w:type="paragraph" w:customStyle="1" w:styleId="thtr">
    <w:name w:val="thtr"/>
    <w:basedOn w:val="Normal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/>
      <w:jc w:val="right"/>
    </w:pPr>
  </w:style>
  <w:style w:type="paragraph" w:customStyle="1" w:styleId="l">
    <w:name w:val="l"/>
    <w:basedOn w:val="Normal"/>
    <w:pPr>
      <w:pBdr>
        <w:bottom w:val="dotted" w:sz="6" w:space="0" w:color="A0A0A0"/>
        <w:right w:val="dotted" w:sz="6" w:space="0" w:color="A0A0A0"/>
      </w:pBdr>
      <w:spacing w:before="100" w:beforeAutospacing="1" w:after="100" w:afterAutospacing="1"/>
    </w:pPr>
  </w:style>
  <w:style w:type="paragraph" w:customStyle="1" w:styleId="r">
    <w:name w:val="r"/>
    <w:basedOn w:val="Normal"/>
    <w:pPr>
      <w:pBdr>
        <w:bottom w:val="dotted" w:sz="6" w:space="0" w:color="A0A0A0"/>
        <w:right w:val="dotted" w:sz="6" w:space="0" w:color="A0A0A0"/>
      </w:pBdr>
      <w:spacing w:before="100" w:beforeAutospacing="1" w:after="100" w:afterAutospacing="1"/>
      <w:jc w:val="right"/>
    </w:pPr>
  </w:style>
  <w:style w:type="paragraph" w:customStyle="1" w:styleId="rc">
    <w:name w:val="rc"/>
    <w:basedOn w:val="Normal"/>
    <w:pPr>
      <w:pBdr>
        <w:bottom w:val="dotted" w:sz="6" w:space="0" w:color="A0A0A0"/>
      </w:pBdr>
      <w:spacing w:before="100" w:beforeAutospacing="1" w:after="100" w:afterAutospacing="1"/>
      <w:jc w:val="right"/>
    </w:pPr>
  </w:style>
  <w:style w:type="paragraph" w:customStyle="1" w:styleId="c">
    <w:name w:val="c"/>
    <w:basedOn w:val="Normal"/>
    <w:pPr>
      <w:pBdr>
        <w:bottom w:val="dotted" w:sz="6" w:space="0" w:color="A0A0A0"/>
        <w:right w:val="dotted" w:sz="6" w:space="0" w:color="A0A0A0"/>
      </w:pBdr>
      <w:spacing w:before="100" w:beforeAutospacing="1" w:after="100" w:afterAutospacing="1"/>
      <w:jc w:val="center"/>
    </w:pPr>
  </w:style>
  <w:style w:type="paragraph" w:customStyle="1" w:styleId="topsolidline">
    <w:name w:val="topsolidline"/>
    <w:basedOn w:val="Normal"/>
    <w:pPr>
      <w:pBdr>
        <w:top w:val="single" w:sz="6" w:space="0" w:color="A0A0A0"/>
        <w:bottom w:val="dotted" w:sz="6" w:space="0" w:color="A0A0A0"/>
        <w:right w:val="dotted" w:sz="6" w:space="0" w:color="A0A0A0"/>
      </w:pBdr>
      <w:spacing w:before="100" w:beforeAutospacing="1" w:after="100" w:afterAutospacing="1"/>
    </w:pPr>
  </w:style>
  <w:style w:type="paragraph" w:customStyle="1" w:styleId="rightsolidline">
    <w:name w:val="rightsolidline"/>
    <w:basedOn w:val="Normal"/>
    <w:pPr>
      <w:pBdr>
        <w:right w:val="single" w:sz="6" w:space="0" w:color="A0A0A0"/>
      </w:pBdr>
      <w:spacing w:before="100" w:beforeAutospacing="1" w:after="100" w:afterAutospacing="1"/>
    </w:pPr>
  </w:style>
  <w:style w:type="paragraph" w:customStyle="1" w:styleId="vertical-text">
    <w:name w:val="vertical-text"/>
    <w:basedOn w:val="Normal"/>
    <w:pPr>
      <w:spacing w:before="100" w:beforeAutospacing="1" w:after="100" w:afterAutospacing="1"/>
    </w:pPr>
  </w:style>
  <w:style w:type="paragraph" w:customStyle="1" w:styleId="vertical-textinner">
    <w:name w:val="vertical-text__inner"/>
    <w:basedOn w:val="Normal"/>
    <w:pPr>
      <w:spacing w:before="100" w:beforeAutospacing="1" w:after="100" w:afterAutospacing="1"/>
    </w:pPr>
  </w:style>
  <w:style w:type="character" w:customStyle="1" w:styleId="normal1">
    <w:name w:val="normal1"/>
    <w:basedOn w:val="DefaultParagraphFont"/>
    <w:rPr>
      <w:rFonts w:ascii="Arial" w:hAnsi="Arial" w:cs="Arial" w:hint="default"/>
      <w:color w:val="000000"/>
      <w:sz w:val="20"/>
      <w:szCs w:val="20"/>
    </w:rPr>
  </w:style>
  <w:style w:type="character" w:customStyle="1" w:styleId="result">
    <w:name w:val="result"/>
    <w:basedOn w:val="DefaultParagraphFont"/>
    <w:rPr>
      <w:color w:val="000080"/>
    </w:rPr>
  </w:style>
  <w:style w:type="character" w:customStyle="1" w:styleId="warning">
    <w:name w:val="warning"/>
    <w:basedOn w:val="DefaultParagraphFont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5146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46DF"/>
    <w:rPr>
      <w:rFonts w:ascii="SimSun" w:eastAsia="SimSun" w:hAnsi="SimSun" w:cs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146D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46DF"/>
    <w:rPr>
      <w:rFonts w:ascii="SimSun" w:eastAsia="SimSun" w:hAnsi="SimSun" w:cs="SimSun"/>
      <w:sz w:val="18"/>
      <w:szCs w:val="18"/>
    </w:rPr>
  </w:style>
  <w:style w:type="paragraph" w:customStyle="1" w:styleId="EndNoteBibliography">
    <w:name w:val="EndNote Bibliography"/>
    <w:basedOn w:val="Normal"/>
    <w:link w:val="EndNoteBibliography0"/>
    <w:rsid w:val="00662202"/>
    <w:pPr>
      <w:spacing w:before="120" w:after="240"/>
    </w:pPr>
    <w:rPr>
      <w:rFonts w:ascii="Times New Roman" w:eastAsiaTheme="minorEastAsia" w:hAnsi="Times New Roman" w:cs="Times New Roman"/>
      <w:noProof/>
      <w:szCs w:val="22"/>
      <w:lang w:eastAsia="en-US"/>
    </w:rPr>
  </w:style>
  <w:style w:type="character" w:customStyle="1" w:styleId="EndNoteBibliography0">
    <w:name w:val="EndNote Bibliography 字符"/>
    <w:basedOn w:val="DefaultParagraphFont"/>
    <w:link w:val="EndNoteBibliography"/>
    <w:rsid w:val="00662202"/>
    <w:rPr>
      <w:noProof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57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427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Comparison of ROC curves</dc:title>
  <dc:subject/>
  <dc:creator>zhixing</dc:creator>
  <cp:keywords/>
  <dc:description/>
  <cp:lastModifiedBy>Mel Phimester</cp:lastModifiedBy>
  <cp:revision>2</cp:revision>
  <dcterms:created xsi:type="dcterms:W3CDTF">2022-06-20T10:35:00Z</dcterms:created>
  <dcterms:modified xsi:type="dcterms:W3CDTF">2022-06-20T10:35:00Z</dcterms:modified>
</cp:coreProperties>
</file>